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169EB" w14:textId="2E9C8270" w:rsidR="002970BC" w:rsidRPr="0068106A" w:rsidRDefault="00AC3855" w:rsidP="007D01F9">
      <w:pPr>
        <w:pStyle w:val="Heading1"/>
        <w:rPr>
          <w:rFonts w:ascii="Verdana" w:hAnsi="Verdana"/>
          <w:color w:val="auto"/>
          <w:sz w:val="48"/>
          <w:szCs w:val="48"/>
        </w:rPr>
      </w:pPr>
      <w:r w:rsidRPr="0068106A">
        <w:rPr>
          <w:rFonts w:ascii="Verdana" w:hAnsi="Verdana"/>
          <w:color w:val="auto"/>
          <w:sz w:val="48"/>
          <w:szCs w:val="48"/>
        </w:rPr>
        <w:t xml:space="preserve">Digital and information </w:t>
      </w:r>
      <w:r w:rsidR="00850F63" w:rsidRPr="06EEA3DE">
        <w:rPr>
          <w:rFonts w:ascii="Verdana" w:hAnsi="Verdana"/>
          <w:color w:val="auto"/>
          <w:sz w:val="48"/>
          <w:szCs w:val="48"/>
        </w:rPr>
        <w:t>accessibility</w:t>
      </w:r>
      <w:r w:rsidRPr="06EEA3DE">
        <w:rPr>
          <w:rFonts w:ascii="Verdana" w:hAnsi="Verdana"/>
          <w:color w:val="auto"/>
          <w:sz w:val="48"/>
          <w:szCs w:val="48"/>
        </w:rPr>
        <w:t xml:space="preserve"> </w:t>
      </w:r>
      <w:r w:rsidRPr="0068106A">
        <w:rPr>
          <w:rFonts w:ascii="Verdana" w:hAnsi="Verdana"/>
          <w:color w:val="auto"/>
          <w:sz w:val="48"/>
          <w:szCs w:val="48"/>
        </w:rPr>
        <w:t>issues and opportunities research paper</w:t>
      </w:r>
    </w:p>
    <w:p w14:paraId="51692FC4" w14:textId="77777777" w:rsidR="002970BC" w:rsidRPr="0068106A" w:rsidRDefault="00AC3855">
      <w:pPr>
        <w:pStyle w:val="Heading2"/>
        <w:rPr>
          <w:rFonts w:ascii="Verdana" w:hAnsi="Verdana"/>
          <w:color w:val="auto"/>
          <w:sz w:val="28"/>
          <w:szCs w:val="28"/>
        </w:rPr>
      </w:pPr>
      <w:r w:rsidRPr="0068106A">
        <w:rPr>
          <w:rFonts w:ascii="Verdana" w:hAnsi="Verdana"/>
          <w:color w:val="auto"/>
          <w:sz w:val="28"/>
          <w:szCs w:val="28"/>
        </w:rPr>
        <w:t>Purpose</w:t>
      </w:r>
    </w:p>
    <w:p w14:paraId="4B5A5269" w14:textId="4D723BD8" w:rsidR="002970BC" w:rsidRPr="00AE69E0" w:rsidRDefault="00AC3855" w:rsidP="00AE69E0">
      <w:pPr>
        <w:pStyle w:val="ListParagraph"/>
        <w:numPr>
          <w:ilvl w:val="0"/>
          <w:numId w:val="23"/>
        </w:numPr>
        <w:spacing w:before="120"/>
        <w:contextualSpacing w:val="0"/>
        <w:rPr>
          <w:rFonts w:ascii="Verdana" w:hAnsi="Verdana"/>
          <w:sz w:val="24"/>
          <w:szCs w:val="24"/>
        </w:rPr>
      </w:pPr>
      <w:r w:rsidRPr="00AE69E0">
        <w:rPr>
          <w:rFonts w:ascii="Verdana" w:hAnsi="Verdana"/>
          <w:sz w:val="24"/>
          <w:szCs w:val="24"/>
        </w:rPr>
        <w:t xml:space="preserve">This paper explains why digital services and information do not work reliably for many Deaf and disabled people, tāngata </w:t>
      </w:r>
      <w:proofErr w:type="spellStart"/>
      <w:r w:rsidRPr="00AE69E0">
        <w:rPr>
          <w:rFonts w:ascii="Verdana" w:hAnsi="Verdana"/>
          <w:sz w:val="24"/>
          <w:szCs w:val="24"/>
        </w:rPr>
        <w:t>whaikaha</w:t>
      </w:r>
      <w:proofErr w:type="spellEnd"/>
      <w:r w:rsidRPr="00AE69E0">
        <w:rPr>
          <w:rFonts w:ascii="Verdana" w:hAnsi="Verdana"/>
          <w:sz w:val="24"/>
          <w:szCs w:val="24"/>
        </w:rPr>
        <w:t xml:space="preserve"> Māori and Turi Māori. It looks across digital services, information, assistive technology, skills, regulation, innovation and emerging technology.</w:t>
      </w:r>
    </w:p>
    <w:p w14:paraId="631868AC" w14:textId="119FB6C1" w:rsidR="002970BC" w:rsidRPr="009D7402" w:rsidRDefault="00AC3855" w:rsidP="009D7402">
      <w:pPr>
        <w:pStyle w:val="ListParagraph"/>
        <w:numPr>
          <w:ilvl w:val="0"/>
          <w:numId w:val="23"/>
        </w:numPr>
        <w:spacing w:before="120"/>
        <w:contextualSpacing w:val="0"/>
        <w:rPr>
          <w:rFonts w:ascii="Verdana" w:hAnsi="Verdana"/>
          <w:sz w:val="24"/>
          <w:szCs w:val="24"/>
        </w:rPr>
      </w:pPr>
      <w:r w:rsidRPr="009D7402">
        <w:rPr>
          <w:rFonts w:ascii="Verdana" w:hAnsi="Verdana"/>
          <w:sz w:val="24"/>
          <w:szCs w:val="24"/>
        </w:rPr>
        <w:t>The paper brings together published research, international examples, practitioner knowledge and lived experience to show why barriers continue, where the main system levers sit, and what Whaikaha can contribute through its stewardship role.</w:t>
      </w:r>
    </w:p>
    <w:p w14:paraId="3A748938" w14:textId="5680B9C6" w:rsidR="002970BC" w:rsidRPr="0068106A" w:rsidRDefault="00AC3855">
      <w:pPr>
        <w:pStyle w:val="Heading2"/>
        <w:rPr>
          <w:rFonts w:ascii="Verdana" w:hAnsi="Verdana"/>
          <w:color w:val="auto"/>
          <w:sz w:val="28"/>
          <w:szCs w:val="28"/>
        </w:rPr>
      </w:pPr>
      <w:r w:rsidRPr="0068106A">
        <w:rPr>
          <w:rFonts w:ascii="Verdana" w:hAnsi="Verdana"/>
          <w:color w:val="auto"/>
          <w:sz w:val="28"/>
          <w:szCs w:val="28"/>
        </w:rPr>
        <w:t xml:space="preserve">Plain English summary of the </w:t>
      </w:r>
      <w:r w:rsidR="00627400">
        <w:rPr>
          <w:rFonts w:ascii="Verdana" w:hAnsi="Verdana"/>
          <w:color w:val="auto"/>
          <w:sz w:val="28"/>
          <w:szCs w:val="28"/>
        </w:rPr>
        <w:t xml:space="preserve">digital and information issues and opportunities </w:t>
      </w:r>
      <w:r w:rsidRPr="0068106A">
        <w:rPr>
          <w:rFonts w:ascii="Verdana" w:hAnsi="Verdana"/>
          <w:color w:val="auto"/>
          <w:sz w:val="28"/>
          <w:szCs w:val="28"/>
        </w:rPr>
        <w:t>paper</w:t>
      </w:r>
    </w:p>
    <w:p w14:paraId="4143AC2D" w14:textId="659F598D" w:rsidR="002970BC" w:rsidRPr="00530AD3" w:rsidRDefault="00AC3855" w:rsidP="00530AD3">
      <w:pPr>
        <w:pStyle w:val="ListParagraph"/>
        <w:numPr>
          <w:ilvl w:val="0"/>
          <w:numId w:val="23"/>
        </w:numPr>
        <w:spacing w:before="120"/>
        <w:contextualSpacing w:val="0"/>
        <w:rPr>
          <w:rFonts w:ascii="Verdana" w:hAnsi="Verdana"/>
          <w:sz w:val="24"/>
          <w:szCs w:val="24"/>
        </w:rPr>
      </w:pPr>
      <w:r w:rsidRPr="001B7238">
        <w:rPr>
          <w:rFonts w:ascii="Verdana" w:hAnsi="Verdana"/>
          <w:sz w:val="24"/>
          <w:szCs w:val="24"/>
        </w:rPr>
        <w:t xml:space="preserve">This paper explains why disabled people can still </w:t>
      </w:r>
      <w:r w:rsidR="001B7238" w:rsidRPr="001B7238">
        <w:rPr>
          <w:rFonts w:ascii="Verdana" w:hAnsi="Verdana"/>
          <w:sz w:val="24"/>
          <w:szCs w:val="24"/>
        </w:rPr>
        <w:t>miss out</w:t>
      </w:r>
      <w:r w:rsidRPr="001B7238">
        <w:rPr>
          <w:rFonts w:ascii="Verdana" w:hAnsi="Verdana"/>
          <w:sz w:val="24"/>
          <w:szCs w:val="24"/>
        </w:rPr>
        <w:t xml:space="preserve"> when services and information move online. Digital services can </w:t>
      </w:r>
      <w:r w:rsidR="001B7238" w:rsidRPr="001B7238">
        <w:rPr>
          <w:rFonts w:ascii="Verdana" w:hAnsi="Verdana"/>
          <w:sz w:val="24"/>
          <w:szCs w:val="24"/>
        </w:rPr>
        <w:t>make life easier and give people more</w:t>
      </w:r>
      <w:r w:rsidRPr="001B7238">
        <w:rPr>
          <w:rFonts w:ascii="Verdana" w:hAnsi="Verdana"/>
          <w:sz w:val="24"/>
          <w:szCs w:val="24"/>
        </w:rPr>
        <w:t xml:space="preserve"> choice</w:t>
      </w:r>
      <w:r w:rsidR="001B7238" w:rsidRPr="001B7238">
        <w:rPr>
          <w:rFonts w:ascii="Verdana" w:hAnsi="Verdana"/>
          <w:sz w:val="24"/>
          <w:szCs w:val="24"/>
        </w:rPr>
        <w:t xml:space="preserve">. But they </w:t>
      </w:r>
      <w:r w:rsidRPr="001B7238">
        <w:rPr>
          <w:rFonts w:ascii="Verdana" w:hAnsi="Verdana"/>
          <w:sz w:val="24"/>
          <w:szCs w:val="24"/>
        </w:rPr>
        <w:t xml:space="preserve">only </w:t>
      </w:r>
      <w:r w:rsidR="001B7238" w:rsidRPr="001B7238">
        <w:rPr>
          <w:rFonts w:ascii="Verdana" w:hAnsi="Verdana"/>
          <w:sz w:val="24"/>
          <w:szCs w:val="24"/>
        </w:rPr>
        <w:t xml:space="preserve">work well </w:t>
      </w:r>
      <w:r w:rsidRPr="001B7238">
        <w:rPr>
          <w:rFonts w:ascii="Verdana" w:hAnsi="Verdana"/>
          <w:sz w:val="24"/>
          <w:szCs w:val="24"/>
        </w:rPr>
        <w:t xml:space="preserve">when they are </w:t>
      </w:r>
      <w:r w:rsidR="001B7238" w:rsidRPr="001B7238">
        <w:rPr>
          <w:rFonts w:ascii="Verdana" w:hAnsi="Verdana"/>
          <w:sz w:val="24"/>
          <w:szCs w:val="24"/>
        </w:rPr>
        <w:t>easy to use</w:t>
      </w:r>
      <w:r w:rsidRPr="001B7238">
        <w:rPr>
          <w:rFonts w:ascii="Verdana" w:hAnsi="Verdana"/>
          <w:sz w:val="24"/>
          <w:szCs w:val="24"/>
        </w:rPr>
        <w:t xml:space="preserve">, affordable, trusted and supported. </w:t>
      </w:r>
      <w:r w:rsidR="001B7238" w:rsidRPr="001B7238">
        <w:rPr>
          <w:rFonts w:ascii="Verdana" w:hAnsi="Verdana"/>
          <w:sz w:val="24"/>
          <w:szCs w:val="24"/>
        </w:rPr>
        <w:t>People also still need other options, like phone, paper or face-to-face help if they cannot or do not want to use digital services.</w:t>
      </w:r>
    </w:p>
    <w:p w14:paraId="4CD2CF57" w14:textId="72E8D2EA" w:rsidR="002970BC" w:rsidRPr="00530AD3" w:rsidRDefault="00AC3855" w:rsidP="00530AD3">
      <w:pPr>
        <w:pStyle w:val="ListParagraph"/>
        <w:numPr>
          <w:ilvl w:val="0"/>
          <w:numId w:val="23"/>
        </w:numPr>
        <w:spacing w:before="120"/>
        <w:contextualSpacing w:val="0"/>
        <w:rPr>
          <w:rFonts w:ascii="Verdana" w:hAnsi="Verdana"/>
          <w:sz w:val="24"/>
          <w:szCs w:val="24"/>
        </w:rPr>
      </w:pPr>
      <w:r w:rsidRPr="004763C1">
        <w:rPr>
          <w:rFonts w:ascii="Verdana" w:hAnsi="Verdana"/>
          <w:sz w:val="24"/>
          <w:szCs w:val="24"/>
        </w:rPr>
        <w:t xml:space="preserve">The main </w:t>
      </w:r>
      <w:r w:rsidR="004763C1" w:rsidRPr="004763C1">
        <w:rPr>
          <w:rFonts w:ascii="Verdana" w:hAnsi="Verdana"/>
          <w:sz w:val="24"/>
          <w:szCs w:val="24"/>
        </w:rPr>
        <w:t>message</w:t>
      </w:r>
      <w:r w:rsidRPr="004763C1">
        <w:rPr>
          <w:rFonts w:ascii="Verdana" w:hAnsi="Verdana"/>
          <w:sz w:val="24"/>
          <w:szCs w:val="24"/>
        </w:rPr>
        <w:t xml:space="preserve"> is that </w:t>
      </w:r>
      <w:r w:rsidR="004763C1" w:rsidRPr="004763C1">
        <w:rPr>
          <w:rFonts w:ascii="Verdana" w:hAnsi="Verdana"/>
          <w:sz w:val="24"/>
          <w:szCs w:val="24"/>
        </w:rPr>
        <w:t>people need many things to work together.</w:t>
      </w:r>
      <w:r w:rsidRPr="004763C1">
        <w:rPr>
          <w:rFonts w:ascii="Verdana" w:hAnsi="Verdana"/>
          <w:sz w:val="24"/>
          <w:szCs w:val="24"/>
        </w:rPr>
        <w:t xml:space="preserve"> A person may need </w:t>
      </w:r>
      <w:r w:rsidR="004763C1" w:rsidRPr="004763C1">
        <w:rPr>
          <w:rFonts w:ascii="Verdana" w:hAnsi="Verdana"/>
          <w:sz w:val="24"/>
          <w:szCs w:val="24"/>
        </w:rPr>
        <w:t xml:space="preserve">a </w:t>
      </w:r>
      <w:r w:rsidRPr="004763C1">
        <w:rPr>
          <w:rFonts w:ascii="Verdana" w:hAnsi="Verdana"/>
          <w:sz w:val="24"/>
          <w:szCs w:val="24"/>
        </w:rPr>
        <w:t>device</w:t>
      </w:r>
      <w:r w:rsidR="004763C1" w:rsidRPr="004763C1">
        <w:rPr>
          <w:rFonts w:ascii="Verdana" w:hAnsi="Verdana"/>
          <w:sz w:val="24"/>
          <w:szCs w:val="24"/>
        </w:rPr>
        <w:t xml:space="preserve"> they can afford, good</w:t>
      </w:r>
      <w:r w:rsidRPr="004763C1">
        <w:rPr>
          <w:rFonts w:ascii="Verdana" w:hAnsi="Verdana"/>
          <w:sz w:val="24"/>
          <w:szCs w:val="24"/>
        </w:rPr>
        <w:t xml:space="preserve"> internet, information</w:t>
      </w:r>
      <w:r w:rsidR="004763C1" w:rsidRPr="004763C1">
        <w:rPr>
          <w:rFonts w:ascii="Verdana" w:hAnsi="Verdana"/>
          <w:sz w:val="24"/>
          <w:szCs w:val="24"/>
        </w:rPr>
        <w:t xml:space="preserve"> they can understand, the right</w:t>
      </w:r>
      <w:r w:rsidRPr="004763C1">
        <w:rPr>
          <w:rFonts w:ascii="Verdana" w:hAnsi="Verdana"/>
          <w:sz w:val="24"/>
          <w:szCs w:val="24"/>
        </w:rPr>
        <w:t xml:space="preserve"> assistive technology, digital skills, support, and a safe way to prove </w:t>
      </w:r>
      <w:r w:rsidR="004763C1" w:rsidRPr="004763C1">
        <w:rPr>
          <w:rFonts w:ascii="Verdana" w:hAnsi="Verdana"/>
          <w:sz w:val="24"/>
          <w:szCs w:val="24"/>
        </w:rPr>
        <w:t>who they are.</w:t>
      </w:r>
      <w:r w:rsidRPr="004763C1">
        <w:rPr>
          <w:rFonts w:ascii="Verdana" w:hAnsi="Verdana"/>
          <w:sz w:val="24"/>
          <w:szCs w:val="24"/>
        </w:rPr>
        <w:t xml:space="preserve"> If one part </w:t>
      </w:r>
      <w:r w:rsidR="004763C1" w:rsidRPr="004763C1">
        <w:rPr>
          <w:rFonts w:ascii="Verdana" w:hAnsi="Verdana"/>
          <w:sz w:val="24"/>
          <w:szCs w:val="24"/>
        </w:rPr>
        <w:t>does not work</w:t>
      </w:r>
      <w:r w:rsidRPr="004763C1">
        <w:rPr>
          <w:rFonts w:ascii="Verdana" w:hAnsi="Verdana"/>
          <w:sz w:val="24"/>
          <w:szCs w:val="24"/>
        </w:rPr>
        <w:t xml:space="preserve">, the whole </w:t>
      </w:r>
      <w:r w:rsidR="004763C1" w:rsidRPr="004763C1">
        <w:rPr>
          <w:rFonts w:ascii="Verdana" w:hAnsi="Verdana"/>
          <w:sz w:val="24"/>
          <w:szCs w:val="24"/>
        </w:rPr>
        <w:t>service</w:t>
      </w:r>
      <w:r w:rsidRPr="004763C1">
        <w:rPr>
          <w:rFonts w:ascii="Verdana" w:hAnsi="Verdana"/>
          <w:sz w:val="24"/>
          <w:szCs w:val="24"/>
        </w:rPr>
        <w:t xml:space="preserve"> </w:t>
      </w:r>
      <w:r w:rsidR="005547D7">
        <w:rPr>
          <w:rFonts w:ascii="Verdana" w:hAnsi="Verdana"/>
          <w:sz w:val="24"/>
          <w:szCs w:val="24"/>
        </w:rPr>
        <w:t xml:space="preserve">or communication </w:t>
      </w:r>
      <w:r w:rsidRPr="004763C1">
        <w:rPr>
          <w:rFonts w:ascii="Verdana" w:hAnsi="Verdana"/>
          <w:sz w:val="24"/>
          <w:szCs w:val="24"/>
        </w:rPr>
        <w:t>can fail</w:t>
      </w:r>
      <w:r w:rsidR="004763C1" w:rsidRPr="004763C1">
        <w:rPr>
          <w:rFonts w:ascii="Verdana" w:hAnsi="Verdana"/>
          <w:sz w:val="24"/>
          <w:szCs w:val="24"/>
        </w:rPr>
        <w:t xml:space="preserve"> for them</w:t>
      </w:r>
      <w:r w:rsidRPr="004763C1">
        <w:rPr>
          <w:rFonts w:ascii="Verdana" w:hAnsi="Verdana"/>
          <w:sz w:val="24"/>
          <w:szCs w:val="24"/>
        </w:rPr>
        <w:t>.</w:t>
      </w:r>
    </w:p>
    <w:p w14:paraId="461B4A9E" w14:textId="24C632C9" w:rsidR="002970BC" w:rsidRPr="00530AD3" w:rsidRDefault="00ED1CC9" w:rsidP="00530AD3">
      <w:pPr>
        <w:pStyle w:val="ListParagraph"/>
        <w:numPr>
          <w:ilvl w:val="0"/>
          <w:numId w:val="23"/>
        </w:numPr>
        <w:spacing w:before="120"/>
        <w:contextualSpacing w:val="0"/>
        <w:rPr>
          <w:rFonts w:ascii="Verdana" w:hAnsi="Verdana"/>
          <w:sz w:val="24"/>
          <w:szCs w:val="24"/>
        </w:rPr>
      </w:pPr>
      <w:r w:rsidRPr="00ED1CC9">
        <w:rPr>
          <w:rFonts w:ascii="Verdana" w:hAnsi="Verdana"/>
          <w:sz w:val="24"/>
          <w:szCs w:val="24"/>
        </w:rPr>
        <w:t xml:space="preserve">The problems are linked. Some people do not have good internet or devices. Some websites, forms and documents are hard to use. Some people cannot get </w:t>
      </w:r>
      <w:r w:rsidR="004026E0">
        <w:rPr>
          <w:rFonts w:ascii="Verdana" w:hAnsi="Verdana"/>
          <w:sz w:val="24"/>
          <w:szCs w:val="24"/>
        </w:rPr>
        <w:t xml:space="preserve">or afford </w:t>
      </w:r>
      <w:r w:rsidRPr="00ED1CC9">
        <w:rPr>
          <w:rFonts w:ascii="Verdana" w:hAnsi="Verdana"/>
          <w:sz w:val="24"/>
          <w:szCs w:val="24"/>
        </w:rPr>
        <w:t>the assistive technology they need. Many organisations do not understand accessibility well. There are not enough trained accessibility workers. Rules are weak, and new technology can create new problems if people do not think about accessibility early.</w:t>
      </w:r>
    </w:p>
    <w:p w14:paraId="5A1FC55F" w14:textId="77777777" w:rsidR="002970BC" w:rsidRPr="00530AD3" w:rsidRDefault="00AC3855" w:rsidP="00530AD3">
      <w:pPr>
        <w:pStyle w:val="ListParagraph"/>
        <w:numPr>
          <w:ilvl w:val="0"/>
          <w:numId w:val="23"/>
        </w:numPr>
        <w:spacing w:before="120"/>
        <w:contextualSpacing w:val="0"/>
        <w:rPr>
          <w:rFonts w:ascii="Verdana" w:hAnsi="Verdana"/>
          <w:sz w:val="24"/>
          <w:szCs w:val="24"/>
        </w:rPr>
      </w:pPr>
      <w:r w:rsidRPr="00CE5FF9">
        <w:rPr>
          <w:rFonts w:ascii="Verdana" w:hAnsi="Verdana"/>
          <w:sz w:val="24"/>
          <w:szCs w:val="24"/>
        </w:rPr>
        <w:t xml:space="preserve">These problems </w:t>
      </w:r>
      <w:r w:rsidR="00CE5FF9" w:rsidRPr="00CE5FF9">
        <w:rPr>
          <w:rFonts w:ascii="Verdana" w:hAnsi="Verdana"/>
          <w:sz w:val="24"/>
          <w:szCs w:val="24"/>
        </w:rPr>
        <w:t>keep happening</w:t>
      </w:r>
      <w:r w:rsidRPr="00CE5FF9">
        <w:rPr>
          <w:rFonts w:ascii="Verdana" w:hAnsi="Verdana"/>
          <w:sz w:val="24"/>
          <w:szCs w:val="24"/>
        </w:rPr>
        <w:t xml:space="preserve"> because accessibility is often </w:t>
      </w:r>
      <w:r w:rsidR="00CE5FF9" w:rsidRPr="00CE5FF9">
        <w:rPr>
          <w:rFonts w:ascii="Verdana" w:hAnsi="Verdana"/>
          <w:sz w:val="24"/>
          <w:szCs w:val="24"/>
        </w:rPr>
        <w:t>thought about too</w:t>
      </w:r>
      <w:r w:rsidRPr="00CE5FF9">
        <w:rPr>
          <w:rFonts w:ascii="Verdana" w:hAnsi="Verdana"/>
          <w:sz w:val="24"/>
          <w:szCs w:val="24"/>
        </w:rPr>
        <w:t xml:space="preserve"> late</w:t>
      </w:r>
      <w:r w:rsidR="00CE5FF9" w:rsidRPr="00CE5FF9">
        <w:rPr>
          <w:rFonts w:ascii="Verdana" w:hAnsi="Verdana"/>
          <w:sz w:val="24"/>
          <w:szCs w:val="24"/>
        </w:rPr>
        <w:t>. Many different</w:t>
      </w:r>
      <w:r w:rsidRPr="00CE5FF9">
        <w:rPr>
          <w:rFonts w:ascii="Verdana" w:hAnsi="Verdana"/>
          <w:sz w:val="24"/>
          <w:szCs w:val="24"/>
        </w:rPr>
        <w:t xml:space="preserve"> organisations</w:t>
      </w:r>
      <w:r w:rsidR="00CE5FF9" w:rsidRPr="00CE5FF9">
        <w:rPr>
          <w:rFonts w:ascii="Verdana" w:hAnsi="Verdana"/>
          <w:sz w:val="24"/>
          <w:szCs w:val="24"/>
        </w:rPr>
        <w:t xml:space="preserve"> share the responsibility, so it</w:t>
      </w:r>
      <w:r w:rsidRPr="00CE5FF9">
        <w:rPr>
          <w:rFonts w:ascii="Verdana" w:hAnsi="Verdana"/>
          <w:sz w:val="24"/>
          <w:szCs w:val="24"/>
        </w:rPr>
        <w:t xml:space="preserve"> is not </w:t>
      </w:r>
      <w:r w:rsidR="00CE5FF9" w:rsidRPr="00CE5FF9">
        <w:rPr>
          <w:rFonts w:ascii="Verdana" w:hAnsi="Verdana"/>
          <w:sz w:val="24"/>
          <w:szCs w:val="24"/>
        </w:rPr>
        <w:t>always clear who should fix the problem. Progress is not always checked.</w:t>
      </w:r>
      <w:r w:rsidRPr="00CE5FF9">
        <w:rPr>
          <w:rFonts w:ascii="Verdana" w:hAnsi="Verdana"/>
          <w:sz w:val="24"/>
          <w:szCs w:val="24"/>
        </w:rPr>
        <w:t xml:space="preserve"> Disabled people are also not always involved early enough </w:t>
      </w:r>
      <w:r w:rsidR="00CE5FF9" w:rsidRPr="00CE5FF9">
        <w:rPr>
          <w:rFonts w:ascii="Verdana" w:hAnsi="Verdana"/>
          <w:sz w:val="24"/>
          <w:szCs w:val="24"/>
        </w:rPr>
        <w:t>when services are designed, tested or bought.</w:t>
      </w:r>
    </w:p>
    <w:p w14:paraId="0C5E268A" w14:textId="77777777" w:rsidR="002970BC" w:rsidRPr="00530AD3" w:rsidRDefault="00466E08" w:rsidP="00530AD3">
      <w:pPr>
        <w:pStyle w:val="ListParagraph"/>
        <w:numPr>
          <w:ilvl w:val="0"/>
          <w:numId w:val="23"/>
        </w:numPr>
        <w:spacing w:before="120"/>
        <w:contextualSpacing w:val="0"/>
        <w:rPr>
          <w:rFonts w:ascii="Verdana" w:hAnsi="Verdana"/>
          <w:sz w:val="24"/>
          <w:szCs w:val="24"/>
        </w:rPr>
      </w:pPr>
      <w:r w:rsidRPr="00466E08">
        <w:rPr>
          <w:rFonts w:ascii="Verdana" w:hAnsi="Verdana"/>
          <w:sz w:val="24"/>
          <w:szCs w:val="24"/>
        </w:rPr>
        <w:t>The evidence shows there is a real and ongoing problem. But there are still things we need to know more about. We need better information about who is being left out, who can get assistive technology, how accessible services are, how skilled the workforce is, and what solutions work best.</w:t>
      </w:r>
    </w:p>
    <w:p w14:paraId="5C4761F4" w14:textId="1D99B113" w:rsidR="002970BC" w:rsidRPr="00530AD3" w:rsidRDefault="00AC3855" w:rsidP="00530AD3">
      <w:pPr>
        <w:pStyle w:val="ListParagraph"/>
        <w:numPr>
          <w:ilvl w:val="0"/>
          <w:numId w:val="23"/>
        </w:numPr>
        <w:spacing w:before="120"/>
        <w:contextualSpacing w:val="0"/>
        <w:rPr>
          <w:rFonts w:ascii="Verdana" w:hAnsi="Verdana"/>
          <w:sz w:val="24"/>
          <w:szCs w:val="24"/>
        </w:rPr>
      </w:pPr>
      <w:r w:rsidRPr="00B12148">
        <w:rPr>
          <w:rFonts w:ascii="Verdana" w:hAnsi="Verdana"/>
          <w:sz w:val="24"/>
          <w:szCs w:val="24"/>
        </w:rPr>
        <w:t xml:space="preserve">Whaikaha does not control the whole digital system. </w:t>
      </w:r>
      <w:r w:rsidR="00B12148" w:rsidRPr="00B12148">
        <w:rPr>
          <w:rFonts w:ascii="Verdana" w:hAnsi="Verdana"/>
          <w:sz w:val="24"/>
          <w:szCs w:val="24"/>
        </w:rPr>
        <w:t>Its best</w:t>
      </w:r>
      <w:r w:rsidRPr="00B12148">
        <w:rPr>
          <w:rFonts w:ascii="Verdana" w:hAnsi="Verdana"/>
          <w:sz w:val="24"/>
          <w:szCs w:val="24"/>
        </w:rPr>
        <w:t xml:space="preserve"> role is </w:t>
      </w:r>
      <w:r w:rsidR="00B12148" w:rsidRPr="00B12148">
        <w:rPr>
          <w:rFonts w:ascii="Verdana" w:hAnsi="Verdana"/>
          <w:sz w:val="24"/>
          <w:szCs w:val="24"/>
        </w:rPr>
        <w:t>to help guide the</w:t>
      </w:r>
      <w:r w:rsidRPr="00B12148">
        <w:rPr>
          <w:rFonts w:ascii="Verdana" w:hAnsi="Verdana"/>
          <w:sz w:val="24"/>
          <w:szCs w:val="24"/>
        </w:rPr>
        <w:t xml:space="preserve"> system</w:t>
      </w:r>
      <w:r w:rsidR="00CC7FCC">
        <w:rPr>
          <w:rFonts w:ascii="Verdana" w:hAnsi="Verdana"/>
          <w:sz w:val="24"/>
          <w:szCs w:val="24"/>
        </w:rPr>
        <w:t xml:space="preserve"> and lead the conversation</w:t>
      </w:r>
      <w:r w:rsidR="00B12148" w:rsidRPr="00B12148">
        <w:rPr>
          <w:rFonts w:ascii="Verdana" w:hAnsi="Verdana"/>
          <w:sz w:val="24"/>
          <w:szCs w:val="24"/>
        </w:rPr>
        <w:t>.</w:t>
      </w:r>
      <w:r w:rsidRPr="00B12148">
        <w:rPr>
          <w:rFonts w:ascii="Verdana" w:hAnsi="Verdana"/>
          <w:sz w:val="24"/>
          <w:szCs w:val="24"/>
        </w:rPr>
        <w:t xml:space="preserve"> It can bring </w:t>
      </w:r>
      <w:r w:rsidR="00B12148" w:rsidRPr="00B12148">
        <w:rPr>
          <w:rFonts w:ascii="Verdana" w:hAnsi="Verdana"/>
          <w:sz w:val="24"/>
          <w:szCs w:val="24"/>
        </w:rPr>
        <w:t>together disabled people’s experiences</w:t>
      </w:r>
      <w:r w:rsidRPr="00B12148">
        <w:rPr>
          <w:rFonts w:ascii="Verdana" w:hAnsi="Verdana"/>
          <w:sz w:val="24"/>
          <w:szCs w:val="24"/>
        </w:rPr>
        <w:t xml:space="preserve"> and evidence</w:t>
      </w:r>
      <w:r w:rsidR="00B12148" w:rsidRPr="00B12148">
        <w:rPr>
          <w:rFonts w:ascii="Verdana" w:hAnsi="Verdana"/>
          <w:sz w:val="24"/>
          <w:szCs w:val="24"/>
        </w:rPr>
        <w:t xml:space="preserve">, work with other </w:t>
      </w:r>
      <w:r w:rsidRPr="00B12148">
        <w:rPr>
          <w:rFonts w:ascii="Verdana" w:hAnsi="Verdana"/>
          <w:sz w:val="24"/>
          <w:szCs w:val="24"/>
        </w:rPr>
        <w:t xml:space="preserve">government </w:t>
      </w:r>
      <w:r w:rsidR="00B12148" w:rsidRPr="00B12148">
        <w:rPr>
          <w:rFonts w:ascii="Verdana" w:hAnsi="Verdana"/>
          <w:sz w:val="24"/>
          <w:szCs w:val="24"/>
        </w:rPr>
        <w:t>agencies</w:t>
      </w:r>
      <w:r w:rsidRPr="00B12148">
        <w:rPr>
          <w:rFonts w:ascii="Verdana" w:hAnsi="Verdana"/>
          <w:sz w:val="24"/>
          <w:szCs w:val="24"/>
        </w:rPr>
        <w:t xml:space="preserve">, support </w:t>
      </w:r>
      <w:r w:rsidR="00B12148" w:rsidRPr="00B12148">
        <w:rPr>
          <w:rFonts w:ascii="Verdana" w:hAnsi="Verdana"/>
          <w:sz w:val="24"/>
          <w:szCs w:val="24"/>
        </w:rPr>
        <w:t>useful</w:t>
      </w:r>
      <w:r w:rsidRPr="00B12148">
        <w:rPr>
          <w:rFonts w:ascii="Verdana" w:hAnsi="Verdana"/>
          <w:sz w:val="24"/>
          <w:szCs w:val="24"/>
        </w:rPr>
        <w:t xml:space="preserve"> guidance and </w:t>
      </w:r>
      <w:r w:rsidR="00B12148" w:rsidRPr="00B12148">
        <w:rPr>
          <w:rFonts w:ascii="Verdana" w:hAnsi="Verdana"/>
          <w:sz w:val="24"/>
          <w:szCs w:val="24"/>
        </w:rPr>
        <w:t>training, push for</w:t>
      </w:r>
      <w:r w:rsidRPr="00B12148">
        <w:rPr>
          <w:rFonts w:ascii="Verdana" w:hAnsi="Verdana"/>
          <w:sz w:val="24"/>
          <w:szCs w:val="24"/>
        </w:rPr>
        <w:t xml:space="preserve"> stronger accountability, and </w:t>
      </w:r>
      <w:r w:rsidR="00B12148" w:rsidRPr="00B12148">
        <w:rPr>
          <w:rFonts w:ascii="Verdana" w:hAnsi="Verdana"/>
          <w:sz w:val="24"/>
          <w:szCs w:val="24"/>
        </w:rPr>
        <w:t>make sure</w:t>
      </w:r>
      <w:r w:rsidRPr="00B12148">
        <w:rPr>
          <w:rFonts w:ascii="Verdana" w:hAnsi="Verdana"/>
          <w:sz w:val="24"/>
          <w:szCs w:val="24"/>
        </w:rPr>
        <w:t xml:space="preserve"> disability rights </w:t>
      </w:r>
      <w:r w:rsidR="00B12148" w:rsidRPr="00B12148">
        <w:rPr>
          <w:rFonts w:ascii="Verdana" w:hAnsi="Verdana"/>
          <w:sz w:val="24"/>
          <w:szCs w:val="24"/>
        </w:rPr>
        <w:t>are considered when new</w:t>
      </w:r>
      <w:r w:rsidRPr="00B12148">
        <w:rPr>
          <w:rFonts w:ascii="Verdana" w:hAnsi="Verdana"/>
          <w:sz w:val="24"/>
          <w:szCs w:val="24"/>
        </w:rPr>
        <w:t xml:space="preserve"> technology </w:t>
      </w:r>
      <w:r w:rsidR="00B12148" w:rsidRPr="00B12148">
        <w:rPr>
          <w:rFonts w:ascii="Verdana" w:hAnsi="Verdana"/>
          <w:sz w:val="24"/>
          <w:szCs w:val="24"/>
        </w:rPr>
        <w:t>is used</w:t>
      </w:r>
      <w:r w:rsidRPr="00B12148">
        <w:rPr>
          <w:rFonts w:ascii="Verdana" w:hAnsi="Verdana"/>
          <w:sz w:val="24"/>
          <w:szCs w:val="24"/>
        </w:rPr>
        <w:t>.</w:t>
      </w:r>
    </w:p>
    <w:p w14:paraId="15367621" w14:textId="27247F2E" w:rsidR="003122EA" w:rsidRDefault="004145FC" w:rsidP="00530AD3">
      <w:pPr>
        <w:pStyle w:val="ListParagraph"/>
        <w:numPr>
          <w:ilvl w:val="0"/>
          <w:numId w:val="23"/>
        </w:numPr>
        <w:spacing w:before="120"/>
        <w:contextualSpacing w:val="0"/>
        <w:rPr>
          <w:rFonts w:ascii="Verdana" w:hAnsi="Verdana"/>
          <w:sz w:val="24"/>
          <w:szCs w:val="24"/>
        </w:rPr>
      </w:pPr>
      <w:r w:rsidRPr="004145FC">
        <w:rPr>
          <w:rFonts w:ascii="Verdana" w:hAnsi="Verdana"/>
          <w:sz w:val="24"/>
          <w:szCs w:val="24"/>
        </w:rPr>
        <w:t>The paper suggests actions for</w:t>
      </w:r>
      <w:r w:rsidR="003122EA">
        <w:rPr>
          <w:rFonts w:ascii="Verdana" w:hAnsi="Verdana"/>
          <w:sz w:val="24"/>
          <w:szCs w:val="24"/>
        </w:rPr>
        <w:t xml:space="preserve"> Whaikaha for</w:t>
      </w:r>
      <w:r w:rsidRPr="004145FC">
        <w:rPr>
          <w:rFonts w:ascii="Verdana" w:hAnsi="Verdana"/>
          <w:sz w:val="24"/>
          <w:szCs w:val="24"/>
        </w:rPr>
        <w:t xml:space="preserve"> now, soon and later. </w:t>
      </w:r>
    </w:p>
    <w:p w14:paraId="3AA8966A" w14:textId="77777777" w:rsidR="003122EA" w:rsidRDefault="004145FC" w:rsidP="003122EA">
      <w:pPr>
        <w:pStyle w:val="ListParagraph"/>
        <w:numPr>
          <w:ilvl w:val="1"/>
          <w:numId w:val="23"/>
        </w:numPr>
        <w:spacing w:before="120"/>
        <w:contextualSpacing w:val="0"/>
        <w:rPr>
          <w:rFonts w:ascii="Verdana" w:hAnsi="Verdana"/>
          <w:sz w:val="24"/>
          <w:szCs w:val="24"/>
        </w:rPr>
      </w:pPr>
      <w:r w:rsidRPr="004145FC">
        <w:rPr>
          <w:rFonts w:ascii="Verdana" w:hAnsi="Verdana"/>
          <w:sz w:val="24"/>
          <w:szCs w:val="24"/>
        </w:rPr>
        <w:t xml:space="preserve">First, Whaikaha could help people agree on the main problems and priorities. </w:t>
      </w:r>
    </w:p>
    <w:p w14:paraId="3AC34ECD" w14:textId="77777777" w:rsidR="003122EA" w:rsidRDefault="004145FC" w:rsidP="003122EA">
      <w:pPr>
        <w:pStyle w:val="ListParagraph"/>
        <w:numPr>
          <w:ilvl w:val="1"/>
          <w:numId w:val="23"/>
        </w:numPr>
        <w:spacing w:before="120"/>
        <w:contextualSpacing w:val="0"/>
        <w:rPr>
          <w:rFonts w:ascii="Verdana" w:hAnsi="Verdana"/>
          <w:sz w:val="24"/>
          <w:szCs w:val="24"/>
        </w:rPr>
      </w:pPr>
      <w:r w:rsidRPr="004145FC">
        <w:rPr>
          <w:rFonts w:ascii="Verdana" w:hAnsi="Verdana"/>
          <w:sz w:val="24"/>
          <w:szCs w:val="24"/>
        </w:rPr>
        <w:t>Next, it could help build support, evidence, participation and skills.</w:t>
      </w:r>
    </w:p>
    <w:p w14:paraId="274CD68F" w14:textId="3EF43C8A" w:rsidR="002970BC" w:rsidRPr="00530AD3" w:rsidRDefault="004145FC" w:rsidP="003122EA">
      <w:pPr>
        <w:pStyle w:val="ListParagraph"/>
        <w:numPr>
          <w:ilvl w:val="1"/>
          <w:numId w:val="23"/>
        </w:numPr>
        <w:spacing w:before="120"/>
        <w:contextualSpacing w:val="0"/>
        <w:rPr>
          <w:rFonts w:ascii="Verdana" w:hAnsi="Verdana"/>
          <w:sz w:val="24"/>
          <w:szCs w:val="24"/>
        </w:rPr>
      </w:pPr>
      <w:r w:rsidRPr="004145FC">
        <w:rPr>
          <w:rFonts w:ascii="Verdana" w:hAnsi="Verdana"/>
          <w:sz w:val="24"/>
          <w:szCs w:val="24"/>
        </w:rPr>
        <w:t>Over time, it could help improve rules, buying decisions, workforce training, innovation and safety checks for new technology.</w:t>
      </w:r>
    </w:p>
    <w:p w14:paraId="6F70DDB8" w14:textId="534595FD" w:rsidR="00A60EAA" w:rsidRDefault="00A60EAA">
      <w:pPr>
        <w:pStyle w:val="Heading2"/>
        <w:rPr>
          <w:rFonts w:ascii="Verdana" w:hAnsi="Verdana"/>
          <w:color w:val="auto"/>
          <w:sz w:val="28"/>
          <w:szCs w:val="28"/>
        </w:rPr>
      </w:pPr>
      <w:r>
        <w:rPr>
          <w:rFonts w:ascii="Verdana" w:hAnsi="Verdana"/>
          <w:color w:val="auto"/>
          <w:sz w:val="28"/>
          <w:szCs w:val="28"/>
        </w:rPr>
        <w:t>Full paper</w:t>
      </w:r>
    </w:p>
    <w:p w14:paraId="09081A48" w14:textId="5BE15B1A" w:rsidR="002970BC" w:rsidRPr="0068106A" w:rsidRDefault="00AC3855">
      <w:pPr>
        <w:pStyle w:val="Heading2"/>
        <w:rPr>
          <w:rFonts w:ascii="Verdana" w:hAnsi="Verdana"/>
          <w:color w:val="auto"/>
          <w:sz w:val="28"/>
          <w:szCs w:val="28"/>
        </w:rPr>
      </w:pPr>
      <w:r w:rsidRPr="0068106A">
        <w:rPr>
          <w:rFonts w:ascii="Verdana" w:hAnsi="Verdana"/>
          <w:color w:val="auto"/>
          <w:sz w:val="28"/>
          <w:szCs w:val="28"/>
        </w:rPr>
        <w:t>Accessible digital services and information enable people to take part in everyday life</w:t>
      </w:r>
    </w:p>
    <w:p w14:paraId="642B0129" w14:textId="77777777" w:rsidR="005322FB" w:rsidRPr="005322FB" w:rsidRDefault="00AC3855" w:rsidP="00035906">
      <w:pPr>
        <w:pStyle w:val="ListParagraph"/>
        <w:numPr>
          <w:ilvl w:val="0"/>
          <w:numId w:val="23"/>
        </w:numPr>
        <w:spacing w:before="120"/>
        <w:ind w:left="454" w:hanging="454"/>
        <w:rPr>
          <w:rFonts w:ascii="Verdana" w:hAnsi="Verdana"/>
          <w:sz w:val="24"/>
          <w:szCs w:val="24"/>
        </w:rPr>
      </w:pPr>
      <w:r w:rsidRPr="005322FB">
        <w:rPr>
          <w:rFonts w:ascii="Verdana" w:hAnsi="Verdana"/>
          <w:sz w:val="24"/>
          <w:szCs w:val="24"/>
        </w:rPr>
        <w:t>Digital access supports employment, education, healthcare, banking, government services, shopping, communication and community participation. When services and information are accessible, people have more choice, independence and control.</w:t>
      </w:r>
    </w:p>
    <w:p w14:paraId="658B0563" w14:textId="7C625A31" w:rsidR="002970BC" w:rsidRPr="005322FB" w:rsidRDefault="00AC3855" w:rsidP="00035906">
      <w:pPr>
        <w:pStyle w:val="ListParagraph"/>
        <w:numPr>
          <w:ilvl w:val="0"/>
          <w:numId w:val="23"/>
        </w:numPr>
        <w:spacing w:before="120"/>
        <w:ind w:left="454" w:hanging="454"/>
        <w:rPr>
          <w:rFonts w:ascii="Verdana" w:hAnsi="Verdana"/>
          <w:sz w:val="24"/>
          <w:szCs w:val="24"/>
        </w:rPr>
      </w:pPr>
      <w:r w:rsidRPr="005322FB">
        <w:rPr>
          <w:rFonts w:ascii="Verdana" w:hAnsi="Verdana"/>
          <w:sz w:val="24"/>
          <w:szCs w:val="24"/>
        </w:rPr>
        <w:t>Accessible digital services also benefit older people, people with temporary impairments, people with low digital confidence, and people using different devices or working in difficult environments.</w:t>
      </w:r>
    </w:p>
    <w:p w14:paraId="215A92F0" w14:textId="640F9BFD" w:rsidR="002970BC" w:rsidRPr="005322FB" w:rsidRDefault="00AC3855" w:rsidP="00035906">
      <w:pPr>
        <w:pStyle w:val="ListParagraph"/>
        <w:numPr>
          <w:ilvl w:val="0"/>
          <w:numId w:val="23"/>
        </w:numPr>
        <w:spacing w:before="120"/>
        <w:ind w:left="454" w:hanging="454"/>
        <w:rPr>
          <w:rFonts w:ascii="Verdana" w:hAnsi="Verdana"/>
          <w:sz w:val="24"/>
          <w:szCs w:val="24"/>
        </w:rPr>
      </w:pPr>
      <w:r w:rsidRPr="005322FB">
        <w:rPr>
          <w:rFonts w:ascii="Verdana" w:hAnsi="Verdana"/>
          <w:sz w:val="24"/>
          <w:szCs w:val="24"/>
        </w:rPr>
        <w:t>When digital access fails, opportunities close. People may miss information, be unable to complete forms, need help with private tasks, lose trust in services, or be excluded from work, study and community life.</w:t>
      </w:r>
    </w:p>
    <w:p w14:paraId="2AC3D136" w14:textId="031251C9" w:rsidR="002970BC" w:rsidRPr="005322FB" w:rsidRDefault="00AC3855" w:rsidP="00035906">
      <w:pPr>
        <w:pStyle w:val="ListParagraph"/>
        <w:numPr>
          <w:ilvl w:val="0"/>
          <w:numId w:val="23"/>
        </w:numPr>
        <w:spacing w:before="120"/>
        <w:ind w:left="454" w:hanging="454"/>
        <w:rPr>
          <w:rFonts w:ascii="Verdana" w:hAnsi="Verdana"/>
          <w:sz w:val="24"/>
          <w:szCs w:val="24"/>
        </w:rPr>
      </w:pPr>
      <w:r w:rsidRPr="005322FB">
        <w:rPr>
          <w:rFonts w:ascii="Verdana" w:hAnsi="Verdana"/>
          <w:sz w:val="24"/>
          <w:szCs w:val="24"/>
        </w:rPr>
        <w:t>Digital participation is not only about internet access. It depends on whether the whole system works together. Barriers continue because:</w:t>
      </w:r>
    </w:p>
    <w:p w14:paraId="353DDE28" w14:textId="731EC550" w:rsidR="002970BC" w:rsidRPr="005322FB" w:rsidRDefault="00AC3855" w:rsidP="005322FB">
      <w:pPr>
        <w:pStyle w:val="ListParagraph"/>
        <w:numPr>
          <w:ilvl w:val="1"/>
          <w:numId w:val="23"/>
        </w:numPr>
        <w:spacing w:before="120"/>
        <w:contextualSpacing w:val="0"/>
        <w:rPr>
          <w:rFonts w:ascii="Verdana" w:hAnsi="Verdana"/>
          <w:sz w:val="24"/>
          <w:szCs w:val="24"/>
        </w:rPr>
      </w:pPr>
      <w:r w:rsidRPr="005322FB">
        <w:rPr>
          <w:rFonts w:ascii="Verdana" w:hAnsi="Verdana"/>
          <w:sz w:val="24"/>
          <w:szCs w:val="24"/>
        </w:rPr>
        <w:t>affordable devices, connectivity and assistive technology are not consistently available,</w:t>
      </w:r>
    </w:p>
    <w:p w14:paraId="218080B2" w14:textId="257CAF20" w:rsidR="002970BC" w:rsidRPr="005322FB" w:rsidRDefault="005322FB" w:rsidP="005322FB">
      <w:pPr>
        <w:pStyle w:val="ListParagraph"/>
        <w:numPr>
          <w:ilvl w:val="1"/>
          <w:numId w:val="23"/>
        </w:numPr>
        <w:spacing w:before="120"/>
        <w:contextualSpacing w:val="0"/>
        <w:rPr>
          <w:rFonts w:ascii="Verdana" w:hAnsi="Verdana"/>
          <w:sz w:val="24"/>
          <w:szCs w:val="24"/>
        </w:rPr>
      </w:pPr>
      <w:r>
        <w:rPr>
          <w:rFonts w:ascii="Verdana" w:hAnsi="Verdana"/>
          <w:sz w:val="24"/>
          <w:szCs w:val="24"/>
        </w:rPr>
        <w:t>i</w:t>
      </w:r>
      <w:r w:rsidRPr="005322FB">
        <w:rPr>
          <w:rFonts w:ascii="Verdana" w:hAnsi="Verdana"/>
          <w:sz w:val="24"/>
          <w:szCs w:val="24"/>
        </w:rPr>
        <w:t>nformation and services are not always accessible from the beginning,</w:t>
      </w:r>
    </w:p>
    <w:p w14:paraId="59D5F02C" w14:textId="09BAB5E7" w:rsidR="002970BC" w:rsidRPr="005322FB" w:rsidRDefault="00AC3855" w:rsidP="005322FB">
      <w:pPr>
        <w:pStyle w:val="ListParagraph"/>
        <w:numPr>
          <w:ilvl w:val="1"/>
          <w:numId w:val="23"/>
        </w:numPr>
        <w:spacing w:before="120"/>
        <w:contextualSpacing w:val="0"/>
        <w:rPr>
          <w:rFonts w:ascii="Verdana" w:hAnsi="Verdana"/>
          <w:sz w:val="24"/>
          <w:szCs w:val="24"/>
        </w:rPr>
      </w:pPr>
      <w:r w:rsidRPr="005322FB">
        <w:rPr>
          <w:rFonts w:ascii="Verdana" w:hAnsi="Verdana"/>
          <w:sz w:val="24"/>
          <w:szCs w:val="24"/>
        </w:rPr>
        <w:t xml:space="preserve">accessibility capability and accountability are </w:t>
      </w:r>
      <w:r w:rsidR="00CE36A1">
        <w:rPr>
          <w:rFonts w:ascii="Verdana" w:hAnsi="Verdana"/>
          <w:sz w:val="24"/>
          <w:szCs w:val="24"/>
        </w:rPr>
        <w:t>ad</w:t>
      </w:r>
      <w:r w:rsidR="008B7660">
        <w:rPr>
          <w:rFonts w:ascii="Verdana" w:hAnsi="Verdana"/>
          <w:sz w:val="24"/>
          <w:szCs w:val="24"/>
        </w:rPr>
        <w:t xml:space="preserve"> </w:t>
      </w:r>
      <w:r w:rsidR="00CE36A1">
        <w:rPr>
          <w:rFonts w:ascii="Verdana" w:hAnsi="Verdana"/>
          <w:sz w:val="24"/>
          <w:szCs w:val="24"/>
        </w:rPr>
        <w:t>hoc</w:t>
      </w:r>
      <w:r w:rsidRPr="005322FB">
        <w:rPr>
          <w:rFonts w:ascii="Verdana" w:hAnsi="Verdana"/>
          <w:sz w:val="24"/>
          <w:szCs w:val="24"/>
        </w:rPr>
        <w:t>,</w:t>
      </w:r>
    </w:p>
    <w:p w14:paraId="7F6BBB12" w14:textId="714C35F9" w:rsidR="002970BC" w:rsidRPr="005322FB" w:rsidRDefault="00AC3855" w:rsidP="005322FB">
      <w:pPr>
        <w:pStyle w:val="ListParagraph"/>
        <w:numPr>
          <w:ilvl w:val="1"/>
          <w:numId w:val="23"/>
        </w:numPr>
        <w:spacing w:before="120"/>
        <w:contextualSpacing w:val="0"/>
        <w:rPr>
          <w:rFonts w:ascii="Verdana" w:hAnsi="Verdana"/>
          <w:sz w:val="24"/>
          <w:szCs w:val="24"/>
        </w:rPr>
      </w:pPr>
      <w:r w:rsidRPr="005322FB">
        <w:rPr>
          <w:rFonts w:ascii="Verdana" w:hAnsi="Verdana"/>
          <w:sz w:val="24"/>
          <w:szCs w:val="24"/>
        </w:rPr>
        <w:t>disabled people are not systematically involved early enough, and</w:t>
      </w:r>
    </w:p>
    <w:p w14:paraId="62F4A1BD" w14:textId="157532B3" w:rsidR="002970BC" w:rsidRPr="005322FB" w:rsidRDefault="00AC3855" w:rsidP="005322FB">
      <w:pPr>
        <w:pStyle w:val="ListParagraph"/>
        <w:numPr>
          <w:ilvl w:val="1"/>
          <w:numId w:val="23"/>
        </w:numPr>
        <w:spacing w:before="120"/>
        <w:contextualSpacing w:val="0"/>
        <w:rPr>
          <w:rFonts w:ascii="Verdana" w:hAnsi="Verdana"/>
          <w:sz w:val="24"/>
          <w:szCs w:val="24"/>
        </w:rPr>
      </w:pPr>
      <w:r w:rsidRPr="005322FB">
        <w:rPr>
          <w:rFonts w:ascii="Verdana" w:hAnsi="Verdana"/>
          <w:sz w:val="24"/>
          <w:szCs w:val="24"/>
        </w:rPr>
        <w:t>emerging technologies can create new barriers when safeguards are missing.</w:t>
      </w:r>
    </w:p>
    <w:p w14:paraId="5DEDC7C5" w14:textId="77777777" w:rsidR="002970BC" w:rsidRPr="0068106A" w:rsidRDefault="00AC3855">
      <w:pPr>
        <w:pStyle w:val="Heading2"/>
        <w:rPr>
          <w:rFonts w:ascii="Verdana" w:hAnsi="Verdana"/>
          <w:color w:val="auto"/>
          <w:sz w:val="28"/>
          <w:szCs w:val="28"/>
        </w:rPr>
      </w:pPr>
      <w:r w:rsidRPr="0068106A">
        <w:rPr>
          <w:rFonts w:ascii="Verdana" w:hAnsi="Verdana"/>
          <w:color w:val="auto"/>
          <w:sz w:val="28"/>
          <w:szCs w:val="28"/>
        </w:rPr>
        <w:t>The issues in this paper are connected and need a system response</w:t>
      </w:r>
    </w:p>
    <w:p w14:paraId="0615B0EE" w14:textId="57A3AC1C" w:rsidR="002970BC" w:rsidRPr="00965267" w:rsidRDefault="00AC3855" w:rsidP="00965267">
      <w:pPr>
        <w:pStyle w:val="ListParagraph"/>
        <w:numPr>
          <w:ilvl w:val="0"/>
          <w:numId w:val="23"/>
        </w:numPr>
        <w:spacing w:before="120"/>
        <w:ind w:left="454" w:hanging="454"/>
        <w:rPr>
          <w:rFonts w:ascii="Verdana" w:hAnsi="Verdana"/>
          <w:sz w:val="24"/>
          <w:szCs w:val="24"/>
        </w:rPr>
      </w:pPr>
      <w:r w:rsidRPr="00965267">
        <w:rPr>
          <w:rFonts w:ascii="Verdana" w:hAnsi="Verdana"/>
          <w:sz w:val="24"/>
          <w:szCs w:val="24"/>
        </w:rPr>
        <w:t>The digital and information system includes infrastructure, devices, information, services, skills, support, standards, procurement, regulation, business practice, research and technology governance. Barriers rarely arise from one issue alone.</w:t>
      </w:r>
    </w:p>
    <w:p w14:paraId="09313E35" w14:textId="4D24D585" w:rsidR="002970BC" w:rsidRPr="00965267" w:rsidRDefault="00AC3855" w:rsidP="00965267">
      <w:pPr>
        <w:pStyle w:val="ListParagraph"/>
        <w:numPr>
          <w:ilvl w:val="0"/>
          <w:numId w:val="23"/>
        </w:numPr>
        <w:spacing w:before="120"/>
        <w:ind w:left="454" w:hanging="454"/>
        <w:rPr>
          <w:rFonts w:ascii="Verdana" w:hAnsi="Verdana"/>
          <w:sz w:val="24"/>
          <w:szCs w:val="24"/>
        </w:rPr>
      </w:pPr>
      <w:r w:rsidRPr="00965267">
        <w:rPr>
          <w:rFonts w:ascii="Verdana" w:hAnsi="Verdana"/>
          <w:sz w:val="24"/>
          <w:szCs w:val="24"/>
        </w:rPr>
        <w:t>A person may have internet access but still be excluded because a form is inaccessible, their screen reader is unsupported, identity verification requires a smartphone or driver licence</w:t>
      </w:r>
      <w:r w:rsidR="00D52AD4">
        <w:rPr>
          <w:rFonts w:ascii="Verdana" w:hAnsi="Verdana"/>
          <w:sz w:val="24"/>
          <w:szCs w:val="24"/>
        </w:rPr>
        <w:t>,</w:t>
      </w:r>
      <w:r w:rsidR="00B23826">
        <w:rPr>
          <w:rFonts w:ascii="Verdana" w:hAnsi="Verdana"/>
          <w:sz w:val="24"/>
          <w:szCs w:val="24"/>
        </w:rPr>
        <w:t xml:space="preserve"> or it </w:t>
      </w:r>
      <w:r w:rsidR="00B23826" w:rsidRPr="00B23826">
        <w:rPr>
          <w:rFonts w:ascii="Verdana" w:hAnsi="Verdana"/>
          <w:sz w:val="24"/>
          <w:szCs w:val="24"/>
        </w:rPr>
        <w:t>relies on an inaccessible biometric process such as positioning one’s face precisely inside a frame on the screen</w:t>
      </w:r>
      <w:r w:rsidRPr="00965267">
        <w:rPr>
          <w:rFonts w:ascii="Verdana" w:hAnsi="Verdana"/>
          <w:sz w:val="24"/>
          <w:szCs w:val="24"/>
        </w:rPr>
        <w:t>, or no accessible alternative is available. Isolated fixes will not be enough if the wider system still creates barriers.</w:t>
      </w:r>
    </w:p>
    <w:p w14:paraId="412C1D05" w14:textId="06B98F1D" w:rsidR="002970BC" w:rsidRPr="00965267" w:rsidRDefault="00AC3855" w:rsidP="00965267">
      <w:pPr>
        <w:pStyle w:val="ListParagraph"/>
        <w:numPr>
          <w:ilvl w:val="0"/>
          <w:numId w:val="23"/>
        </w:numPr>
        <w:spacing w:before="120"/>
        <w:ind w:left="454" w:hanging="454"/>
        <w:rPr>
          <w:rFonts w:ascii="Verdana" w:hAnsi="Verdana"/>
          <w:sz w:val="24"/>
          <w:szCs w:val="24"/>
        </w:rPr>
      </w:pPr>
      <w:r w:rsidRPr="00965267">
        <w:rPr>
          <w:rFonts w:ascii="Verdana" w:hAnsi="Verdana"/>
          <w:sz w:val="24"/>
          <w:szCs w:val="24"/>
        </w:rPr>
        <w:t xml:space="preserve">This paper draws on published New Zealand and international research, government standards and legislation, practitioner knowledge and lived experience. The evidence is sufficient to show a broad and persistent problem, but key statistics and current policy settings should be checked </w:t>
      </w:r>
      <w:r w:rsidR="00B36E68">
        <w:rPr>
          <w:rFonts w:ascii="Verdana" w:hAnsi="Verdana"/>
          <w:sz w:val="24"/>
          <w:szCs w:val="24"/>
        </w:rPr>
        <w:t xml:space="preserve">to verify </w:t>
      </w:r>
      <w:r w:rsidR="00984376">
        <w:rPr>
          <w:rFonts w:ascii="Verdana" w:hAnsi="Verdana"/>
          <w:sz w:val="24"/>
          <w:szCs w:val="24"/>
        </w:rPr>
        <w:t xml:space="preserve">the current state </w:t>
      </w:r>
      <w:r w:rsidRPr="00965267">
        <w:rPr>
          <w:rFonts w:ascii="Verdana" w:hAnsi="Verdana"/>
          <w:sz w:val="24"/>
          <w:szCs w:val="24"/>
        </w:rPr>
        <w:t xml:space="preserve">before </w:t>
      </w:r>
      <w:r w:rsidR="00984376">
        <w:rPr>
          <w:rFonts w:ascii="Verdana" w:hAnsi="Verdana"/>
          <w:sz w:val="24"/>
          <w:szCs w:val="24"/>
        </w:rPr>
        <w:t>making</w:t>
      </w:r>
      <w:r w:rsidRPr="00965267">
        <w:rPr>
          <w:rFonts w:ascii="Verdana" w:hAnsi="Verdana"/>
          <w:sz w:val="24"/>
          <w:szCs w:val="24"/>
        </w:rPr>
        <w:t xml:space="preserve"> investment decisions.</w:t>
      </w:r>
    </w:p>
    <w:p w14:paraId="54621145" w14:textId="617A7AEA" w:rsidR="002970BC" w:rsidRPr="00965267" w:rsidRDefault="00AC3855" w:rsidP="00965267">
      <w:pPr>
        <w:pStyle w:val="ListParagraph"/>
        <w:numPr>
          <w:ilvl w:val="0"/>
          <w:numId w:val="23"/>
        </w:numPr>
        <w:spacing w:before="120"/>
        <w:ind w:left="454" w:hanging="454"/>
        <w:rPr>
          <w:rFonts w:ascii="Verdana" w:hAnsi="Verdana"/>
          <w:sz w:val="24"/>
          <w:szCs w:val="24"/>
        </w:rPr>
      </w:pPr>
      <w:r w:rsidRPr="00965267">
        <w:rPr>
          <w:rFonts w:ascii="Verdana" w:hAnsi="Verdana"/>
          <w:sz w:val="24"/>
          <w:szCs w:val="24"/>
        </w:rPr>
        <w:t>Further baseline research is needed to measure the scale of digital exclusion, access to assistive technology, accessibility performance across sectors, workforce capability, participation, and the return from possible interventions.</w:t>
      </w:r>
    </w:p>
    <w:p w14:paraId="513D76B5" w14:textId="369B4E48" w:rsidR="002970BC" w:rsidRPr="0068106A" w:rsidRDefault="00AC3855">
      <w:pPr>
        <w:pStyle w:val="Heading2"/>
        <w:rPr>
          <w:rFonts w:ascii="Verdana" w:hAnsi="Verdana"/>
          <w:color w:val="auto"/>
          <w:sz w:val="28"/>
          <w:szCs w:val="28"/>
        </w:rPr>
      </w:pPr>
      <w:r w:rsidRPr="0068106A">
        <w:rPr>
          <w:rFonts w:ascii="Verdana" w:hAnsi="Verdana"/>
          <w:color w:val="auto"/>
          <w:sz w:val="28"/>
          <w:szCs w:val="28"/>
        </w:rPr>
        <w:t>The establishment of Whaikaha</w:t>
      </w:r>
      <w:r w:rsidR="000D56A3" w:rsidRPr="0068106A">
        <w:rPr>
          <w:rFonts w:ascii="Verdana" w:hAnsi="Verdana"/>
          <w:color w:val="auto"/>
          <w:sz w:val="28"/>
          <w:szCs w:val="28"/>
        </w:rPr>
        <w:t xml:space="preserve"> as a system steward</w:t>
      </w:r>
      <w:r w:rsidRPr="0068106A">
        <w:rPr>
          <w:rFonts w:ascii="Verdana" w:hAnsi="Verdana"/>
          <w:color w:val="auto"/>
          <w:sz w:val="28"/>
          <w:szCs w:val="28"/>
        </w:rPr>
        <w:t xml:space="preserve"> provides an opportunity to support joined-up digital accessibility work</w:t>
      </w:r>
    </w:p>
    <w:p w14:paraId="3DFFD426" w14:textId="39CAA8FB" w:rsidR="002970BC" w:rsidRPr="00DB597D" w:rsidRDefault="00AC3855" w:rsidP="00DB597D">
      <w:pPr>
        <w:pStyle w:val="ListParagraph"/>
        <w:numPr>
          <w:ilvl w:val="0"/>
          <w:numId w:val="23"/>
        </w:numPr>
        <w:spacing w:before="120"/>
        <w:ind w:left="454" w:hanging="454"/>
        <w:rPr>
          <w:rFonts w:ascii="Verdana" w:hAnsi="Verdana"/>
          <w:sz w:val="24"/>
          <w:szCs w:val="24"/>
        </w:rPr>
      </w:pPr>
      <w:r w:rsidRPr="00DB597D">
        <w:rPr>
          <w:rFonts w:ascii="Verdana" w:hAnsi="Verdana"/>
          <w:sz w:val="24"/>
          <w:szCs w:val="24"/>
        </w:rPr>
        <w:t>Whaikaha can bring a disability perspective to digital transformation, information policy, procurement, regulation, workforce development and emerging technology discussions. It can connect disabled people, government, business, educators, researchers and accessibility specialists.</w:t>
      </w:r>
    </w:p>
    <w:p w14:paraId="1A7A79D8" w14:textId="509A5632" w:rsidR="002970BC" w:rsidRPr="00DB597D" w:rsidRDefault="00AC3855" w:rsidP="00DB597D">
      <w:pPr>
        <w:pStyle w:val="ListParagraph"/>
        <w:numPr>
          <w:ilvl w:val="0"/>
          <w:numId w:val="23"/>
        </w:numPr>
        <w:spacing w:before="120"/>
        <w:ind w:left="454" w:hanging="454"/>
        <w:rPr>
          <w:rFonts w:ascii="Verdana" w:hAnsi="Verdana"/>
          <w:sz w:val="24"/>
          <w:szCs w:val="24"/>
        </w:rPr>
      </w:pPr>
      <w:r w:rsidRPr="00DB597D">
        <w:rPr>
          <w:rFonts w:ascii="Verdana" w:hAnsi="Verdana"/>
          <w:sz w:val="24"/>
          <w:szCs w:val="24"/>
        </w:rPr>
        <w:t>Good work already exists, including government accessibility guidance and standards, digital inclusion activity, industry initiatives, disability-led expertise and international frameworks. The opportunity is not to duplicate this work, but to identify gaps, strengthen coordination and make disability-specific barriers visible.</w:t>
      </w:r>
    </w:p>
    <w:p w14:paraId="67A1043F" w14:textId="5BDEAE04" w:rsidR="002970BC" w:rsidRPr="00DB597D" w:rsidRDefault="00AC3855" w:rsidP="00DB597D">
      <w:pPr>
        <w:pStyle w:val="ListParagraph"/>
        <w:numPr>
          <w:ilvl w:val="0"/>
          <w:numId w:val="23"/>
        </w:numPr>
        <w:spacing w:before="120"/>
        <w:ind w:left="454" w:hanging="454"/>
        <w:rPr>
          <w:rFonts w:ascii="Verdana" w:hAnsi="Verdana"/>
          <w:sz w:val="24"/>
          <w:szCs w:val="24"/>
        </w:rPr>
      </w:pPr>
      <w:r w:rsidRPr="00DB597D">
        <w:rPr>
          <w:rFonts w:ascii="Verdana" w:hAnsi="Verdana"/>
          <w:sz w:val="24"/>
          <w:szCs w:val="24"/>
        </w:rPr>
        <w:t>The practical implication is that Whaikaha can focus on the system conditions that prevent barriers: clear expectations, early participation, stronger capability, accessible procurement, useful evidence, practical support and safeguards for future technology.</w:t>
      </w:r>
    </w:p>
    <w:p w14:paraId="272CC83E" w14:textId="77777777" w:rsidR="002970BC" w:rsidRPr="0068106A" w:rsidRDefault="00AC3855">
      <w:pPr>
        <w:pStyle w:val="Heading2"/>
        <w:rPr>
          <w:rFonts w:ascii="Verdana" w:hAnsi="Verdana"/>
          <w:color w:val="auto"/>
          <w:sz w:val="28"/>
          <w:szCs w:val="28"/>
        </w:rPr>
      </w:pPr>
      <w:r w:rsidRPr="0068106A">
        <w:rPr>
          <w:rFonts w:ascii="Verdana" w:hAnsi="Verdana"/>
          <w:color w:val="auto"/>
          <w:sz w:val="28"/>
          <w:szCs w:val="28"/>
        </w:rPr>
        <w:t>Digital services and information are not reliably accessible</w:t>
      </w:r>
    </w:p>
    <w:p w14:paraId="7C0AC6D0" w14:textId="38EBD54F" w:rsidR="002970BC" w:rsidRPr="002726A6" w:rsidRDefault="00AC3855" w:rsidP="002726A6">
      <w:pPr>
        <w:pStyle w:val="ListParagraph"/>
        <w:numPr>
          <w:ilvl w:val="0"/>
          <w:numId w:val="23"/>
        </w:numPr>
        <w:spacing w:before="120"/>
        <w:ind w:left="454" w:hanging="454"/>
        <w:rPr>
          <w:rFonts w:ascii="Verdana" w:hAnsi="Verdana"/>
          <w:sz w:val="24"/>
          <w:szCs w:val="24"/>
        </w:rPr>
      </w:pPr>
      <w:r w:rsidRPr="002726A6">
        <w:rPr>
          <w:rFonts w:ascii="Verdana" w:hAnsi="Verdana"/>
          <w:sz w:val="24"/>
          <w:szCs w:val="24"/>
        </w:rPr>
        <w:t>The central problem is that disabled people cannot consistently find, access, understand and use digital information and services independently. Digital participation can break down at any point, from obtaining a device or internet connection to using assistive technology, completing a form, receiving accessible information, proving identity or challenging an automated decision.</w:t>
      </w:r>
    </w:p>
    <w:p w14:paraId="447A2707" w14:textId="56CCBF7C" w:rsidR="002970BC" w:rsidRPr="002726A6" w:rsidRDefault="00AC3855" w:rsidP="002726A6">
      <w:pPr>
        <w:pStyle w:val="ListParagraph"/>
        <w:numPr>
          <w:ilvl w:val="0"/>
          <w:numId w:val="23"/>
        </w:numPr>
        <w:spacing w:before="120"/>
        <w:ind w:left="454" w:hanging="454"/>
        <w:rPr>
          <w:rFonts w:ascii="Verdana" w:hAnsi="Verdana"/>
          <w:sz w:val="24"/>
          <w:szCs w:val="24"/>
        </w:rPr>
      </w:pPr>
      <w:r w:rsidRPr="002726A6">
        <w:rPr>
          <w:rFonts w:ascii="Verdana" w:hAnsi="Verdana"/>
          <w:sz w:val="24"/>
          <w:szCs w:val="24"/>
        </w:rPr>
        <w:t>Digitisation can improve reach and convenience, but digital-only approaches can reduce choice. Many organisations are reducing printed, phone and face-to-face options, while websites, applications, documents, videos and forms remain inconsistent in accessibility.</w:t>
      </w:r>
    </w:p>
    <w:p w14:paraId="1D380EFD" w14:textId="7042A82E" w:rsidR="002970BC" w:rsidRPr="002726A6" w:rsidRDefault="00AC3855" w:rsidP="002726A6">
      <w:pPr>
        <w:pStyle w:val="ListParagraph"/>
        <w:numPr>
          <w:ilvl w:val="0"/>
          <w:numId w:val="23"/>
        </w:numPr>
        <w:spacing w:before="120"/>
        <w:ind w:left="454" w:hanging="454"/>
        <w:rPr>
          <w:rFonts w:ascii="Verdana" w:hAnsi="Verdana"/>
          <w:sz w:val="24"/>
          <w:szCs w:val="24"/>
        </w:rPr>
      </w:pPr>
      <w:r w:rsidRPr="002726A6">
        <w:rPr>
          <w:rFonts w:ascii="Verdana" w:hAnsi="Verdana"/>
          <w:sz w:val="24"/>
          <w:szCs w:val="24"/>
        </w:rPr>
        <w:t>For many disabled people, the result is a combination of higher costs, reduced independence, lower trust, missed opportunities and continued reliance on others.</w:t>
      </w:r>
    </w:p>
    <w:p w14:paraId="28E0C78C" w14:textId="77777777" w:rsidR="002970BC" w:rsidRPr="00B343FE" w:rsidRDefault="00615CBF" w:rsidP="00615CBF">
      <w:pPr>
        <w:pStyle w:val="Heading2"/>
        <w:rPr>
          <w:rFonts w:ascii="Verdana" w:hAnsi="Verdana"/>
          <w:sz w:val="24"/>
          <w:szCs w:val="24"/>
        </w:rPr>
      </w:pPr>
      <w:r w:rsidRPr="00615CBF">
        <w:rPr>
          <w:rFonts w:ascii="Verdana" w:hAnsi="Verdana"/>
          <w:color w:val="auto"/>
          <w:sz w:val="28"/>
          <w:szCs w:val="28"/>
        </w:rPr>
        <w:t>System settings create persistent barriers across five linked areas of digital participation</w:t>
      </w:r>
    </w:p>
    <w:p w14:paraId="27327F49" w14:textId="77777777" w:rsidR="002970BC" w:rsidRPr="007400A9" w:rsidRDefault="00AC3855">
      <w:pPr>
        <w:pStyle w:val="Heading3"/>
        <w:rPr>
          <w:rFonts w:ascii="Verdana" w:hAnsi="Verdana"/>
          <w:color w:val="auto"/>
          <w:sz w:val="24"/>
          <w:szCs w:val="24"/>
        </w:rPr>
      </w:pPr>
      <w:r w:rsidRPr="007400A9">
        <w:rPr>
          <w:rFonts w:ascii="Verdana" w:hAnsi="Verdana"/>
          <w:color w:val="auto"/>
          <w:sz w:val="24"/>
          <w:szCs w:val="24"/>
        </w:rPr>
        <w:t>Area one: Access, affordability and choice</w:t>
      </w:r>
    </w:p>
    <w:p w14:paraId="5749D90D" w14:textId="4BC6A9F1" w:rsidR="002970BC" w:rsidRPr="0068106A" w:rsidRDefault="00AC3855" w:rsidP="0068106A">
      <w:pPr>
        <w:pStyle w:val="ListParagraph"/>
        <w:numPr>
          <w:ilvl w:val="0"/>
          <w:numId w:val="23"/>
        </w:numPr>
        <w:spacing w:before="120"/>
        <w:ind w:left="454" w:hanging="454"/>
        <w:rPr>
          <w:rFonts w:ascii="Verdana" w:hAnsi="Verdana"/>
          <w:sz w:val="24"/>
          <w:szCs w:val="24"/>
        </w:rPr>
      </w:pPr>
      <w:r w:rsidRPr="0068106A">
        <w:rPr>
          <w:rFonts w:ascii="Verdana" w:hAnsi="Verdana"/>
          <w:sz w:val="24"/>
          <w:szCs w:val="24"/>
        </w:rPr>
        <w:t>Disabled people may lack suitable devices, reliable connectivity, affordable assistive technology, digital skills or trusted support. Digital-only services can compound these barriers when phone, print or face-to-face options are reduced.</w:t>
      </w:r>
    </w:p>
    <w:p w14:paraId="4718B724" w14:textId="77777777" w:rsidR="002970BC" w:rsidRPr="0068106A" w:rsidRDefault="00AC3855">
      <w:pPr>
        <w:pStyle w:val="Heading3"/>
        <w:rPr>
          <w:rFonts w:ascii="Verdana" w:hAnsi="Verdana"/>
          <w:color w:val="auto"/>
          <w:sz w:val="24"/>
          <w:szCs w:val="24"/>
        </w:rPr>
      </w:pPr>
      <w:r w:rsidRPr="0068106A">
        <w:rPr>
          <w:rFonts w:ascii="Verdana" w:hAnsi="Verdana"/>
          <w:color w:val="auto"/>
          <w:sz w:val="24"/>
          <w:szCs w:val="24"/>
        </w:rPr>
        <w:t>Area two: Accessible information and services</w:t>
      </w:r>
    </w:p>
    <w:p w14:paraId="1A36BDBE" w14:textId="37B93565" w:rsidR="002970BC" w:rsidRPr="00625902" w:rsidRDefault="00AC3855" w:rsidP="00625902">
      <w:pPr>
        <w:pStyle w:val="ListParagraph"/>
        <w:numPr>
          <w:ilvl w:val="0"/>
          <w:numId w:val="23"/>
        </w:numPr>
        <w:spacing w:before="120"/>
        <w:ind w:left="454" w:hanging="454"/>
        <w:rPr>
          <w:rFonts w:ascii="Verdana" w:hAnsi="Verdana"/>
          <w:sz w:val="24"/>
          <w:szCs w:val="24"/>
        </w:rPr>
      </w:pPr>
      <w:r w:rsidRPr="00625902">
        <w:rPr>
          <w:rFonts w:ascii="Verdana" w:hAnsi="Verdana"/>
          <w:sz w:val="24"/>
          <w:szCs w:val="24"/>
        </w:rPr>
        <w:t>Websites, applications, forms, documents, videos and customer communications are often difficult to navigate, understand or use with assistive technology. Accessibility is frequently added after publication rather than built in from the beginning.</w:t>
      </w:r>
    </w:p>
    <w:p w14:paraId="4119D773" w14:textId="77777777" w:rsidR="002970BC" w:rsidRPr="0068106A" w:rsidRDefault="00AC3855">
      <w:pPr>
        <w:pStyle w:val="Heading3"/>
        <w:rPr>
          <w:rFonts w:ascii="Verdana" w:hAnsi="Verdana"/>
          <w:color w:val="auto"/>
          <w:sz w:val="24"/>
          <w:szCs w:val="24"/>
        </w:rPr>
      </w:pPr>
      <w:r w:rsidRPr="0068106A">
        <w:rPr>
          <w:rFonts w:ascii="Verdana" w:hAnsi="Verdana"/>
          <w:color w:val="auto"/>
          <w:sz w:val="24"/>
          <w:szCs w:val="24"/>
        </w:rPr>
        <w:t>Area three: Capability and business support</w:t>
      </w:r>
    </w:p>
    <w:p w14:paraId="176B1DD0" w14:textId="7B865466" w:rsidR="002970BC" w:rsidRPr="00625902" w:rsidRDefault="00AC3855" w:rsidP="00625902">
      <w:pPr>
        <w:pStyle w:val="ListParagraph"/>
        <w:numPr>
          <w:ilvl w:val="0"/>
          <w:numId w:val="23"/>
        </w:numPr>
        <w:spacing w:before="120"/>
        <w:ind w:left="454" w:hanging="454"/>
        <w:rPr>
          <w:rFonts w:ascii="Verdana" w:hAnsi="Verdana"/>
          <w:sz w:val="24"/>
          <w:szCs w:val="24"/>
        </w:rPr>
      </w:pPr>
      <w:r w:rsidRPr="00625902">
        <w:rPr>
          <w:rFonts w:ascii="Verdana" w:hAnsi="Verdana"/>
          <w:sz w:val="24"/>
          <w:szCs w:val="24"/>
        </w:rPr>
        <w:t>New Zealand has a limited accessibility workforce and few formal education or professional pathways. Many public and private organisations want to improve but lack practical guidance, trusted expertise and clear improvement pathways.</w:t>
      </w:r>
    </w:p>
    <w:p w14:paraId="03636F89" w14:textId="77777777" w:rsidR="002970BC" w:rsidRDefault="00AC3855">
      <w:pPr>
        <w:pStyle w:val="Heading3"/>
      </w:pPr>
      <w:r w:rsidRPr="0068106A">
        <w:rPr>
          <w:rFonts w:ascii="Verdana" w:hAnsi="Verdana"/>
          <w:color w:val="auto"/>
          <w:sz w:val="24"/>
          <w:szCs w:val="24"/>
        </w:rPr>
        <w:t>Area four: Accountability, standards and procurement</w:t>
      </w:r>
    </w:p>
    <w:p w14:paraId="18BA8C60" w14:textId="4C6E3A20" w:rsidR="002970BC" w:rsidRPr="00625902" w:rsidRDefault="00AC3855" w:rsidP="00625902">
      <w:pPr>
        <w:pStyle w:val="ListParagraph"/>
        <w:numPr>
          <w:ilvl w:val="0"/>
          <w:numId w:val="23"/>
        </w:numPr>
        <w:spacing w:before="120"/>
        <w:ind w:left="454" w:hanging="454"/>
        <w:rPr>
          <w:rFonts w:ascii="Verdana" w:hAnsi="Verdana"/>
          <w:sz w:val="24"/>
          <w:szCs w:val="24"/>
        </w:rPr>
      </w:pPr>
      <w:r w:rsidRPr="00625902">
        <w:rPr>
          <w:rFonts w:ascii="Verdana" w:hAnsi="Verdana"/>
          <w:sz w:val="24"/>
          <w:szCs w:val="24"/>
        </w:rPr>
        <w:t>Accessibility performance is not consistently measured or visible. Voluntary approaches, uneven procurement requirements and limited monitoring mean outcomes vary across organisations and sectors.</w:t>
      </w:r>
    </w:p>
    <w:p w14:paraId="47A7FBCB" w14:textId="77777777" w:rsidR="002970BC" w:rsidRPr="0068106A" w:rsidRDefault="00AC3855">
      <w:pPr>
        <w:pStyle w:val="Heading3"/>
        <w:rPr>
          <w:rFonts w:ascii="Verdana" w:hAnsi="Verdana"/>
          <w:color w:val="auto"/>
          <w:sz w:val="24"/>
          <w:szCs w:val="24"/>
        </w:rPr>
      </w:pPr>
      <w:r w:rsidRPr="0068106A">
        <w:rPr>
          <w:rFonts w:ascii="Verdana" w:hAnsi="Verdana"/>
          <w:color w:val="auto"/>
          <w:sz w:val="24"/>
          <w:szCs w:val="24"/>
        </w:rPr>
        <w:t>Area five: Participation, innovation and future technology</w:t>
      </w:r>
    </w:p>
    <w:p w14:paraId="12736813" w14:textId="62208C86" w:rsidR="002970BC" w:rsidRPr="00625902" w:rsidRDefault="00AC3855" w:rsidP="00625902">
      <w:pPr>
        <w:pStyle w:val="ListParagraph"/>
        <w:numPr>
          <w:ilvl w:val="0"/>
          <w:numId w:val="23"/>
        </w:numPr>
        <w:spacing w:before="120"/>
        <w:ind w:left="454" w:hanging="454"/>
        <w:rPr>
          <w:rFonts w:ascii="Verdana" w:hAnsi="Verdana"/>
          <w:sz w:val="24"/>
          <w:szCs w:val="24"/>
        </w:rPr>
      </w:pPr>
      <w:r w:rsidRPr="00625902">
        <w:rPr>
          <w:rFonts w:ascii="Verdana" w:hAnsi="Verdana"/>
          <w:sz w:val="24"/>
          <w:szCs w:val="24"/>
        </w:rPr>
        <w:t>Disabled people are not consistently involved early in decisions. Research and innovation are fragmented, while artificial intelligence, digital identity, biometrics and automation can create new barriers if disability rights and accessibility safeguards are absent.</w:t>
      </w:r>
    </w:p>
    <w:p w14:paraId="706C65C2" w14:textId="77777777" w:rsidR="002970BC" w:rsidRPr="000061CF" w:rsidRDefault="00AC3855" w:rsidP="000061CF">
      <w:pPr>
        <w:pStyle w:val="Heading2"/>
        <w:rPr>
          <w:rFonts w:ascii="Verdana" w:hAnsi="Verdana"/>
          <w:color w:val="auto"/>
          <w:sz w:val="28"/>
          <w:szCs w:val="28"/>
        </w:rPr>
      </w:pPr>
      <w:r w:rsidRPr="000061CF">
        <w:rPr>
          <w:rFonts w:ascii="Verdana" w:hAnsi="Verdana"/>
          <w:color w:val="auto"/>
          <w:sz w:val="28"/>
          <w:szCs w:val="28"/>
        </w:rPr>
        <w:t>Improving digital accessibility requires action across several levers</w:t>
      </w:r>
    </w:p>
    <w:p w14:paraId="0988C0E9" w14:textId="337522F1" w:rsidR="002970BC" w:rsidRPr="00DF47CA" w:rsidRDefault="00AC3855" w:rsidP="00DF47CA">
      <w:pPr>
        <w:pStyle w:val="ListParagraph"/>
        <w:numPr>
          <w:ilvl w:val="0"/>
          <w:numId w:val="23"/>
        </w:numPr>
        <w:spacing w:before="120"/>
        <w:ind w:left="454" w:hanging="454"/>
        <w:rPr>
          <w:rFonts w:ascii="Verdana" w:hAnsi="Verdana"/>
          <w:sz w:val="24"/>
          <w:szCs w:val="24"/>
        </w:rPr>
      </w:pPr>
      <w:r w:rsidRPr="00DF47CA">
        <w:rPr>
          <w:rFonts w:ascii="Verdana" w:hAnsi="Verdana"/>
          <w:sz w:val="24"/>
          <w:szCs w:val="24"/>
        </w:rPr>
        <w:t>No single organisation controls the digital and information system, which is why a shared goal, coordinated action and clearer ownership are important.</w:t>
      </w:r>
    </w:p>
    <w:tbl>
      <w:tblPr>
        <w:tblStyle w:val="TableGrid"/>
        <w:tblW w:w="0" w:type="auto"/>
        <w:tblLayout w:type="fixed"/>
        <w:tblLook w:val="04A0" w:firstRow="1" w:lastRow="0" w:firstColumn="1" w:lastColumn="0" w:noHBand="0" w:noVBand="1"/>
      </w:tblPr>
      <w:tblGrid>
        <w:gridCol w:w="2154"/>
        <w:gridCol w:w="3515"/>
        <w:gridCol w:w="3628"/>
      </w:tblGrid>
      <w:tr w:rsidR="002970BC" w14:paraId="1DD09182" w14:textId="77777777" w:rsidTr="00DF47CA">
        <w:trPr>
          <w:tblHeader/>
        </w:trPr>
        <w:tc>
          <w:tcPr>
            <w:tcW w:w="2154" w:type="dxa"/>
            <w:shd w:val="clear" w:color="auto" w:fill="4B2E83"/>
            <w:tcMar>
              <w:top w:w="100" w:type="dxa"/>
              <w:left w:w="120" w:type="dxa"/>
              <w:bottom w:w="100" w:type="dxa"/>
              <w:right w:w="120" w:type="dxa"/>
            </w:tcMar>
            <w:vAlign w:val="center"/>
          </w:tcPr>
          <w:p w14:paraId="5E5D60D1" w14:textId="77777777" w:rsidR="002970BC" w:rsidRPr="00DF47CA" w:rsidRDefault="00AC3855">
            <w:pPr>
              <w:spacing w:before="60" w:after="60"/>
              <w:rPr>
                <w:rFonts w:ascii="Verdana" w:hAnsi="Verdana"/>
                <w:sz w:val="24"/>
                <w:szCs w:val="24"/>
              </w:rPr>
            </w:pPr>
            <w:r w:rsidRPr="00DF47CA">
              <w:rPr>
                <w:rFonts w:ascii="Verdana" w:hAnsi="Verdana"/>
                <w:b/>
                <w:color w:val="FFFFFF"/>
                <w:sz w:val="24"/>
                <w:szCs w:val="24"/>
              </w:rPr>
              <w:t>Lever</w:t>
            </w:r>
          </w:p>
        </w:tc>
        <w:tc>
          <w:tcPr>
            <w:tcW w:w="3515" w:type="dxa"/>
            <w:shd w:val="clear" w:color="auto" w:fill="4B2E83"/>
            <w:tcMar>
              <w:top w:w="100" w:type="dxa"/>
              <w:left w:w="120" w:type="dxa"/>
              <w:bottom w:w="100" w:type="dxa"/>
              <w:right w:w="120" w:type="dxa"/>
            </w:tcMar>
            <w:vAlign w:val="center"/>
          </w:tcPr>
          <w:p w14:paraId="3F581847" w14:textId="77777777" w:rsidR="002970BC" w:rsidRPr="00DF47CA" w:rsidRDefault="00AC3855">
            <w:pPr>
              <w:spacing w:before="60" w:after="60"/>
              <w:rPr>
                <w:rFonts w:ascii="Verdana" w:hAnsi="Verdana"/>
                <w:sz w:val="24"/>
                <w:szCs w:val="24"/>
              </w:rPr>
            </w:pPr>
            <w:r w:rsidRPr="00DF47CA">
              <w:rPr>
                <w:rFonts w:ascii="Verdana" w:hAnsi="Verdana"/>
                <w:b/>
                <w:color w:val="FFFFFF"/>
                <w:sz w:val="24"/>
                <w:szCs w:val="24"/>
              </w:rPr>
              <w:t>What it can influence</w:t>
            </w:r>
          </w:p>
        </w:tc>
        <w:tc>
          <w:tcPr>
            <w:tcW w:w="3628" w:type="dxa"/>
            <w:shd w:val="clear" w:color="auto" w:fill="4B2E83"/>
            <w:tcMar>
              <w:top w:w="100" w:type="dxa"/>
              <w:left w:w="120" w:type="dxa"/>
              <w:bottom w:w="100" w:type="dxa"/>
              <w:right w:w="120" w:type="dxa"/>
            </w:tcMar>
            <w:vAlign w:val="center"/>
          </w:tcPr>
          <w:p w14:paraId="31A83A47" w14:textId="77777777" w:rsidR="002970BC" w:rsidRPr="00DF47CA" w:rsidRDefault="00AC3855">
            <w:pPr>
              <w:spacing w:before="60" w:after="60"/>
              <w:rPr>
                <w:rFonts w:ascii="Verdana" w:hAnsi="Verdana"/>
                <w:sz w:val="24"/>
                <w:szCs w:val="24"/>
              </w:rPr>
            </w:pPr>
            <w:r w:rsidRPr="00DF47CA">
              <w:rPr>
                <w:rFonts w:ascii="Verdana" w:hAnsi="Verdana"/>
                <w:b/>
                <w:color w:val="FFFFFF"/>
                <w:sz w:val="24"/>
                <w:szCs w:val="24"/>
              </w:rPr>
              <w:t>Why it matters</w:t>
            </w:r>
          </w:p>
        </w:tc>
      </w:tr>
      <w:tr w:rsidR="002970BC" w14:paraId="7C58C82D" w14:textId="77777777">
        <w:tc>
          <w:tcPr>
            <w:tcW w:w="2154" w:type="dxa"/>
            <w:tcMar>
              <w:top w:w="100" w:type="dxa"/>
              <w:left w:w="120" w:type="dxa"/>
              <w:bottom w:w="100" w:type="dxa"/>
              <w:right w:w="120" w:type="dxa"/>
            </w:tcMar>
            <w:vAlign w:val="center"/>
          </w:tcPr>
          <w:p w14:paraId="656AE84A" w14:textId="77777777" w:rsidR="002970BC" w:rsidRPr="00DF47CA" w:rsidRDefault="00AC3855">
            <w:pPr>
              <w:spacing w:before="60" w:after="60"/>
              <w:rPr>
                <w:rFonts w:ascii="Verdana" w:hAnsi="Verdana"/>
                <w:sz w:val="22"/>
                <w:szCs w:val="22"/>
              </w:rPr>
            </w:pPr>
            <w:r w:rsidRPr="00DF47CA">
              <w:rPr>
                <w:rFonts w:ascii="Verdana" w:hAnsi="Verdana"/>
                <w:b/>
                <w:sz w:val="22"/>
                <w:szCs w:val="22"/>
              </w:rPr>
              <w:t>Policy, regulation and standards</w:t>
            </w:r>
          </w:p>
        </w:tc>
        <w:tc>
          <w:tcPr>
            <w:tcW w:w="3515" w:type="dxa"/>
            <w:tcMar>
              <w:top w:w="100" w:type="dxa"/>
              <w:left w:w="120" w:type="dxa"/>
              <w:bottom w:w="100" w:type="dxa"/>
              <w:right w:w="120" w:type="dxa"/>
            </w:tcMar>
            <w:vAlign w:val="center"/>
          </w:tcPr>
          <w:p w14:paraId="515E4456" w14:textId="77777777" w:rsidR="002970BC" w:rsidRPr="00DF47CA" w:rsidRDefault="00AC3855">
            <w:pPr>
              <w:spacing w:before="60" w:after="60"/>
              <w:rPr>
                <w:rFonts w:ascii="Verdana" w:hAnsi="Verdana"/>
                <w:sz w:val="22"/>
                <w:szCs w:val="22"/>
              </w:rPr>
            </w:pPr>
            <w:r w:rsidRPr="00DF47CA">
              <w:rPr>
                <w:rFonts w:ascii="Verdana" w:hAnsi="Verdana"/>
                <w:sz w:val="22"/>
                <w:szCs w:val="22"/>
              </w:rPr>
              <w:t>Whether accessibility is expected, monitored and reported.</w:t>
            </w:r>
          </w:p>
        </w:tc>
        <w:tc>
          <w:tcPr>
            <w:tcW w:w="3628" w:type="dxa"/>
            <w:tcMar>
              <w:top w:w="100" w:type="dxa"/>
              <w:left w:w="120" w:type="dxa"/>
              <w:bottom w:w="100" w:type="dxa"/>
              <w:right w:w="120" w:type="dxa"/>
            </w:tcMar>
            <w:vAlign w:val="center"/>
          </w:tcPr>
          <w:p w14:paraId="28706ED6" w14:textId="77777777" w:rsidR="002970BC" w:rsidRPr="00DF47CA" w:rsidRDefault="00AC3855">
            <w:pPr>
              <w:spacing w:before="60" w:after="60"/>
              <w:rPr>
                <w:rFonts w:ascii="Verdana" w:hAnsi="Verdana"/>
                <w:sz w:val="22"/>
                <w:szCs w:val="22"/>
              </w:rPr>
            </w:pPr>
            <w:r w:rsidRPr="00DF47CA">
              <w:rPr>
                <w:rFonts w:ascii="Verdana" w:hAnsi="Verdana"/>
                <w:sz w:val="22"/>
                <w:szCs w:val="22"/>
              </w:rPr>
              <w:t>Creates clear and consistent expectations.</w:t>
            </w:r>
          </w:p>
        </w:tc>
      </w:tr>
      <w:tr w:rsidR="002970BC" w14:paraId="04138405" w14:textId="77777777">
        <w:tc>
          <w:tcPr>
            <w:tcW w:w="2154" w:type="dxa"/>
            <w:tcMar>
              <w:top w:w="100" w:type="dxa"/>
              <w:left w:w="120" w:type="dxa"/>
              <w:bottom w:w="100" w:type="dxa"/>
              <w:right w:w="120" w:type="dxa"/>
            </w:tcMar>
            <w:vAlign w:val="center"/>
          </w:tcPr>
          <w:p w14:paraId="75046EA4" w14:textId="77777777" w:rsidR="002970BC" w:rsidRPr="00DF47CA" w:rsidRDefault="00AC3855">
            <w:pPr>
              <w:spacing w:before="60" w:after="60"/>
              <w:rPr>
                <w:rFonts w:ascii="Verdana" w:hAnsi="Verdana"/>
                <w:sz w:val="22"/>
                <w:szCs w:val="22"/>
              </w:rPr>
            </w:pPr>
            <w:r w:rsidRPr="00DF47CA">
              <w:rPr>
                <w:rFonts w:ascii="Verdana" w:hAnsi="Verdana"/>
                <w:b/>
                <w:sz w:val="22"/>
                <w:szCs w:val="22"/>
              </w:rPr>
              <w:t>Funding, procurement and investment</w:t>
            </w:r>
          </w:p>
        </w:tc>
        <w:tc>
          <w:tcPr>
            <w:tcW w:w="3515" w:type="dxa"/>
            <w:tcMar>
              <w:top w:w="100" w:type="dxa"/>
              <w:left w:w="120" w:type="dxa"/>
              <w:bottom w:w="100" w:type="dxa"/>
              <w:right w:w="120" w:type="dxa"/>
            </w:tcMar>
            <w:vAlign w:val="center"/>
          </w:tcPr>
          <w:p w14:paraId="46157301" w14:textId="77777777" w:rsidR="002970BC" w:rsidRPr="00DF47CA" w:rsidRDefault="00AC3855">
            <w:pPr>
              <w:spacing w:before="60" w:after="60"/>
              <w:rPr>
                <w:rFonts w:ascii="Verdana" w:hAnsi="Verdana"/>
                <w:sz w:val="22"/>
                <w:szCs w:val="22"/>
              </w:rPr>
            </w:pPr>
            <w:r w:rsidRPr="00DF47CA">
              <w:rPr>
                <w:rFonts w:ascii="Verdana" w:hAnsi="Verdana"/>
                <w:sz w:val="22"/>
                <w:szCs w:val="22"/>
              </w:rPr>
              <w:t>Whether accessible technology, information, support and innovation are resourced.</w:t>
            </w:r>
          </w:p>
        </w:tc>
        <w:tc>
          <w:tcPr>
            <w:tcW w:w="3628" w:type="dxa"/>
            <w:tcMar>
              <w:top w:w="100" w:type="dxa"/>
              <w:left w:w="120" w:type="dxa"/>
              <w:bottom w:w="100" w:type="dxa"/>
              <w:right w:w="120" w:type="dxa"/>
            </w:tcMar>
            <w:vAlign w:val="center"/>
          </w:tcPr>
          <w:p w14:paraId="3FE9B6B8" w14:textId="77777777" w:rsidR="002970BC" w:rsidRPr="00DF47CA" w:rsidRDefault="00AC3855">
            <w:pPr>
              <w:spacing w:before="60" w:after="60"/>
              <w:rPr>
                <w:rFonts w:ascii="Verdana" w:hAnsi="Verdana"/>
                <w:sz w:val="22"/>
                <w:szCs w:val="22"/>
              </w:rPr>
            </w:pPr>
            <w:r w:rsidRPr="00DF47CA">
              <w:rPr>
                <w:rFonts w:ascii="Verdana" w:hAnsi="Verdana"/>
                <w:sz w:val="22"/>
                <w:szCs w:val="22"/>
              </w:rPr>
              <w:t>Turns accessibility commitments into purchasing and delivery decisions.</w:t>
            </w:r>
          </w:p>
        </w:tc>
      </w:tr>
      <w:tr w:rsidR="002970BC" w14:paraId="188A10BB" w14:textId="77777777">
        <w:tc>
          <w:tcPr>
            <w:tcW w:w="2154" w:type="dxa"/>
            <w:tcMar>
              <w:top w:w="100" w:type="dxa"/>
              <w:left w:w="120" w:type="dxa"/>
              <w:bottom w:w="100" w:type="dxa"/>
              <w:right w:w="120" w:type="dxa"/>
            </w:tcMar>
            <w:vAlign w:val="center"/>
          </w:tcPr>
          <w:p w14:paraId="7BBC58C1" w14:textId="77777777" w:rsidR="002970BC" w:rsidRPr="00DF47CA" w:rsidRDefault="00AC3855">
            <w:pPr>
              <w:spacing w:before="60" w:after="60"/>
              <w:rPr>
                <w:rFonts w:ascii="Verdana" w:hAnsi="Verdana"/>
                <w:sz w:val="22"/>
                <w:szCs w:val="22"/>
              </w:rPr>
            </w:pPr>
            <w:r w:rsidRPr="00DF47CA">
              <w:rPr>
                <w:rFonts w:ascii="Verdana" w:hAnsi="Verdana"/>
                <w:b/>
                <w:sz w:val="22"/>
                <w:szCs w:val="22"/>
              </w:rPr>
              <w:t>Education and workforce capability</w:t>
            </w:r>
          </w:p>
        </w:tc>
        <w:tc>
          <w:tcPr>
            <w:tcW w:w="3515" w:type="dxa"/>
            <w:tcMar>
              <w:top w:w="100" w:type="dxa"/>
              <w:left w:w="120" w:type="dxa"/>
              <w:bottom w:w="100" w:type="dxa"/>
              <w:right w:w="120" w:type="dxa"/>
            </w:tcMar>
            <w:vAlign w:val="center"/>
          </w:tcPr>
          <w:p w14:paraId="03A5D303" w14:textId="77777777" w:rsidR="002970BC" w:rsidRPr="00DF47CA" w:rsidRDefault="00AC3855">
            <w:pPr>
              <w:spacing w:before="60" w:after="60"/>
              <w:rPr>
                <w:rFonts w:ascii="Verdana" w:hAnsi="Verdana"/>
                <w:sz w:val="22"/>
                <w:szCs w:val="22"/>
              </w:rPr>
            </w:pPr>
            <w:r w:rsidRPr="00DF47CA">
              <w:rPr>
                <w:rFonts w:ascii="Verdana" w:hAnsi="Verdana"/>
                <w:sz w:val="22"/>
                <w:szCs w:val="22"/>
              </w:rPr>
              <w:t>Whether people designing, buying and managing digital services know how to apply accessibility.</w:t>
            </w:r>
          </w:p>
        </w:tc>
        <w:tc>
          <w:tcPr>
            <w:tcW w:w="3628" w:type="dxa"/>
            <w:tcMar>
              <w:top w:w="100" w:type="dxa"/>
              <w:left w:w="120" w:type="dxa"/>
              <w:bottom w:w="100" w:type="dxa"/>
              <w:right w:w="120" w:type="dxa"/>
            </w:tcMar>
            <w:vAlign w:val="center"/>
          </w:tcPr>
          <w:p w14:paraId="0B9CC6FA" w14:textId="77777777" w:rsidR="002970BC" w:rsidRPr="00DF47CA" w:rsidRDefault="00AC3855">
            <w:pPr>
              <w:spacing w:before="60" w:after="60"/>
              <w:rPr>
                <w:rFonts w:ascii="Verdana" w:hAnsi="Verdana"/>
                <w:sz w:val="22"/>
                <w:szCs w:val="22"/>
              </w:rPr>
            </w:pPr>
            <w:r w:rsidRPr="00DF47CA">
              <w:rPr>
                <w:rFonts w:ascii="Verdana" w:hAnsi="Verdana"/>
                <w:sz w:val="22"/>
                <w:szCs w:val="22"/>
              </w:rPr>
              <w:t>Prevents barriers and reduces later remediation.</w:t>
            </w:r>
          </w:p>
        </w:tc>
      </w:tr>
      <w:tr w:rsidR="002970BC" w14:paraId="6AE3C079" w14:textId="77777777">
        <w:tc>
          <w:tcPr>
            <w:tcW w:w="2154" w:type="dxa"/>
            <w:tcMar>
              <w:top w:w="100" w:type="dxa"/>
              <w:left w:w="120" w:type="dxa"/>
              <w:bottom w:w="100" w:type="dxa"/>
              <w:right w:w="120" w:type="dxa"/>
            </w:tcMar>
            <w:vAlign w:val="center"/>
          </w:tcPr>
          <w:p w14:paraId="03B09A59" w14:textId="77777777" w:rsidR="002970BC" w:rsidRPr="00DF47CA" w:rsidRDefault="00AC3855">
            <w:pPr>
              <w:spacing w:before="60" w:after="60"/>
              <w:rPr>
                <w:rFonts w:ascii="Verdana" w:hAnsi="Verdana"/>
                <w:sz w:val="22"/>
                <w:szCs w:val="22"/>
              </w:rPr>
            </w:pPr>
            <w:r w:rsidRPr="00DF47CA">
              <w:rPr>
                <w:rFonts w:ascii="Verdana" w:hAnsi="Verdana"/>
                <w:b/>
                <w:sz w:val="22"/>
                <w:szCs w:val="22"/>
              </w:rPr>
              <w:t>Practical business and community support</w:t>
            </w:r>
          </w:p>
        </w:tc>
        <w:tc>
          <w:tcPr>
            <w:tcW w:w="3515" w:type="dxa"/>
            <w:tcMar>
              <w:top w:w="100" w:type="dxa"/>
              <w:left w:w="120" w:type="dxa"/>
              <w:bottom w:w="100" w:type="dxa"/>
              <w:right w:w="120" w:type="dxa"/>
            </w:tcMar>
            <w:vAlign w:val="center"/>
          </w:tcPr>
          <w:p w14:paraId="291DF597" w14:textId="77777777" w:rsidR="002970BC" w:rsidRPr="00DF47CA" w:rsidRDefault="00AC3855">
            <w:pPr>
              <w:spacing w:before="60" w:after="60"/>
              <w:rPr>
                <w:rFonts w:ascii="Verdana" w:hAnsi="Verdana"/>
                <w:sz w:val="22"/>
                <w:szCs w:val="22"/>
              </w:rPr>
            </w:pPr>
            <w:r w:rsidRPr="00DF47CA">
              <w:rPr>
                <w:rFonts w:ascii="Verdana" w:hAnsi="Verdana"/>
                <w:sz w:val="22"/>
                <w:szCs w:val="22"/>
              </w:rPr>
              <w:t>Whether organisations and disabled people can find trusted advice, training and assistance.</w:t>
            </w:r>
          </w:p>
        </w:tc>
        <w:tc>
          <w:tcPr>
            <w:tcW w:w="3628" w:type="dxa"/>
            <w:tcMar>
              <w:top w:w="100" w:type="dxa"/>
              <w:left w:w="120" w:type="dxa"/>
              <w:bottom w:w="100" w:type="dxa"/>
              <w:right w:w="120" w:type="dxa"/>
            </w:tcMar>
            <w:vAlign w:val="center"/>
          </w:tcPr>
          <w:p w14:paraId="7D63709A" w14:textId="77777777" w:rsidR="002970BC" w:rsidRPr="00DF47CA" w:rsidRDefault="00AC3855">
            <w:pPr>
              <w:spacing w:before="60" w:after="60"/>
              <w:rPr>
                <w:rFonts w:ascii="Verdana" w:hAnsi="Verdana"/>
                <w:sz w:val="22"/>
                <w:szCs w:val="22"/>
              </w:rPr>
            </w:pPr>
            <w:r w:rsidRPr="00DF47CA">
              <w:rPr>
                <w:rFonts w:ascii="Verdana" w:hAnsi="Verdana"/>
                <w:sz w:val="22"/>
                <w:szCs w:val="22"/>
              </w:rPr>
              <w:t>Helps move from awareness to practical action.</w:t>
            </w:r>
          </w:p>
        </w:tc>
      </w:tr>
      <w:tr w:rsidR="002970BC" w14:paraId="60088CEF" w14:textId="77777777">
        <w:tc>
          <w:tcPr>
            <w:tcW w:w="2154" w:type="dxa"/>
            <w:tcMar>
              <w:top w:w="100" w:type="dxa"/>
              <w:left w:w="120" w:type="dxa"/>
              <w:bottom w:w="100" w:type="dxa"/>
              <w:right w:w="120" w:type="dxa"/>
            </w:tcMar>
            <w:vAlign w:val="center"/>
          </w:tcPr>
          <w:p w14:paraId="3E5BDDF7" w14:textId="77777777" w:rsidR="002970BC" w:rsidRPr="00DF47CA" w:rsidRDefault="00AC3855">
            <w:pPr>
              <w:spacing w:before="60" w:after="60"/>
              <w:rPr>
                <w:rFonts w:ascii="Verdana" w:hAnsi="Verdana"/>
                <w:sz w:val="22"/>
                <w:szCs w:val="22"/>
              </w:rPr>
            </w:pPr>
            <w:r w:rsidRPr="00DF47CA">
              <w:rPr>
                <w:rFonts w:ascii="Verdana" w:hAnsi="Verdana"/>
                <w:b/>
                <w:sz w:val="22"/>
                <w:szCs w:val="22"/>
              </w:rPr>
              <w:t>Disabled people’s participation</w:t>
            </w:r>
          </w:p>
        </w:tc>
        <w:tc>
          <w:tcPr>
            <w:tcW w:w="3515" w:type="dxa"/>
            <w:tcMar>
              <w:top w:w="100" w:type="dxa"/>
              <w:left w:w="120" w:type="dxa"/>
              <w:bottom w:w="100" w:type="dxa"/>
              <w:right w:w="120" w:type="dxa"/>
            </w:tcMar>
            <w:vAlign w:val="center"/>
          </w:tcPr>
          <w:p w14:paraId="655F17E2" w14:textId="77777777" w:rsidR="002970BC" w:rsidRPr="00DF47CA" w:rsidRDefault="00AC3855">
            <w:pPr>
              <w:spacing w:before="60" w:after="60"/>
              <w:rPr>
                <w:rFonts w:ascii="Verdana" w:hAnsi="Verdana"/>
                <w:sz w:val="22"/>
                <w:szCs w:val="22"/>
              </w:rPr>
            </w:pPr>
            <w:r w:rsidRPr="00DF47CA">
              <w:rPr>
                <w:rFonts w:ascii="Verdana" w:hAnsi="Verdana"/>
                <w:sz w:val="22"/>
                <w:szCs w:val="22"/>
              </w:rPr>
              <w:t>Whether decisions reflect real access needs and lived experience.</w:t>
            </w:r>
          </w:p>
        </w:tc>
        <w:tc>
          <w:tcPr>
            <w:tcW w:w="3628" w:type="dxa"/>
            <w:tcMar>
              <w:top w:w="100" w:type="dxa"/>
              <w:left w:w="120" w:type="dxa"/>
              <w:bottom w:w="100" w:type="dxa"/>
              <w:right w:w="120" w:type="dxa"/>
            </w:tcMar>
            <w:vAlign w:val="center"/>
          </w:tcPr>
          <w:p w14:paraId="0C241A10" w14:textId="77777777" w:rsidR="002970BC" w:rsidRPr="00DF47CA" w:rsidRDefault="00AC3855">
            <w:pPr>
              <w:spacing w:before="60" w:after="60"/>
              <w:rPr>
                <w:rFonts w:ascii="Verdana" w:hAnsi="Verdana"/>
                <w:sz w:val="22"/>
                <w:szCs w:val="22"/>
              </w:rPr>
            </w:pPr>
            <w:r w:rsidRPr="00DF47CA">
              <w:rPr>
                <w:rFonts w:ascii="Verdana" w:hAnsi="Verdana"/>
                <w:sz w:val="22"/>
                <w:szCs w:val="22"/>
              </w:rPr>
              <w:t>Early involvement improves quality and accountability.</w:t>
            </w:r>
          </w:p>
        </w:tc>
      </w:tr>
      <w:tr w:rsidR="002970BC" w14:paraId="076B4E3C" w14:textId="77777777">
        <w:tc>
          <w:tcPr>
            <w:tcW w:w="2154" w:type="dxa"/>
            <w:tcMar>
              <w:top w:w="100" w:type="dxa"/>
              <w:left w:w="120" w:type="dxa"/>
              <w:bottom w:w="100" w:type="dxa"/>
              <w:right w:w="120" w:type="dxa"/>
            </w:tcMar>
            <w:vAlign w:val="center"/>
          </w:tcPr>
          <w:p w14:paraId="4313A4B6" w14:textId="77777777" w:rsidR="002970BC" w:rsidRPr="00DF47CA" w:rsidRDefault="00AC3855">
            <w:pPr>
              <w:spacing w:before="60" w:after="60"/>
              <w:rPr>
                <w:rFonts w:ascii="Verdana" w:hAnsi="Verdana"/>
                <w:sz w:val="22"/>
                <w:szCs w:val="22"/>
              </w:rPr>
            </w:pPr>
            <w:r w:rsidRPr="00DF47CA">
              <w:rPr>
                <w:rFonts w:ascii="Verdana" w:hAnsi="Verdana"/>
                <w:b/>
                <w:sz w:val="22"/>
                <w:szCs w:val="22"/>
              </w:rPr>
              <w:t>Research, monitoring and technology governance</w:t>
            </w:r>
          </w:p>
        </w:tc>
        <w:tc>
          <w:tcPr>
            <w:tcW w:w="3515" w:type="dxa"/>
            <w:tcMar>
              <w:top w:w="100" w:type="dxa"/>
              <w:left w:w="120" w:type="dxa"/>
              <w:bottom w:w="100" w:type="dxa"/>
              <w:right w:w="120" w:type="dxa"/>
            </w:tcMar>
            <w:vAlign w:val="center"/>
          </w:tcPr>
          <w:p w14:paraId="63A2A591" w14:textId="77777777" w:rsidR="002970BC" w:rsidRPr="00DF47CA" w:rsidRDefault="00AC3855">
            <w:pPr>
              <w:spacing w:before="60" w:after="60"/>
              <w:rPr>
                <w:rFonts w:ascii="Verdana" w:hAnsi="Verdana"/>
                <w:sz w:val="22"/>
                <w:szCs w:val="22"/>
              </w:rPr>
            </w:pPr>
            <w:r w:rsidRPr="00DF47CA">
              <w:rPr>
                <w:rFonts w:ascii="Verdana" w:hAnsi="Verdana"/>
                <w:sz w:val="22"/>
                <w:szCs w:val="22"/>
              </w:rPr>
              <w:t>Whether progress, risks and emerging barriers are visible.</w:t>
            </w:r>
          </w:p>
        </w:tc>
        <w:tc>
          <w:tcPr>
            <w:tcW w:w="3628" w:type="dxa"/>
            <w:tcMar>
              <w:top w:w="100" w:type="dxa"/>
              <w:left w:w="120" w:type="dxa"/>
              <w:bottom w:w="100" w:type="dxa"/>
              <w:right w:w="120" w:type="dxa"/>
            </w:tcMar>
            <w:vAlign w:val="center"/>
          </w:tcPr>
          <w:p w14:paraId="71B6A881" w14:textId="77777777" w:rsidR="002970BC" w:rsidRPr="00DF47CA" w:rsidRDefault="00AC3855">
            <w:pPr>
              <w:spacing w:before="60" w:after="60"/>
              <w:rPr>
                <w:rFonts w:ascii="Verdana" w:hAnsi="Verdana"/>
                <w:sz w:val="22"/>
                <w:szCs w:val="22"/>
              </w:rPr>
            </w:pPr>
            <w:r w:rsidRPr="00DF47CA">
              <w:rPr>
                <w:rFonts w:ascii="Verdana" w:hAnsi="Verdana"/>
                <w:sz w:val="22"/>
                <w:szCs w:val="22"/>
              </w:rPr>
              <w:t>Supports better investment and safer innovation.</w:t>
            </w:r>
          </w:p>
        </w:tc>
      </w:tr>
    </w:tbl>
    <w:p w14:paraId="3AA50088" w14:textId="77777777" w:rsidR="002970BC" w:rsidRPr="00DF47CA" w:rsidRDefault="00AC3855">
      <w:pPr>
        <w:pStyle w:val="Heading2"/>
        <w:rPr>
          <w:rFonts w:ascii="Verdana" w:hAnsi="Verdana"/>
          <w:color w:val="auto"/>
          <w:sz w:val="28"/>
          <w:szCs w:val="28"/>
        </w:rPr>
      </w:pPr>
      <w:r w:rsidRPr="00DF47CA">
        <w:rPr>
          <w:rFonts w:ascii="Verdana" w:hAnsi="Verdana"/>
          <w:color w:val="auto"/>
          <w:sz w:val="28"/>
          <w:szCs w:val="28"/>
        </w:rPr>
        <w:t>The opportunity for Whaikaha lies in its role as system steward</w:t>
      </w:r>
    </w:p>
    <w:p w14:paraId="671225BD" w14:textId="0024B3D9" w:rsidR="002970BC" w:rsidRPr="00DF47CA" w:rsidRDefault="00AC3855" w:rsidP="00DF47CA">
      <w:pPr>
        <w:pStyle w:val="ListParagraph"/>
        <w:numPr>
          <w:ilvl w:val="0"/>
          <w:numId w:val="23"/>
        </w:numPr>
        <w:spacing w:before="120"/>
        <w:ind w:left="454" w:hanging="454"/>
        <w:rPr>
          <w:rFonts w:ascii="Verdana" w:hAnsi="Verdana"/>
          <w:sz w:val="24"/>
          <w:szCs w:val="24"/>
        </w:rPr>
      </w:pPr>
      <w:r w:rsidRPr="00DF47CA">
        <w:rPr>
          <w:rFonts w:ascii="Verdana" w:hAnsi="Verdana"/>
          <w:sz w:val="24"/>
          <w:szCs w:val="24"/>
        </w:rPr>
        <w:t>Whaikaha does not own or regulate the whole digital system. Its most realistic contribution is to build a shared understanding of disability-related barriers, connect lived experience with decision-makers, influence system settings, support capability and keep accessibility visible in cross-government and private sector work.</w:t>
      </w:r>
    </w:p>
    <w:p w14:paraId="4F3100AF" w14:textId="35E7B193" w:rsidR="00A520A5" w:rsidRDefault="00AC3855" w:rsidP="00D41BA0">
      <w:pPr>
        <w:pStyle w:val="ListParagraph"/>
        <w:numPr>
          <w:ilvl w:val="0"/>
          <w:numId w:val="23"/>
        </w:numPr>
        <w:spacing w:before="120"/>
        <w:ind w:left="454" w:hanging="454"/>
        <w:rPr>
          <w:rFonts w:ascii="Verdana" w:hAnsi="Verdana"/>
          <w:sz w:val="24"/>
          <w:szCs w:val="24"/>
        </w:rPr>
      </w:pPr>
      <w:r w:rsidRPr="00DF47CA">
        <w:rPr>
          <w:rFonts w:ascii="Verdana" w:hAnsi="Verdana"/>
          <w:sz w:val="24"/>
          <w:szCs w:val="24"/>
        </w:rPr>
        <w:t xml:space="preserve">The opportunities below are grouped into </w:t>
      </w:r>
      <w:r w:rsidR="00424D54">
        <w:rPr>
          <w:rFonts w:ascii="Verdana" w:hAnsi="Verdana"/>
          <w:sz w:val="24"/>
          <w:szCs w:val="24"/>
        </w:rPr>
        <w:t xml:space="preserve">possible </w:t>
      </w:r>
      <w:r w:rsidRPr="00DF47CA">
        <w:rPr>
          <w:rFonts w:ascii="Verdana" w:hAnsi="Verdana"/>
          <w:sz w:val="24"/>
          <w:szCs w:val="24"/>
        </w:rPr>
        <w:t>short-term, medium-term and longer-term actions. This distinguishes work that can begin through stewardship and collaboration from changes that may require sustained policy, funding, procurement or regulatory action.</w:t>
      </w:r>
    </w:p>
    <w:p w14:paraId="78FB2835" w14:textId="1AB0A6D5" w:rsidR="00D41BA0" w:rsidRPr="00D41BA0" w:rsidRDefault="00D41BA0" w:rsidP="00D41BA0">
      <w:pPr>
        <w:pStyle w:val="ListParagraph"/>
        <w:numPr>
          <w:ilvl w:val="0"/>
          <w:numId w:val="23"/>
        </w:numPr>
        <w:spacing w:before="120"/>
        <w:ind w:left="454" w:hanging="454"/>
        <w:rPr>
          <w:rFonts w:ascii="Verdana" w:hAnsi="Verdana"/>
          <w:sz w:val="24"/>
          <w:szCs w:val="24"/>
        </w:rPr>
      </w:pPr>
      <w:r>
        <w:rPr>
          <w:rFonts w:ascii="Verdana" w:hAnsi="Verdana"/>
          <w:sz w:val="24"/>
          <w:szCs w:val="24"/>
        </w:rPr>
        <w:t xml:space="preserve">These actions will be discussed by Whaikaha staff and the Accessibility Advisory Group before decisions are made </w:t>
      </w:r>
      <w:r w:rsidR="00856F8A">
        <w:rPr>
          <w:rFonts w:ascii="Verdana" w:hAnsi="Verdana"/>
          <w:sz w:val="24"/>
          <w:szCs w:val="24"/>
        </w:rPr>
        <w:t>on how to progress.</w:t>
      </w:r>
    </w:p>
    <w:tbl>
      <w:tblPr>
        <w:tblStyle w:val="TableGrid"/>
        <w:tblW w:w="0" w:type="auto"/>
        <w:tblLayout w:type="fixed"/>
        <w:tblLook w:val="04A0" w:firstRow="1" w:lastRow="0" w:firstColumn="1" w:lastColumn="0" w:noHBand="0" w:noVBand="1"/>
      </w:tblPr>
      <w:tblGrid>
        <w:gridCol w:w="1696"/>
        <w:gridCol w:w="1985"/>
        <w:gridCol w:w="3544"/>
        <w:gridCol w:w="2835"/>
      </w:tblGrid>
      <w:tr w:rsidR="002970BC" w14:paraId="0C359512" w14:textId="77777777" w:rsidTr="00E16CC1">
        <w:trPr>
          <w:trHeight w:val="50"/>
          <w:tblHeader/>
        </w:trPr>
        <w:tc>
          <w:tcPr>
            <w:tcW w:w="1696" w:type="dxa"/>
            <w:shd w:val="clear" w:color="auto" w:fill="4B2E83"/>
            <w:tcMar>
              <w:top w:w="100" w:type="dxa"/>
              <w:left w:w="120" w:type="dxa"/>
              <w:bottom w:w="100" w:type="dxa"/>
              <w:right w:w="120" w:type="dxa"/>
            </w:tcMar>
            <w:vAlign w:val="center"/>
          </w:tcPr>
          <w:p w14:paraId="06F2DDB9" w14:textId="77777777" w:rsidR="002970BC" w:rsidRPr="000D29A7" w:rsidRDefault="00AC3855" w:rsidP="002E3454">
            <w:pPr>
              <w:spacing w:after="0" w:line="276" w:lineRule="auto"/>
              <w:rPr>
                <w:rFonts w:ascii="Verdana" w:hAnsi="Verdana"/>
                <w:b/>
                <w:bCs/>
                <w:color w:val="FFFFFF" w:themeColor="background1"/>
                <w:sz w:val="22"/>
                <w:szCs w:val="22"/>
              </w:rPr>
            </w:pPr>
            <w:r w:rsidRPr="000D29A7">
              <w:rPr>
                <w:rFonts w:ascii="Verdana" w:hAnsi="Verdana"/>
                <w:b/>
                <w:bCs/>
                <w:color w:val="FFFFFF" w:themeColor="background1"/>
                <w:sz w:val="22"/>
                <w:szCs w:val="22"/>
              </w:rPr>
              <w:t>Timeframe</w:t>
            </w:r>
          </w:p>
        </w:tc>
        <w:tc>
          <w:tcPr>
            <w:tcW w:w="1985" w:type="dxa"/>
            <w:shd w:val="clear" w:color="auto" w:fill="4B2E83"/>
            <w:tcMar>
              <w:top w:w="100" w:type="dxa"/>
              <w:left w:w="120" w:type="dxa"/>
              <w:bottom w:w="100" w:type="dxa"/>
              <w:right w:w="120" w:type="dxa"/>
            </w:tcMar>
            <w:vAlign w:val="center"/>
          </w:tcPr>
          <w:p w14:paraId="2E30B1A3" w14:textId="77777777" w:rsidR="002970BC" w:rsidRPr="000D29A7" w:rsidRDefault="00AC3855" w:rsidP="002E3454">
            <w:pPr>
              <w:spacing w:after="0" w:line="276" w:lineRule="auto"/>
              <w:rPr>
                <w:rFonts w:ascii="Verdana" w:hAnsi="Verdana"/>
                <w:b/>
                <w:bCs/>
                <w:color w:val="FFFFFF" w:themeColor="background1"/>
                <w:sz w:val="22"/>
                <w:szCs w:val="22"/>
              </w:rPr>
            </w:pPr>
            <w:r w:rsidRPr="000D29A7">
              <w:rPr>
                <w:rFonts w:ascii="Verdana" w:hAnsi="Verdana"/>
                <w:b/>
                <w:bCs/>
                <w:color w:val="FFFFFF" w:themeColor="background1"/>
                <w:sz w:val="22"/>
                <w:szCs w:val="22"/>
              </w:rPr>
              <w:t>Opportunity</w:t>
            </w:r>
          </w:p>
        </w:tc>
        <w:tc>
          <w:tcPr>
            <w:tcW w:w="3544" w:type="dxa"/>
            <w:shd w:val="clear" w:color="auto" w:fill="4B2E83"/>
            <w:tcMar>
              <w:top w:w="100" w:type="dxa"/>
              <w:left w:w="120" w:type="dxa"/>
              <w:bottom w:w="100" w:type="dxa"/>
              <w:right w:w="120" w:type="dxa"/>
            </w:tcMar>
            <w:vAlign w:val="center"/>
          </w:tcPr>
          <w:p w14:paraId="1D1B933B" w14:textId="77777777" w:rsidR="002970BC" w:rsidRPr="000D29A7" w:rsidRDefault="00AC3855" w:rsidP="002E3454">
            <w:pPr>
              <w:spacing w:after="0" w:line="276" w:lineRule="auto"/>
              <w:rPr>
                <w:rFonts w:ascii="Verdana" w:hAnsi="Verdana"/>
                <w:b/>
                <w:bCs/>
                <w:color w:val="FFFFFF" w:themeColor="background1"/>
                <w:sz w:val="22"/>
                <w:szCs w:val="22"/>
              </w:rPr>
            </w:pPr>
            <w:r w:rsidRPr="000D29A7">
              <w:rPr>
                <w:rFonts w:ascii="Verdana" w:hAnsi="Verdana"/>
                <w:b/>
                <w:bCs/>
                <w:color w:val="FFFFFF" w:themeColor="background1"/>
                <w:sz w:val="22"/>
                <w:szCs w:val="22"/>
              </w:rPr>
              <w:t>What Whaikaha could do</w:t>
            </w:r>
          </w:p>
        </w:tc>
        <w:tc>
          <w:tcPr>
            <w:tcW w:w="2835" w:type="dxa"/>
            <w:shd w:val="clear" w:color="auto" w:fill="4B2E83"/>
            <w:tcMar>
              <w:top w:w="100" w:type="dxa"/>
              <w:left w:w="120" w:type="dxa"/>
              <w:bottom w:w="100" w:type="dxa"/>
              <w:right w:w="120" w:type="dxa"/>
            </w:tcMar>
            <w:vAlign w:val="center"/>
          </w:tcPr>
          <w:p w14:paraId="45EC102E" w14:textId="77777777" w:rsidR="002970BC" w:rsidRPr="000D29A7" w:rsidRDefault="00AC3855" w:rsidP="002E3454">
            <w:pPr>
              <w:spacing w:after="0" w:line="276" w:lineRule="auto"/>
              <w:rPr>
                <w:rFonts w:ascii="Verdana" w:hAnsi="Verdana"/>
                <w:b/>
                <w:bCs/>
                <w:color w:val="FFFFFF" w:themeColor="background1"/>
                <w:sz w:val="22"/>
                <w:szCs w:val="22"/>
              </w:rPr>
            </w:pPr>
            <w:r w:rsidRPr="000D29A7">
              <w:rPr>
                <w:rFonts w:ascii="Verdana" w:hAnsi="Verdana"/>
                <w:b/>
                <w:bCs/>
                <w:color w:val="FFFFFF" w:themeColor="background1"/>
                <w:sz w:val="22"/>
                <w:szCs w:val="22"/>
              </w:rPr>
              <w:t>Expected value</w:t>
            </w:r>
          </w:p>
        </w:tc>
      </w:tr>
      <w:tr w:rsidR="00A61D95" w14:paraId="4B373666" w14:textId="77777777" w:rsidTr="00E16CC1">
        <w:tc>
          <w:tcPr>
            <w:tcW w:w="1696" w:type="dxa"/>
            <w:vMerge w:val="restart"/>
            <w:tcMar>
              <w:top w:w="100" w:type="dxa"/>
              <w:left w:w="120" w:type="dxa"/>
              <w:bottom w:w="100" w:type="dxa"/>
              <w:right w:w="120" w:type="dxa"/>
            </w:tcMar>
            <w:vAlign w:val="center"/>
          </w:tcPr>
          <w:p w14:paraId="1F9C78AF" w14:textId="77777777" w:rsidR="00A61D95" w:rsidRPr="00170A07" w:rsidRDefault="00A61D95" w:rsidP="00170A07">
            <w:pPr>
              <w:spacing w:before="60" w:after="60"/>
              <w:jc w:val="center"/>
              <w:rPr>
                <w:rFonts w:ascii="Verdana" w:hAnsi="Verdana"/>
                <w:sz w:val="24"/>
                <w:szCs w:val="24"/>
              </w:rPr>
            </w:pPr>
            <w:r w:rsidRPr="00170A07">
              <w:rPr>
                <w:rFonts w:ascii="Verdana" w:hAnsi="Verdana"/>
                <w:b/>
                <w:sz w:val="24"/>
                <w:szCs w:val="24"/>
              </w:rPr>
              <w:t>Short term</w:t>
            </w:r>
          </w:p>
          <w:p w14:paraId="7EA49DA4" w14:textId="61087454" w:rsidR="00A61D95" w:rsidRPr="00170A07" w:rsidRDefault="00A61D95" w:rsidP="00AA34AE">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0C408F12" w14:textId="77777777" w:rsidR="00A61D95" w:rsidRPr="00170A07" w:rsidRDefault="00A61D95">
            <w:pPr>
              <w:spacing w:before="60" w:after="60"/>
              <w:rPr>
                <w:rFonts w:ascii="Verdana" w:hAnsi="Verdana"/>
                <w:sz w:val="24"/>
                <w:szCs w:val="24"/>
              </w:rPr>
            </w:pPr>
            <w:r w:rsidRPr="00170A07">
              <w:rPr>
                <w:rFonts w:ascii="Verdana" w:hAnsi="Verdana"/>
                <w:b/>
                <w:sz w:val="24"/>
                <w:szCs w:val="24"/>
              </w:rPr>
              <w:t>Create a shared problem narrative</w:t>
            </w:r>
          </w:p>
        </w:tc>
        <w:tc>
          <w:tcPr>
            <w:tcW w:w="3544" w:type="dxa"/>
            <w:tcMar>
              <w:top w:w="100" w:type="dxa"/>
              <w:left w:w="120" w:type="dxa"/>
              <w:bottom w:w="100" w:type="dxa"/>
              <w:right w:w="120" w:type="dxa"/>
            </w:tcMar>
            <w:vAlign w:val="center"/>
          </w:tcPr>
          <w:p w14:paraId="23BD6DFF" w14:textId="77777777" w:rsidR="00A61D95" w:rsidRPr="00170A07" w:rsidRDefault="00A61D95">
            <w:pPr>
              <w:spacing w:before="60" w:after="60"/>
              <w:rPr>
                <w:rFonts w:ascii="Verdana" w:hAnsi="Verdana"/>
                <w:sz w:val="24"/>
                <w:szCs w:val="24"/>
              </w:rPr>
            </w:pPr>
            <w:r w:rsidRPr="00170A07">
              <w:rPr>
                <w:rFonts w:ascii="Verdana" w:hAnsi="Verdana"/>
                <w:sz w:val="24"/>
                <w:szCs w:val="24"/>
              </w:rPr>
              <w:t>Use a concise system framing and lived experience examples to explain how access, information, assistive technology, capability, accountability and emerging technology connect.</w:t>
            </w:r>
          </w:p>
        </w:tc>
        <w:tc>
          <w:tcPr>
            <w:tcW w:w="2835" w:type="dxa"/>
            <w:tcMar>
              <w:top w:w="100" w:type="dxa"/>
              <w:left w:w="120" w:type="dxa"/>
              <w:bottom w:w="100" w:type="dxa"/>
              <w:right w:w="120" w:type="dxa"/>
            </w:tcMar>
            <w:vAlign w:val="center"/>
          </w:tcPr>
          <w:p w14:paraId="35319BEA" w14:textId="77777777" w:rsidR="00A61D95" w:rsidRPr="00170A07" w:rsidRDefault="00A61D95" w:rsidP="000D29A7">
            <w:pPr>
              <w:spacing w:line="276" w:lineRule="auto"/>
              <w:rPr>
                <w:rFonts w:ascii="Verdana" w:hAnsi="Verdana"/>
                <w:sz w:val="24"/>
                <w:szCs w:val="24"/>
              </w:rPr>
            </w:pPr>
            <w:r w:rsidRPr="00170A07">
              <w:rPr>
                <w:rFonts w:ascii="Verdana" w:hAnsi="Verdana"/>
                <w:sz w:val="24"/>
                <w:szCs w:val="24"/>
              </w:rPr>
              <w:t>Builds shared understanding and helps partners focus on root causes.</w:t>
            </w:r>
          </w:p>
        </w:tc>
      </w:tr>
      <w:tr w:rsidR="00A61D95" w14:paraId="7615D933" w14:textId="77777777" w:rsidTr="00E16CC1">
        <w:tc>
          <w:tcPr>
            <w:tcW w:w="1696" w:type="dxa"/>
            <w:vMerge/>
            <w:tcMar>
              <w:top w:w="100" w:type="dxa"/>
              <w:left w:w="120" w:type="dxa"/>
              <w:bottom w:w="100" w:type="dxa"/>
              <w:right w:w="120" w:type="dxa"/>
            </w:tcMar>
            <w:vAlign w:val="center"/>
          </w:tcPr>
          <w:p w14:paraId="202ED175" w14:textId="7E492F14" w:rsidR="00A61D95" w:rsidRPr="00170A07" w:rsidRDefault="00A61D95" w:rsidP="00AA34AE">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3F262648" w14:textId="77777777" w:rsidR="00A61D95" w:rsidRPr="00170A07" w:rsidRDefault="00A61D95">
            <w:pPr>
              <w:spacing w:before="60" w:after="60"/>
              <w:rPr>
                <w:rFonts w:ascii="Verdana" w:hAnsi="Verdana"/>
                <w:sz w:val="24"/>
                <w:szCs w:val="24"/>
              </w:rPr>
            </w:pPr>
            <w:r w:rsidRPr="0074355D">
              <w:rPr>
                <w:rFonts w:ascii="Verdana" w:hAnsi="Verdana"/>
                <w:b/>
                <w:sz w:val="24"/>
                <w:szCs w:val="24"/>
              </w:rPr>
              <w:t>Confirm</w:t>
            </w:r>
            <w:r w:rsidRPr="00170A07">
              <w:rPr>
                <w:rFonts w:ascii="Verdana" w:hAnsi="Verdana"/>
                <w:b/>
                <w:sz w:val="24"/>
                <w:szCs w:val="24"/>
              </w:rPr>
              <w:t xml:space="preserve"> priorities and evidence gaps</w:t>
            </w:r>
          </w:p>
        </w:tc>
        <w:tc>
          <w:tcPr>
            <w:tcW w:w="3544" w:type="dxa"/>
            <w:tcMar>
              <w:top w:w="100" w:type="dxa"/>
              <w:left w:w="120" w:type="dxa"/>
              <w:bottom w:w="100" w:type="dxa"/>
              <w:right w:w="120" w:type="dxa"/>
            </w:tcMar>
            <w:vAlign w:val="center"/>
          </w:tcPr>
          <w:p w14:paraId="35977B83" w14:textId="77777777" w:rsidR="00A61D95" w:rsidRPr="00170A07" w:rsidRDefault="00A61D95">
            <w:pPr>
              <w:spacing w:before="60" w:after="60"/>
              <w:rPr>
                <w:rFonts w:ascii="Verdana" w:hAnsi="Verdana"/>
                <w:sz w:val="24"/>
                <w:szCs w:val="24"/>
              </w:rPr>
            </w:pPr>
            <w:r w:rsidRPr="00170A07">
              <w:rPr>
                <w:rFonts w:ascii="Verdana" w:hAnsi="Verdana"/>
                <w:sz w:val="24"/>
                <w:szCs w:val="24"/>
              </w:rPr>
              <w:t xml:space="preserve">Test the issues with disabled people, tāngata </w:t>
            </w:r>
            <w:proofErr w:type="spellStart"/>
            <w:r w:rsidRPr="00170A07">
              <w:rPr>
                <w:rFonts w:ascii="Verdana" w:hAnsi="Verdana"/>
                <w:sz w:val="24"/>
                <w:szCs w:val="24"/>
              </w:rPr>
              <w:t>whaikaha</w:t>
            </w:r>
            <w:proofErr w:type="spellEnd"/>
            <w:r w:rsidRPr="00170A07">
              <w:rPr>
                <w:rFonts w:ascii="Verdana" w:hAnsi="Verdana"/>
                <w:sz w:val="24"/>
                <w:szCs w:val="24"/>
              </w:rPr>
              <w:t xml:space="preserve"> Māori, agencies and sector experts, and identify where baseline research or source verification is needed.</w:t>
            </w:r>
          </w:p>
        </w:tc>
        <w:tc>
          <w:tcPr>
            <w:tcW w:w="2835" w:type="dxa"/>
            <w:tcMar>
              <w:top w:w="100" w:type="dxa"/>
              <w:left w:w="120" w:type="dxa"/>
              <w:bottom w:w="100" w:type="dxa"/>
              <w:right w:w="120" w:type="dxa"/>
            </w:tcMar>
            <w:vAlign w:val="center"/>
          </w:tcPr>
          <w:p w14:paraId="0F6A24E3" w14:textId="77777777" w:rsidR="00A61D95" w:rsidRPr="00170A07" w:rsidRDefault="00A61D95">
            <w:pPr>
              <w:spacing w:before="60" w:after="60"/>
              <w:rPr>
                <w:rFonts w:ascii="Verdana" w:hAnsi="Verdana"/>
                <w:sz w:val="24"/>
                <w:szCs w:val="24"/>
              </w:rPr>
            </w:pPr>
            <w:r w:rsidRPr="00170A07">
              <w:rPr>
                <w:rFonts w:ascii="Verdana" w:hAnsi="Verdana"/>
                <w:sz w:val="24"/>
                <w:szCs w:val="24"/>
              </w:rPr>
              <w:t>Supports credible prioritisation and avoids premature investment decisions.</w:t>
            </w:r>
          </w:p>
        </w:tc>
      </w:tr>
      <w:tr w:rsidR="00A61D95" w14:paraId="121D51C4" w14:textId="77777777" w:rsidTr="00E16CC1">
        <w:tc>
          <w:tcPr>
            <w:tcW w:w="1696" w:type="dxa"/>
            <w:vMerge/>
            <w:tcMar>
              <w:top w:w="100" w:type="dxa"/>
              <w:left w:w="120" w:type="dxa"/>
              <w:bottom w:w="100" w:type="dxa"/>
              <w:right w:w="120" w:type="dxa"/>
            </w:tcMar>
            <w:vAlign w:val="center"/>
          </w:tcPr>
          <w:p w14:paraId="3F3A7755" w14:textId="54BE6E7E" w:rsidR="00A61D95" w:rsidRPr="00170A07" w:rsidRDefault="00A61D95">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4100D0D2" w14:textId="77777777" w:rsidR="00A61D95" w:rsidRPr="00170A07" w:rsidRDefault="00A61D95">
            <w:pPr>
              <w:spacing w:before="60" w:after="60"/>
              <w:rPr>
                <w:rFonts w:ascii="Verdana" w:hAnsi="Verdana"/>
                <w:sz w:val="24"/>
                <w:szCs w:val="24"/>
              </w:rPr>
            </w:pPr>
            <w:r w:rsidRPr="00170A07">
              <w:rPr>
                <w:rFonts w:ascii="Verdana" w:hAnsi="Verdana"/>
                <w:b/>
                <w:sz w:val="24"/>
                <w:szCs w:val="24"/>
              </w:rPr>
              <w:t>Make practical guidance easier to use</w:t>
            </w:r>
          </w:p>
        </w:tc>
        <w:tc>
          <w:tcPr>
            <w:tcW w:w="3544" w:type="dxa"/>
            <w:tcMar>
              <w:top w:w="100" w:type="dxa"/>
              <w:left w:w="120" w:type="dxa"/>
              <w:bottom w:w="100" w:type="dxa"/>
              <w:right w:w="120" w:type="dxa"/>
            </w:tcMar>
            <w:vAlign w:val="center"/>
          </w:tcPr>
          <w:p w14:paraId="5757D311" w14:textId="59E9AC02" w:rsidR="00A61D95" w:rsidRPr="00170A07" w:rsidRDefault="00A61D95">
            <w:pPr>
              <w:spacing w:before="60" w:after="60"/>
              <w:rPr>
                <w:rFonts w:ascii="Verdana" w:hAnsi="Verdana"/>
                <w:sz w:val="24"/>
                <w:szCs w:val="24"/>
              </w:rPr>
            </w:pPr>
            <w:r w:rsidRPr="00170A07">
              <w:rPr>
                <w:rFonts w:ascii="Verdana" w:hAnsi="Verdana"/>
                <w:sz w:val="24"/>
                <w:szCs w:val="24"/>
              </w:rPr>
              <w:t xml:space="preserve">Bring together </w:t>
            </w:r>
            <w:r w:rsidR="001E1994">
              <w:rPr>
                <w:rFonts w:ascii="Verdana" w:hAnsi="Verdana"/>
                <w:sz w:val="24"/>
                <w:szCs w:val="24"/>
              </w:rPr>
              <w:t xml:space="preserve">into a centralised repository </w:t>
            </w:r>
            <w:r w:rsidRPr="00170A07">
              <w:rPr>
                <w:rFonts w:ascii="Verdana" w:hAnsi="Verdana"/>
                <w:sz w:val="24"/>
                <w:szCs w:val="24"/>
              </w:rPr>
              <w:t>existing accessibility, accessible information, procurement and emerging technology guidance in a clear pathway for organisations.</w:t>
            </w:r>
          </w:p>
        </w:tc>
        <w:tc>
          <w:tcPr>
            <w:tcW w:w="2835" w:type="dxa"/>
            <w:tcMar>
              <w:top w:w="100" w:type="dxa"/>
              <w:left w:w="120" w:type="dxa"/>
              <w:bottom w:w="100" w:type="dxa"/>
              <w:right w:w="120" w:type="dxa"/>
            </w:tcMar>
            <w:vAlign w:val="center"/>
          </w:tcPr>
          <w:p w14:paraId="5F4917A7" w14:textId="77777777" w:rsidR="00A61D95" w:rsidRPr="00170A07" w:rsidRDefault="00A61D95">
            <w:pPr>
              <w:spacing w:before="60" w:after="60"/>
              <w:rPr>
                <w:rFonts w:ascii="Verdana" w:hAnsi="Verdana"/>
                <w:sz w:val="24"/>
                <w:szCs w:val="24"/>
              </w:rPr>
            </w:pPr>
            <w:r w:rsidRPr="00170A07">
              <w:rPr>
                <w:rFonts w:ascii="Verdana" w:hAnsi="Verdana"/>
                <w:sz w:val="24"/>
                <w:szCs w:val="24"/>
              </w:rPr>
              <w:t>Helps organisations move from awareness to action without duplicating existing resources.</w:t>
            </w:r>
          </w:p>
        </w:tc>
      </w:tr>
      <w:tr w:rsidR="00A61D95" w14:paraId="0D1F2393" w14:textId="77777777" w:rsidTr="00E16CC1">
        <w:tc>
          <w:tcPr>
            <w:tcW w:w="1696" w:type="dxa"/>
            <w:vMerge w:val="restart"/>
            <w:tcMar>
              <w:top w:w="100" w:type="dxa"/>
              <w:left w:w="120" w:type="dxa"/>
              <w:bottom w:w="100" w:type="dxa"/>
              <w:right w:w="120" w:type="dxa"/>
            </w:tcMar>
            <w:vAlign w:val="center"/>
          </w:tcPr>
          <w:p w14:paraId="12D8FB11" w14:textId="77777777" w:rsidR="00A61D95" w:rsidRPr="00170A07" w:rsidRDefault="00A61D95">
            <w:pPr>
              <w:spacing w:before="60" w:after="60"/>
              <w:rPr>
                <w:rFonts w:ascii="Verdana" w:hAnsi="Verdana"/>
                <w:sz w:val="24"/>
                <w:szCs w:val="24"/>
              </w:rPr>
            </w:pPr>
            <w:r w:rsidRPr="00170A07">
              <w:rPr>
                <w:rFonts w:ascii="Verdana" w:hAnsi="Verdana"/>
                <w:b/>
                <w:sz w:val="24"/>
                <w:szCs w:val="24"/>
              </w:rPr>
              <w:t>Medium term</w:t>
            </w:r>
          </w:p>
          <w:p w14:paraId="09D6757E" w14:textId="338B16FF" w:rsidR="00A61D95" w:rsidRPr="00170A07" w:rsidRDefault="00A61D95" w:rsidP="00AA34AE">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0366197A" w14:textId="77777777" w:rsidR="00A61D95" w:rsidRPr="00170A07" w:rsidRDefault="00A61D95">
            <w:pPr>
              <w:spacing w:before="60" w:after="60"/>
              <w:rPr>
                <w:rFonts w:ascii="Verdana" w:hAnsi="Verdana"/>
                <w:sz w:val="24"/>
                <w:szCs w:val="24"/>
              </w:rPr>
            </w:pPr>
            <w:r w:rsidRPr="00170A07">
              <w:rPr>
                <w:rFonts w:ascii="Verdana" w:hAnsi="Verdana"/>
                <w:b/>
                <w:sz w:val="24"/>
                <w:szCs w:val="24"/>
              </w:rPr>
              <w:t>Strengthen participation and testing</w:t>
            </w:r>
          </w:p>
        </w:tc>
        <w:tc>
          <w:tcPr>
            <w:tcW w:w="3544" w:type="dxa"/>
            <w:tcMar>
              <w:top w:w="100" w:type="dxa"/>
              <w:left w:w="120" w:type="dxa"/>
              <w:bottom w:w="100" w:type="dxa"/>
              <w:right w:w="120" w:type="dxa"/>
            </w:tcMar>
            <w:vAlign w:val="center"/>
          </w:tcPr>
          <w:p w14:paraId="7EEC015B" w14:textId="77777777" w:rsidR="00A61D95" w:rsidRPr="00170A07" w:rsidRDefault="00A61D95">
            <w:pPr>
              <w:spacing w:before="60" w:after="60"/>
              <w:rPr>
                <w:rFonts w:ascii="Verdana" w:hAnsi="Verdana"/>
                <w:sz w:val="24"/>
                <w:szCs w:val="24"/>
              </w:rPr>
            </w:pPr>
            <w:r w:rsidRPr="00170A07">
              <w:rPr>
                <w:rFonts w:ascii="Verdana" w:hAnsi="Verdana"/>
                <w:sz w:val="24"/>
                <w:szCs w:val="24"/>
              </w:rPr>
              <w:t xml:space="preserve">Support accessible, </w:t>
            </w:r>
            <w:proofErr w:type="gramStart"/>
            <w:r w:rsidRPr="00170A07">
              <w:rPr>
                <w:rFonts w:ascii="Verdana" w:hAnsi="Verdana"/>
                <w:sz w:val="24"/>
                <w:szCs w:val="24"/>
              </w:rPr>
              <w:t>fairly compensated</w:t>
            </w:r>
            <w:proofErr w:type="gramEnd"/>
            <w:r w:rsidRPr="00170A07">
              <w:rPr>
                <w:rFonts w:ascii="Verdana" w:hAnsi="Verdana"/>
                <w:sz w:val="24"/>
                <w:szCs w:val="24"/>
              </w:rPr>
              <w:t xml:space="preserve"> ways for disabled people to contribute to service design, testing, procurement, governance and evaluation.</w:t>
            </w:r>
          </w:p>
        </w:tc>
        <w:tc>
          <w:tcPr>
            <w:tcW w:w="2835" w:type="dxa"/>
            <w:tcMar>
              <w:top w:w="100" w:type="dxa"/>
              <w:left w:w="120" w:type="dxa"/>
              <w:bottom w:w="100" w:type="dxa"/>
              <w:right w:w="120" w:type="dxa"/>
            </w:tcMar>
            <w:vAlign w:val="center"/>
          </w:tcPr>
          <w:p w14:paraId="3EFD0E6C" w14:textId="77777777" w:rsidR="00A61D95" w:rsidRPr="00170A07" w:rsidRDefault="00A61D95">
            <w:pPr>
              <w:spacing w:before="60" w:after="60"/>
              <w:rPr>
                <w:rFonts w:ascii="Verdana" w:hAnsi="Verdana"/>
                <w:sz w:val="24"/>
                <w:szCs w:val="24"/>
              </w:rPr>
            </w:pPr>
            <w:r w:rsidRPr="00170A07">
              <w:rPr>
                <w:rFonts w:ascii="Verdana" w:hAnsi="Verdana"/>
                <w:sz w:val="24"/>
                <w:szCs w:val="24"/>
              </w:rPr>
              <w:t>Improves decisions and identifies barriers before launch.</w:t>
            </w:r>
          </w:p>
        </w:tc>
      </w:tr>
      <w:tr w:rsidR="00F062FE" w14:paraId="6603C13F" w14:textId="77777777" w:rsidTr="00E16CC1">
        <w:tc>
          <w:tcPr>
            <w:tcW w:w="1696" w:type="dxa"/>
            <w:vMerge/>
            <w:tcMar>
              <w:top w:w="100" w:type="dxa"/>
              <w:left w:w="120" w:type="dxa"/>
              <w:bottom w:w="100" w:type="dxa"/>
              <w:right w:w="120" w:type="dxa"/>
            </w:tcMar>
            <w:vAlign w:val="center"/>
          </w:tcPr>
          <w:p w14:paraId="6F93DCEA" w14:textId="77777777" w:rsidR="00F062FE" w:rsidRPr="00170A07" w:rsidRDefault="00F062FE" w:rsidP="00AA34AE">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168EECCE" w14:textId="55A00BEF" w:rsidR="00F062FE" w:rsidRPr="00170A07" w:rsidRDefault="00F062FE">
            <w:pPr>
              <w:spacing w:before="60" w:after="60"/>
              <w:rPr>
                <w:rFonts w:ascii="Verdana" w:hAnsi="Verdana"/>
                <w:b/>
                <w:sz w:val="24"/>
                <w:szCs w:val="24"/>
              </w:rPr>
            </w:pPr>
            <w:r>
              <w:rPr>
                <w:rFonts w:ascii="Verdana" w:hAnsi="Verdana"/>
                <w:b/>
                <w:sz w:val="24"/>
                <w:szCs w:val="24"/>
              </w:rPr>
              <w:t>Explore options to improve access to assistive technology</w:t>
            </w:r>
          </w:p>
        </w:tc>
        <w:tc>
          <w:tcPr>
            <w:tcW w:w="3544" w:type="dxa"/>
            <w:tcMar>
              <w:top w:w="100" w:type="dxa"/>
              <w:left w:w="120" w:type="dxa"/>
              <w:bottom w:w="100" w:type="dxa"/>
              <w:right w:w="120" w:type="dxa"/>
            </w:tcMar>
            <w:vAlign w:val="center"/>
          </w:tcPr>
          <w:p w14:paraId="041F4E9E" w14:textId="750E2386" w:rsidR="00F062FE" w:rsidRPr="00170A07" w:rsidRDefault="005C71F0">
            <w:pPr>
              <w:spacing w:before="60" w:after="60"/>
              <w:rPr>
                <w:rFonts w:ascii="Verdana" w:hAnsi="Verdana"/>
                <w:sz w:val="24"/>
                <w:szCs w:val="24"/>
              </w:rPr>
            </w:pPr>
            <w:r>
              <w:rPr>
                <w:rFonts w:ascii="Verdana" w:hAnsi="Verdana"/>
                <w:sz w:val="24"/>
                <w:szCs w:val="24"/>
              </w:rPr>
              <w:t xml:space="preserve">Look at </w:t>
            </w:r>
            <w:r w:rsidR="00831146">
              <w:rPr>
                <w:rFonts w:ascii="Verdana" w:hAnsi="Verdana"/>
                <w:sz w:val="24"/>
                <w:szCs w:val="24"/>
              </w:rPr>
              <w:t xml:space="preserve">barriers and identify </w:t>
            </w:r>
            <w:r>
              <w:rPr>
                <w:rFonts w:ascii="Verdana" w:hAnsi="Verdana"/>
                <w:sz w:val="24"/>
                <w:szCs w:val="24"/>
              </w:rPr>
              <w:t>ways to improve access to assistive technology for disabled people</w:t>
            </w:r>
            <w:r w:rsidR="004F12DD">
              <w:rPr>
                <w:rFonts w:ascii="Verdana" w:hAnsi="Verdana"/>
                <w:sz w:val="24"/>
                <w:szCs w:val="24"/>
              </w:rPr>
              <w:t>.</w:t>
            </w:r>
          </w:p>
        </w:tc>
        <w:tc>
          <w:tcPr>
            <w:tcW w:w="2835" w:type="dxa"/>
            <w:tcMar>
              <w:top w:w="100" w:type="dxa"/>
              <w:left w:w="120" w:type="dxa"/>
              <w:bottom w:w="100" w:type="dxa"/>
              <w:right w:w="120" w:type="dxa"/>
            </w:tcMar>
            <w:vAlign w:val="center"/>
          </w:tcPr>
          <w:p w14:paraId="4017A438" w14:textId="36715A31" w:rsidR="00F062FE" w:rsidRPr="00170A07" w:rsidRDefault="004F12DD">
            <w:pPr>
              <w:spacing w:before="60" w:after="60"/>
              <w:rPr>
                <w:rFonts w:ascii="Verdana" w:hAnsi="Verdana"/>
                <w:sz w:val="24"/>
                <w:szCs w:val="24"/>
              </w:rPr>
            </w:pPr>
            <w:r>
              <w:rPr>
                <w:rFonts w:ascii="Verdana" w:hAnsi="Verdana"/>
                <w:sz w:val="24"/>
                <w:szCs w:val="24"/>
              </w:rPr>
              <w:t>Deals with a key component of digital exclusion.</w:t>
            </w:r>
          </w:p>
        </w:tc>
      </w:tr>
      <w:tr w:rsidR="00A61D95" w14:paraId="3625C5DF" w14:textId="77777777" w:rsidTr="00E16CC1">
        <w:tc>
          <w:tcPr>
            <w:tcW w:w="1696" w:type="dxa"/>
            <w:vMerge/>
            <w:tcMar>
              <w:top w:w="100" w:type="dxa"/>
              <w:left w:w="120" w:type="dxa"/>
              <w:bottom w:w="100" w:type="dxa"/>
              <w:right w:w="120" w:type="dxa"/>
            </w:tcMar>
            <w:vAlign w:val="center"/>
          </w:tcPr>
          <w:p w14:paraId="7EA465D0" w14:textId="5EF797ED" w:rsidR="00A61D95" w:rsidRPr="00170A07" w:rsidRDefault="00A61D95" w:rsidP="00AA34AE">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03E2CB3C" w14:textId="77777777" w:rsidR="00A61D95" w:rsidRPr="00170A07" w:rsidRDefault="00A61D95">
            <w:pPr>
              <w:spacing w:before="60" w:after="60"/>
              <w:rPr>
                <w:rFonts w:ascii="Verdana" w:hAnsi="Verdana"/>
                <w:sz w:val="24"/>
                <w:szCs w:val="24"/>
              </w:rPr>
            </w:pPr>
            <w:r w:rsidRPr="00170A07">
              <w:rPr>
                <w:rFonts w:ascii="Verdana" w:hAnsi="Verdana"/>
                <w:b/>
                <w:sz w:val="24"/>
                <w:szCs w:val="24"/>
              </w:rPr>
              <w:t>Build accessibility capability and support</w:t>
            </w:r>
          </w:p>
        </w:tc>
        <w:tc>
          <w:tcPr>
            <w:tcW w:w="3544" w:type="dxa"/>
            <w:tcMar>
              <w:top w:w="100" w:type="dxa"/>
              <w:left w:w="120" w:type="dxa"/>
              <w:bottom w:w="100" w:type="dxa"/>
              <w:right w:w="120" w:type="dxa"/>
            </w:tcMar>
            <w:vAlign w:val="center"/>
          </w:tcPr>
          <w:p w14:paraId="2E9B7B37" w14:textId="77777777" w:rsidR="00A61D95" w:rsidRPr="00170A07" w:rsidRDefault="00A61D95">
            <w:pPr>
              <w:spacing w:before="60" w:after="60"/>
              <w:rPr>
                <w:rFonts w:ascii="Verdana" w:hAnsi="Verdana"/>
                <w:sz w:val="24"/>
                <w:szCs w:val="24"/>
              </w:rPr>
            </w:pPr>
            <w:r w:rsidRPr="00170A07">
              <w:rPr>
                <w:rFonts w:ascii="Verdana" w:hAnsi="Verdana"/>
                <w:sz w:val="24"/>
                <w:szCs w:val="24"/>
              </w:rPr>
              <w:t>Work with education, workforce, industry and community partners to strengthen training, professional pathways and practical support.</w:t>
            </w:r>
          </w:p>
        </w:tc>
        <w:tc>
          <w:tcPr>
            <w:tcW w:w="2835" w:type="dxa"/>
            <w:tcMar>
              <w:top w:w="100" w:type="dxa"/>
              <w:left w:w="120" w:type="dxa"/>
              <w:bottom w:w="100" w:type="dxa"/>
              <w:right w:w="120" w:type="dxa"/>
            </w:tcMar>
            <w:vAlign w:val="center"/>
          </w:tcPr>
          <w:p w14:paraId="1DD2AC39" w14:textId="77777777" w:rsidR="00A61D95" w:rsidRPr="00170A07" w:rsidRDefault="00A61D95">
            <w:pPr>
              <w:spacing w:before="60" w:after="60"/>
              <w:rPr>
                <w:rFonts w:ascii="Verdana" w:hAnsi="Verdana"/>
                <w:sz w:val="24"/>
                <w:szCs w:val="24"/>
              </w:rPr>
            </w:pPr>
            <w:r w:rsidRPr="00170A07">
              <w:rPr>
                <w:rFonts w:ascii="Verdana" w:hAnsi="Verdana"/>
                <w:sz w:val="24"/>
                <w:szCs w:val="24"/>
              </w:rPr>
              <w:t>Increases the number of people and organisations able to deliver accessibility.</w:t>
            </w:r>
          </w:p>
        </w:tc>
      </w:tr>
      <w:tr w:rsidR="00A61D95" w14:paraId="4C469BEC" w14:textId="77777777" w:rsidTr="00E16CC1">
        <w:tc>
          <w:tcPr>
            <w:tcW w:w="1696" w:type="dxa"/>
            <w:vMerge/>
            <w:tcMar>
              <w:top w:w="100" w:type="dxa"/>
              <w:left w:w="120" w:type="dxa"/>
              <w:bottom w:w="100" w:type="dxa"/>
              <w:right w:w="120" w:type="dxa"/>
            </w:tcMar>
            <w:vAlign w:val="center"/>
          </w:tcPr>
          <w:p w14:paraId="6224DA92" w14:textId="30A66960" w:rsidR="00A61D95" w:rsidRPr="00170A07" w:rsidRDefault="00A61D95">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3AE1F5B8" w14:textId="77777777" w:rsidR="00A61D95" w:rsidRPr="00170A07" w:rsidRDefault="00A61D95">
            <w:pPr>
              <w:spacing w:before="60" w:after="60"/>
              <w:rPr>
                <w:rFonts w:ascii="Verdana" w:hAnsi="Verdana"/>
                <w:sz w:val="24"/>
                <w:szCs w:val="24"/>
              </w:rPr>
            </w:pPr>
            <w:r w:rsidRPr="00170A07">
              <w:rPr>
                <w:rFonts w:ascii="Verdana" w:hAnsi="Verdana"/>
                <w:b/>
                <w:sz w:val="24"/>
                <w:szCs w:val="24"/>
              </w:rPr>
              <w:t>Develop monitoring and sector evidence</w:t>
            </w:r>
          </w:p>
        </w:tc>
        <w:tc>
          <w:tcPr>
            <w:tcW w:w="3544" w:type="dxa"/>
            <w:tcMar>
              <w:top w:w="100" w:type="dxa"/>
              <w:left w:w="120" w:type="dxa"/>
              <w:bottom w:w="100" w:type="dxa"/>
              <w:right w:w="120" w:type="dxa"/>
            </w:tcMar>
            <w:vAlign w:val="center"/>
          </w:tcPr>
          <w:p w14:paraId="099C7627" w14:textId="01FD9FA8" w:rsidR="00A61D95" w:rsidRPr="00170A07" w:rsidRDefault="00A61D95">
            <w:pPr>
              <w:spacing w:before="60" w:after="60"/>
              <w:rPr>
                <w:rFonts w:ascii="Verdana" w:hAnsi="Verdana"/>
                <w:sz w:val="24"/>
                <w:szCs w:val="24"/>
              </w:rPr>
            </w:pPr>
            <w:r w:rsidRPr="00170A07">
              <w:rPr>
                <w:rFonts w:ascii="Verdana" w:hAnsi="Verdana"/>
                <w:sz w:val="24"/>
                <w:szCs w:val="24"/>
              </w:rPr>
              <w:t xml:space="preserve">Encourage </w:t>
            </w:r>
            <w:r w:rsidR="00CA4463">
              <w:rPr>
                <w:rFonts w:ascii="Verdana" w:hAnsi="Verdana"/>
                <w:sz w:val="24"/>
                <w:szCs w:val="24"/>
              </w:rPr>
              <w:t xml:space="preserve">the use of </w:t>
            </w:r>
            <w:r w:rsidRPr="00170A07">
              <w:rPr>
                <w:rFonts w:ascii="Verdana" w:hAnsi="Verdana"/>
                <w:sz w:val="24"/>
                <w:szCs w:val="24"/>
              </w:rPr>
              <w:t>consistent measures, benchmarking and reporting on digital exclusion, information accessibility and organisational capability.</w:t>
            </w:r>
          </w:p>
        </w:tc>
        <w:tc>
          <w:tcPr>
            <w:tcW w:w="2835" w:type="dxa"/>
            <w:tcMar>
              <w:top w:w="100" w:type="dxa"/>
              <w:left w:w="120" w:type="dxa"/>
              <w:bottom w:w="100" w:type="dxa"/>
              <w:right w:w="120" w:type="dxa"/>
            </w:tcMar>
            <w:vAlign w:val="center"/>
          </w:tcPr>
          <w:p w14:paraId="526D75A2" w14:textId="77777777" w:rsidR="00A61D95" w:rsidRPr="00170A07" w:rsidRDefault="00A61D95">
            <w:pPr>
              <w:spacing w:before="60" w:after="60"/>
              <w:rPr>
                <w:rFonts w:ascii="Verdana" w:hAnsi="Verdana"/>
                <w:sz w:val="24"/>
                <w:szCs w:val="24"/>
              </w:rPr>
            </w:pPr>
            <w:r w:rsidRPr="00170A07">
              <w:rPr>
                <w:rFonts w:ascii="Verdana" w:hAnsi="Verdana"/>
                <w:sz w:val="24"/>
                <w:szCs w:val="24"/>
              </w:rPr>
              <w:t>Makes progress and recurring barriers visible.</w:t>
            </w:r>
          </w:p>
        </w:tc>
      </w:tr>
      <w:tr w:rsidR="00A61D95" w14:paraId="6A098212" w14:textId="77777777" w:rsidTr="00E16CC1">
        <w:tc>
          <w:tcPr>
            <w:tcW w:w="1696" w:type="dxa"/>
            <w:vMerge w:val="restart"/>
            <w:tcMar>
              <w:top w:w="100" w:type="dxa"/>
              <w:left w:w="120" w:type="dxa"/>
              <w:bottom w:w="100" w:type="dxa"/>
              <w:right w:w="120" w:type="dxa"/>
            </w:tcMar>
            <w:vAlign w:val="center"/>
          </w:tcPr>
          <w:p w14:paraId="38A0FA0C" w14:textId="77777777" w:rsidR="00A61D95" w:rsidRPr="00170A07" w:rsidRDefault="00A61D95">
            <w:pPr>
              <w:spacing w:before="60" w:after="60"/>
              <w:rPr>
                <w:rFonts w:ascii="Verdana" w:hAnsi="Verdana"/>
                <w:sz w:val="24"/>
                <w:szCs w:val="24"/>
              </w:rPr>
            </w:pPr>
            <w:r w:rsidRPr="00170A07">
              <w:rPr>
                <w:rFonts w:ascii="Verdana" w:hAnsi="Verdana"/>
                <w:b/>
                <w:sz w:val="24"/>
                <w:szCs w:val="24"/>
              </w:rPr>
              <w:t>Longer term</w:t>
            </w:r>
          </w:p>
          <w:p w14:paraId="4BD87EEE" w14:textId="3A984322" w:rsidR="00A61D95" w:rsidRPr="00170A07" w:rsidRDefault="00A61D95" w:rsidP="00AA34AE">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4B8A5444" w14:textId="77777777" w:rsidR="00A61D95" w:rsidRPr="00170A07" w:rsidRDefault="00A61D95">
            <w:pPr>
              <w:spacing w:before="60" w:after="60"/>
              <w:rPr>
                <w:rFonts w:ascii="Verdana" w:hAnsi="Verdana"/>
                <w:sz w:val="24"/>
                <w:szCs w:val="24"/>
              </w:rPr>
            </w:pPr>
            <w:r w:rsidRPr="00170A07">
              <w:rPr>
                <w:rFonts w:ascii="Verdana" w:hAnsi="Verdana"/>
                <w:b/>
                <w:sz w:val="24"/>
                <w:szCs w:val="24"/>
              </w:rPr>
              <w:t>Advocate for stronger system settings</w:t>
            </w:r>
          </w:p>
        </w:tc>
        <w:tc>
          <w:tcPr>
            <w:tcW w:w="3544" w:type="dxa"/>
            <w:tcMar>
              <w:top w:w="100" w:type="dxa"/>
              <w:left w:w="120" w:type="dxa"/>
              <w:bottom w:w="100" w:type="dxa"/>
              <w:right w:w="120" w:type="dxa"/>
            </w:tcMar>
            <w:vAlign w:val="center"/>
          </w:tcPr>
          <w:p w14:paraId="14CF8C72" w14:textId="77777777" w:rsidR="00A61D95" w:rsidRPr="00170A07" w:rsidRDefault="00A61D95">
            <w:pPr>
              <w:spacing w:before="60" w:after="60"/>
              <w:rPr>
                <w:rFonts w:ascii="Verdana" w:hAnsi="Verdana"/>
                <w:sz w:val="24"/>
                <w:szCs w:val="24"/>
              </w:rPr>
            </w:pPr>
            <w:r w:rsidRPr="00170A07">
              <w:rPr>
                <w:rFonts w:ascii="Verdana" w:hAnsi="Verdana"/>
                <w:sz w:val="24"/>
                <w:szCs w:val="24"/>
              </w:rPr>
              <w:t>Support consideration of stronger accessibility expectations in regulation, standards, procurement, funding and reporting.</w:t>
            </w:r>
          </w:p>
        </w:tc>
        <w:tc>
          <w:tcPr>
            <w:tcW w:w="2835" w:type="dxa"/>
            <w:tcMar>
              <w:top w:w="100" w:type="dxa"/>
              <w:left w:w="120" w:type="dxa"/>
              <w:bottom w:w="100" w:type="dxa"/>
              <w:right w:w="120" w:type="dxa"/>
            </w:tcMar>
            <w:vAlign w:val="center"/>
          </w:tcPr>
          <w:p w14:paraId="794BBFC9" w14:textId="77777777" w:rsidR="00A61D95" w:rsidRPr="00170A07" w:rsidRDefault="00A61D95">
            <w:pPr>
              <w:spacing w:before="60" w:after="60"/>
              <w:rPr>
                <w:rFonts w:ascii="Verdana" w:hAnsi="Verdana"/>
                <w:sz w:val="24"/>
                <w:szCs w:val="24"/>
              </w:rPr>
            </w:pPr>
            <w:r w:rsidRPr="00170A07">
              <w:rPr>
                <w:rFonts w:ascii="Verdana" w:hAnsi="Verdana"/>
                <w:sz w:val="24"/>
                <w:szCs w:val="24"/>
              </w:rPr>
              <w:t>Provides a more durable basis for consistent accessibility.</w:t>
            </w:r>
          </w:p>
        </w:tc>
      </w:tr>
      <w:tr w:rsidR="00A61D95" w14:paraId="755DB154" w14:textId="77777777" w:rsidTr="00E16CC1">
        <w:tc>
          <w:tcPr>
            <w:tcW w:w="1696" w:type="dxa"/>
            <w:vMerge/>
            <w:tcMar>
              <w:top w:w="100" w:type="dxa"/>
              <w:left w:w="120" w:type="dxa"/>
              <w:bottom w:w="100" w:type="dxa"/>
              <w:right w:w="120" w:type="dxa"/>
            </w:tcMar>
            <w:vAlign w:val="center"/>
          </w:tcPr>
          <w:p w14:paraId="09CFD6B7" w14:textId="549DBE6C" w:rsidR="00A61D95" w:rsidRPr="00170A07" w:rsidRDefault="00A61D95">
            <w:pPr>
              <w:spacing w:before="60" w:after="60"/>
              <w:rPr>
                <w:rFonts w:ascii="Verdana" w:hAnsi="Verdana"/>
                <w:sz w:val="24"/>
                <w:szCs w:val="24"/>
              </w:rPr>
            </w:pPr>
          </w:p>
        </w:tc>
        <w:tc>
          <w:tcPr>
            <w:tcW w:w="1985" w:type="dxa"/>
            <w:tcMar>
              <w:top w:w="100" w:type="dxa"/>
              <w:left w:w="120" w:type="dxa"/>
              <w:bottom w:w="100" w:type="dxa"/>
              <w:right w:w="120" w:type="dxa"/>
            </w:tcMar>
            <w:vAlign w:val="center"/>
          </w:tcPr>
          <w:p w14:paraId="056CECB9" w14:textId="77777777" w:rsidR="00A61D95" w:rsidRPr="00170A07" w:rsidRDefault="00A61D95">
            <w:pPr>
              <w:spacing w:before="60" w:after="60"/>
              <w:rPr>
                <w:rFonts w:ascii="Verdana" w:hAnsi="Verdana"/>
                <w:sz w:val="24"/>
                <w:szCs w:val="24"/>
              </w:rPr>
            </w:pPr>
            <w:r w:rsidRPr="00170A07">
              <w:rPr>
                <w:rFonts w:ascii="Verdana" w:hAnsi="Verdana"/>
                <w:b/>
                <w:sz w:val="24"/>
                <w:szCs w:val="24"/>
              </w:rPr>
              <w:t>Embed safeguards and inclusive innovation</w:t>
            </w:r>
          </w:p>
        </w:tc>
        <w:tc>
          <w:tcPr>
            <w:tcW w:w="3544" w:type="dxa"/>
            <w:tcMar>
              <w:top w:w="100" w:type="dxa"/>
              <w:left w:w="120" w:type="dxa"/>
              <w:bottom w:w="100" w:type="dxa"/>
              <w:right w:w="120" w:type="dxa"/>
            </w:tcMar>
            <w:vAlign w:val="center"/>
          </w:tcPr>
          <w:p w14:paraId="3EC21833" w14:textId="77777777" w:rsidR="00A61D95" w:rsidRPr="00170A07" w:rsidRDefault="00A61D95">
            <w:pPr>
              <w:spacing w:before="60" w:after="60"/>
              <w:rPr>
                <w:rFonts w:ascii="Verdana" w:hAnsi="Verdana"/>
                <w:sz w:val="24"/>
                <w:szCs w:val="24"/>
              </w:rPr>
            </w:pPr>
            <w:r w:rsidRPr="00170A07">
              <w:rPr>
                <w:rFonts w:ascii="Verdana" w:hAnsi="Verdana"/>
                <w:sz w:val="24"/>
                <w:szCs w:val="24"/>
              </w:rPr>
              <w:t>Promote disability participation and accessibility safeguards in artificial intelligence, digital identity, biometrics, automation, research and innovation programmes.</w:t>
            </w:r>
          </w:p>
        </w:tc>
        <w:tc>
          <w:tcPr>
            <w:tcW w:w="2835" w:type="dxa"/>
            <w:tcMar>
              <w:top w:w="100" w:type="dxa"/>
              <w:left w:w="120" w:type="dxa"/>
              <w:bottom w:w="100" w:type="dxa"/>
              <w:right w:w="120" w:type="dxa"/>
            </w:tcMar>
            <w:vAlign w:val="center"/>
          </w:tcPr>
          <w:p w14:paraId="37272FB3" w14:textId="77777777" w:rsidR="00A61D95" w:rsidRPr="00170A07" w:rsidRDefault="00A61D95">
            <w:pPr>
              <w:spacing w:before="60" w:after="60"/>
              <w:rPr>
                <w:rFonts w:ascii="Verdana" w:hAnsi="Verdana"/>
                <w:sz w:val="24"/>
                <w:szCs w:val="24"/>
              </w:rPr>
            </w:pPr>
            <w:r w:rsidRPr="00170A07">
              <w:rPr>
                <w:rFonts w:ascii="Verdana" w:hAnsi="Verdana"/>
                <w:sz w:val="24"/>
                <w:szCs w:val="24"/>
              </w:rPr>
              <w:t>Reduces future exclusion and supports locally relevant solutions.</w:t>
            </w:r>
          </w:p>
        </w:tc>
      </w:tr>
    </w:tbl>
    <w:p w14:paraId="2668D269" w14:textId="77777777" w:rsidR="002970BC" w:rsidRPr="002E3454" w:rsidRDefault="00AC3855">
      <w:pPr>
        <w:pStyle w:val="Heading2"/>
        <w:rPr>
          <w:rFonts w:ascii="Verdana" w:hAnsi="Verdana"/>
          <w:color w:val="auto"/>
          <w:sz w:val="28"/>
          <w:szCs w:val="28"/>
        </w:rPr>
      </w:pPr>
      <w:r w:rsidRPr="002E3454">
        <w:rPr>
          <w:rFonts w:ascii="Verdana" w:hAnsi="Verdana"/>
          <w:color w:val="auto"/>
          <w:sz w:val="28"/>
          <w:szCs w:val="28"/>
        </w:rPr>
        <w:t>There is a clear role for Whaikaha in supporting a more accessible digital and information system</w:t>
      </w:r>
    </w:p>
    <w:p w14:paraId="1E5CD964" w14:textId="6BE327D7" w:rsidR="002970BC" w:rsidRPr="002E3454" w:rsidRDefault="00AC3855" w:rsidP="002E3454">
      <w:pPr>
        <w:pStyle w:val="ListParagraph"/>
        <w:numPr>
          <w:ilvl w:val="0"/>
          <w:numId w:val="23"/>
        </w:numPr>
        <w:spacing w:before="120"/>
        <w:ind w:left="454" w:hanging="454"/>
        <w:rPr>
          <w:rFonts w:ascii="Verdana" w:hAnsi="Verdana"/>
          <w:sz w:val="24"/>
          <w:szCs w:val="24"/>
        </w:rPr>
      </w:pPr>
      <w:r w:rsidRPr="002E3454">
        <w:rPr>
          <w:rFonts w:ascii="Verdana" w:hAnsi="Verdana"/>
          <w:sz w:val="24"/>
          <w:szCs w:val="24"/>
        </w:rPr>
        <w:t>The core issue is clear: disabled people cannot consistently rely on digital services and information to take part independently in everyday life. The barriers span access, affordability, information, assistive technology, skills, organisational capability, accountability, participation and emerging technology.</w:t>
      </w:r>
    </w:p>
    <w:p w14:paraId="6B0CA399" w14:textId="1C5D96F4" w:rsidR="002970BC" w:rsidRPr="002E3454" w:rsidRDefault="00C53B8B" w:rsidP="002E3454">
      <w:pPr>
        <w:pStyle w:val="ListParagraph"/>
        <w:numPr>
          <w:ilvl w:val="0"/>
          <w:numId w:val="23"/>
        </w:numPr>
        <w:spacing w:before="120"/>
        <w:ind w:left="454" w:hanging="454"/>
        <w:rPr>
          <w:rFonts w:ascii="Verdana" w:hAnsi="Verdana"/>
          <w:sz w:val="24"/>
          <w:szCs w:val="24"/>
        </w:rPr>
      </w:pPr>
      <w:r>
        <w:rPr>
          <w:rFonts w:ascii="Verdana" w:hAnsi="Verdana"/>
          <w:sz w:val="24"/>
          <w:szCs w:val="24"/>
        </w:rPr>
        <w:t>D</w:t>
      </w:r>
      <w:r w:rsidR="00AC3855" w:rsidRPr="002E3454">
        <w:rPr>
          <w:rFonts w:ascii="Verdana" w:hAnsi="Verdana"/>
          <w:sz w:val="24"/>
          <w:szCs w:val="24"/>
        </w:rPr>
        <w:t>igital accessibility depends on decisions made across government, business, education, community organisations, technology suppliers and international markets. When accessibility is optional, considered late or not measured, the same barriers continue.</w:t>
      </w:r>
    </w:p>
    <w:p w14:paraId="5EED0F5A" w14:textId="1505ABF6" w:rsidR="002970BC" w:rsidRPr="002E3454" w:rsidRDefault="00AC3855" w:rsidP="002E3454">
      <w:pPr>
        <w:pStyle w:val="ListParagraph"/>
        <w:numPr>
          <w:ilvl w:val="0"/>
          <w:numId w:val="23"/>
        </w:numPr>
        <w:spacing w:before="120"/>
        <w:ind w:left="454" w:hanging="454"/>
        <w:rPr>
          <w:rFonts w:ascii="Verdana" w:hAnsi="Verdana"/>
          <w:sz w:val="24"/>
          <w:szCs w:val="24"/>
        </w:rPr>
      </w:pPr>
      <w:r w:rsidRPr="002E3454">
        <w:rPr>
          <w:rFonts w:ascii="Verdana" w:hAnsi="Verdana"/>
          <w:sz w:val="24"/>
          <w:szCs w:val="24"/>
        </w:rPr>
        <w:t>Whaikaha can add value by helping the system focus on the outcome that matters most: disabled people being able to find, understand and use information and services with choice, safety and independence. This means bringing evidence and lived experience together, strengthening participation and capability, supporting practical action, advocating for clear expectations, and keeping disability rights visible as technology changes.</w:t>
      </w:r>
      <w:r w:rsidR="000F2433">
        <w:rPr>
          <w:rFonts w:ascii="Verdana" w:hAnsi="Verdana"/>
          <w:sz w:val="24"/>
          <w:szCs w:val="24"/>
        </w:rPr>
        <w:t xml:space="preserve"> Whaikaha </w:t>
      </w:r>
      <w:r w:rsidR="000F2433" w:rsidRPr="000F2433">
        <w:rPr>
          <w:rFonts w:ascii="Verdana" w:hAnsi="Verdana"/>
          <w:sz w:val="24"/>
          <w:szCs w:val="24"/>
        </w:rPr>
        <w:t>c</w:t>
      </w:r>
      <w:r w:rsidR="00FE452C">
        <w:rPr>
          <w:rFonts w:ascii="Verdana" w:hAnsi="Verdana"/>
          <w:sz w:val="24"/>
          <w:szCs w:val="24"/>
        </w:rPr>
        <w:t>ould</w:t>
      </w:r>
      <w:r w:rsidR="000F2433" w:rsidRPr="000F2433">
        <w:rPr>
          <w:rFonts w:ascii="Verdana" w:hAnsi="Verdana"/>
          <w:sz w:val="24"/>
          <w:szCs w:val="24"/>
        </w:rPr>
        <w:t xml:space="preserve"> leverage its position in government and establish itself as a trusted source of expertise and guidance to agencies and businesses wanting to improve on their current performance</w:t>
      </w:r>
      <w:r w:rsidR="007E2FBC">
        <w:rPr>
          <w:rFonts w:ascii="Verdana" w:hAnsi="Verdana"/>
          <w:sz w:val="24"/>
          <w:szCs w:val="24"/>
        </w:rPr>
        <w:t>.</w:t>
      </w:r>
    </w:p>
    <w:p w14:paraId="2A145F1B" w14:textId="77777777" w:rsidR="00183A76" w:rsidRDefault="00183A76">
      <w:pPr>
        <w:spacing w:after="200"/>
        <w:rPr>
          <w:rFonts w:ascii="Verdana" w:eastAsiaTheme="majorEastAsia" w:hAnsi="Verdana" w:cstheme="majorBidi"/>
          <w:b/>
          <w:bCs/>
          <w:sz w:val="24"/>
          <w:szCs w:val="24"/>
        </w:rPr>
      </w:pPr>
      <w:r>
        <w:rPr>
          <w:rFonts w:ascii="Verdana" w:hAnsi="Verdana"/>
          <w:sz w:val="24"/>
          <w:szCs w:val="24"/>
        </w:rPr>
        <w:br w:type="page"/>
      </w:r>
    </w:p>
    <w:p w14:paraId="4772E9C1" w14:textId="77F26B89" w:rsidR="002970BC" w:rsidRPr="0068106A" w:rsidRDefault="00AC3855" w:rsidP="0068106A">
      <w:pPr>
        <w:pStyle w:val="Heading3"/>
        <w:rPr>
          <w:rFonts w:ascii="Verdana" w:hAnsi="Verdana"/>
          <w:color w:val="auto"/>
          <w:sz w:val="24"/>
          <w:szCs w:val="24"/>
        </w:rPr>
      </w:pPr>
      <w:r w:rsidRPr="0068106A">
        <w:rPr>
          <w:rFonts w:ascii="Verdana" w:hAnsi="Verdana"/>
          <w:color w:val="auto"/>
          <w:sz w:val="24"/>
          <w:szCs w:val="24"/>
        </w:rPr>
        <w:t>Bibliography</w:t>
      </w:r>
    </w:p>
    <w:p w14:paraId="4ED8AFBC" w14:textId="13C1EE9A" w:rsidR="005E54CC" w:rsidRDefault="005E54CC" w:rsidP="005E54CC">
      <w:pPr>
        <w:spacing w:before="120"/>
        <w:rPr>
          <w:rFonts w:ascii="Verdana" w:hAnsi="Verdana"/>
          <w:sz w:val="24"/>
          <w:szCs w:val="24"/>
        </w:rPr>
      </w:pPr>
      <w:r w:rsidRPr="005E54CC">
        <w:rPr>
          <w:rFonts w:ascii="Verdana" w:hAnsi="Verdana"/>
          <w:sz w:val="24"/>
          <w:szCs w:val="24"/>
        </w:rPr>
        <w:t xml:space="preserve">Grimes, A., &amp; White, D. (2019). Digital inclusion and wellbeing in New Zealand. Motu Working Paper 19-17. </w:t>
      </w:r>
      <w:hyperlink r:id="rId12" w:history="1">
        <w:r w:rsidRPr="00E70D3F">
          <w:rPr>
            <w:rStyle w:val="Hyperlink"/>
            <w:rFonts w:ascii="Verdana" w:hAnsi="Verdana"/>
            <w:sz w:val="24"/>
            <w:szCs w:val="24"/>
          </w:rPr>
          <w:t>https://motu-www.motu.org.nz/wpapers/19_17.pdf</w:t>
        </w:r>
      </w:hyperlink>
    </w:p>
    <w:p w14:paraId="65E11FE8" w14:textId="6600FC37" w:rsidR="005E54CC" w:rsidRPr="005E54CC" w:rsidRDefault="005E54CC" w:rsidP="005E54CC">
      <w:pPr>
        <w:spacing w:before="120"/>
        <w:rPr>
          <w:rFonts w:ascii="Verdana" w:hAnsi="Verdana"/>
          <w:sz w:val="24"/>
          <w:szCs w:val="24"/>
        </w:rPr>
      </w:pPr>
      <w:proofErr w:type="spellStart"/>
      <w:r w:rsidRPr="005E54CC">
        <w:rPr>
          <w:rFonts w:ascii="Verdana" w:hAnsi="Verdana"/>
          <w:sz w:val="24"/>
          <w:szCs w:val="24"/>
        </w:rPr>
        <w:t>AbilityNet</w:t>
      </w:r>
      <w:proofErr w:type="spellEnd"/>
      <w:r w:rsidRPr="005E54CC">
        <w:rPr>
          <w:rFonts w:ascii="Verdana" w:hAnsi="Verdana"/>
          <w:sz w:val="24"/>
          <w:szCs w:val="24"/>
        </w:rPr>
        <w:t>. Free Tech Support and Information. https://abilitynet.org.uk/free-tech-support-and-info</w:t>
      </w:r>
    </w:p>
    <w:p w14:paraId="0891E9E4" w14:textId="77777777" w:rsidR="005E54CC" w:rsidRPr="005E54CC" w:rsidRDefault="005E54CC" w:rsidP="005E54CC">
      <w:pPr>
        <w:spacing w:before="120"/>
        <w:rPr>
          <w:rFonts w:ascii="Verdana" w:hAnsi="Verdana"/>
          <w:sz w:val="24"/>
          <w:szCs w:val="24"/>
        </w:rPr>
      </w:pPr>
      <w:proofErr w:type="spellStart"/>
      <w:r w:rsidRPr="005E54CC">
        <w:rPr>
          <w:rFonts w:ascii="Verdana" w:hAnsi="Verdana"/>
          <w:sz w:val="24"/>
          <w:szCs w:val="24"/>
        </w:rPr>
        <w:t>AbilityNet</w:t>
      </w:r>
      <w:proofErr w:type="spellEnd"/>
      <w:r w:rsidRPr="005E54CC">
        <w:rPr>
          <w:rFonts w:ascii="Verdana" w:hAnsi="Verdana"/>
          <w:sz w:val="24"/>
          <w:szCs w:val="24"/>
        </w:rPr>
        <w:t xml:space="preserve"> Resources. https://abilitynet.org.uk/resources</w:t>
      </w:r>
    </w:p>
    <w:p w14:paraId="60C69044" w14:textId="77777777" w:rsidR="005E54CC" w:rsidRPr="005E54CC" w:rsidRDefault="005E54CC" w:rsidP="005E54CC">
      <w:pPr>
        <w:spacing w:before="120"/>
        <w:rPr>
          <w:rFonts w:ascii="Verdana" w:hAnsi="Verdana"/>
          <w:sz w:val="24"/>
          <w:szCs w:val="24"/>
        </w:rPr>
      </w:pPr>
      <w:r w:rsidRPr="005E54CC">
        <w:rPr>
          <w:rFonts w:ascii="Verdana" w:hAnsi="Verdana"/>
          <w:sz w:val="24"/>
          <w:szCs w:val="24"/>
        </w:rPr>
        <w:t>Digital Equity Coalition Aotearoa Economic Case for Digital Inclusion. https://www.digitalequity.nz/resources-content/n9ufqblhzwguvugk4d1my5nvyjdd50-x5gge</w:t>
      </w:r>
    </w:p>
    <w:p w14:paraId="3C9962A3" w14:textId="1DD9DA35" w:rsidR="005E54CC" w:rsidRDefault="005E54CC" w:rsidP="005E54CC">
      <w:pPr>
        <w:spacing w:before="120"/>
        <w:rPr>
          <w:rFonts w:ascii="Verdana" w:hAnsi="Verdana"/>
          <w:sz w:val="24"/>
          <w:szCs w:val="24"/>
        </w:rPr>
      </w:pPr>
      <w:proofErr w:type="spellStart"/>
      <w:r w:rsidRPr="005E54CC">
        <w:rPr>
          <w:rFonts w:ascii="Verdana" w:hAnsi="Verdana"/>
          <w:sz w:val="24"/>
          <w:szCs w:val="24"/>
        </w:rPr>
        <w:t>InternetNZ</w:t>
      </w:r>
      <w:proofErr w:type="spellEnd"/>
      <w:r w:rsidRPr="005E54CC">
        <w:rPr>
          <w:rFonts w:ascii="Verdana" w:hAnsi="Verdana"/>
          <w:sz w:val="24"/>
          <w:szCs w:val="24"/>
        </w:rPr>
        <w:t xml:space="preserve">. Aotearoa Internet Insights 2025. </w:t>
      </w:r>
      <w:hyperlink r:id="rId13" w:history="1">
        <w:r w:rsidR="0049345B" w:rsidRPr="001F7676">
          <w:rPr>
            <w:rStyle w:val="Hyperlink"/>
            <w:rFonts w:ascii="Verdana" w:hAnsi="Verdana"/>
            <w:sz w:val="24"/>
            <w:szCs w:val="24"/>
          </w:rPr>
          <w:t>https://internetnz.nz/new-zealands-intern</w:t>
        </w:r>
        <w:r w:rsidR="0049345B" w:rsidRPr="001F7676">
          <w:rPr>
            <w:rStyle w:val="Hyperlink"/>
            <w:rFonts w:ascii="Verdana" w:hAnsi="Verdana"/>
            <w:sz w:val="24"/>
            <w:szCs w:val="24"/>
          </w:rPr>
          <w:tab/>
          <w:t>et-insights/new-zealands-internet-insights-2025/</w:t>
        </w:r>
      </w:hyperlink>
    </w:p>
    <w:p w14:paraId="7FCEE68C" w14:textId="22A27037" w:rsidR="006F05D0" w:rsidRPr="00AB1E41" w:rsidRDefault="00485C5D" w:rsidP="00AB1E41">
      <w:pPr>
        <w:spacing w:before="120"/>
        <w:rPr>
          <w:rFonts w:ascii="Verdana" w:hAnsi="Verdana"/>
          <w:sz w:val="24"/>
          <w:szCs w:val="24"/>
        </w:rPr>
      </w:pPr>
      <w:r>
        <w:rPr>
          <w:rFonts w:ascii="Verdana" w:hAnsi="Verdana"/>
          <w:sz w:val="24"/>
          <w:szCs w:val="24"/>
        </w:rPr>
        <w:tab/>
      </w:r>
      <w:r w:rsidR="006F05D0" w:rsidRPr="00AB1E41">
        <w:rPr>
          <w:rFonts w:ascii="Verdana" w:hAnsi="Verdana"/>
          <w:sz w:val="24"/>
          <w:szCs w:val="24"/>
        </w:rPr>
        <w:t>United Nations Convention on the Rights of Persons with Disabilities, Article 8 (Awareness Raising).</w:t>
      </w:r>
    </w:p>
    <w:p w14:paraId="3F6F78CD" w14:textId="77777777" w:rsidR="006F05D0" w:rsidRPr="00AB1E41" w:rsidRDefault="006F05D0" w:rsidP="00AB1E41">
      <w:pPr>
        <w:spacing w:before="120"/>
        <w:rPr>
          <w:rFonts w:ascii="Verdana" w:hAnsi="Verdana"/>
          <w:sz w:val="24"/>
          <w:szCs w:val="24"/>
        </w:rPr>
      </w:pPr>
      <w:r w:rsidRPr="00AB1E41">
        <w:rPr>
          <w:rFonts w:ascii="Verdana" w:hAnsi="Verdana"/>
          <w:sz w:val="24"/>
          <w:szCs w:val="24"/>
        </w:rPr>
        <w:t>Whaikaha. Disability Rights in Aotearoa New Zealand 2013: Media.</w:t>
      </w:r>
    </w:p>
    <w:p w14:paraId="327A38B3" w14:textId="77777777" w:rsidR="006F05D0" w:rsidRPr="00AB1E41" w:rsidRDefault="006F05D0" w:rsidP="00AB1E41">
      <w:pPr>
        <w:spacing w:before="120"/>
        <w:rPr>
          <w:rFonts w:ascii="Verdana" w:hAnsi="Verdana"/>
          <w:sz w:val="24"/>
          <w:szCs w:val="24"/>
        </w:rPr>
      </w:pPr>
      <w:r w:rsidRPr="00AB1E41">
        <w:rPr>
          <w:rFonts w:ascii="Verdana" w:hAnsi="Verdana"/>
          <w:sz w:val="24"/>
          <w:szCs w:val="24"/>
        </w:rPr>
        <w:t>World Health Organization. Disability.</w:t>
      </w:r>
    </w:p>
    <w:p w14:paraId="15DDF7E8" w14:textId="77777777" w:rsidR="006F05D0" w:rsidRPr="00AB1E41" w:rsidRDefault="006F05D0" w:rsidP="00AB1E41">
      <w:pPr>
        <w:spacing w:before="120"/>
        <w:rPr>
          <w:rFonts w:ascii="Verdana" w:hAnsi="Verdana"/>
          <w:sz w:val="24"/>
          <w:szCs w:val="24"/>
        </w:rPr>
      </w:pPr>
      <w:r w:rsidRPr="00AB1E41">
        <w:rPr>
          <w:rFonts w:ascii="Verdana" w:hAnsi="Verdana"/>
          <w:sz w:val="24"/>
          <w:szCs w:val="24"/>
        </w:rPr>
        <w:t>United Nations. Disability and the Media.</w:t>
      </w:r>
    </w:p>
    <w:p w14:paraId="7B9A7767" w14:textId="0AB17AB8" w:rsidR="00AB1E41" w:rsidRDefault="001A5A63" w:rsidP="00AB1E41">
      <w:pPr>
        <w:spacing w:before="120"/>
        <w:rPr>
          <w:rFonts w:ascii="Verdana" w:hAnsi="Verdana"/>
          <w:sz w:val="24"/>
          <w:szCs w:val="24"/>
        </w:rPr>
      </w:pPr>
      <w:r w:rsidRPr="00AB1E41">
        <w:rPr>
          <w:rFonts w:ascii="Verdana" w:hAnsi="Verdana"/>
          <w:sz w:val="24"/>
          <w:szCs w:val="24"/>
        </w:rPr>
        <w:t>New Zealand Government Web Accessibility Guidance:</w:t>
      </w:r>
      <w:r w:rsidR="00AB1E41">
        <w:rPr>
          <w:rFonts w:ascii="Verdana" w:hAnsi="Verdana"/>
          <w:sz w:val="24"/>
          <w:szCs w:val="24"/>
        </w:rPr>
        <w:t xml:space="preserve"> </w:t>
      </w:r>
      <w:hyperlink r:id="rId14" w:history="1">
        <w:r w:rsidR="00AB1E41" w:rsidRPr="00E70D3F">
          <w:rPr>
            <w:rStyle w:val="Hyperlink"/>
            <w:rFonts w:ascii="Verdana" w:hAnsi="Verdana"/>
            <w:sz w:val="24"/>
            <w:szCs w:val="24"/>
          </w:rPr>
          <w:t>https://govtnz.github.io/web-a11y-guidance/</w:t>
        </w:r>
      </w:hyperlink>
    </w:p>
    <w:p w14:paraId="2B57C1BA" w14:textId="5577886F" w:rsidR="00AB1E41" w:rsidRPr="00AB1E41" w:rsidRDefault="001A5A63" w:rsidP="00AB1E41">
      <w:pPr>
        <w:spacing w:before="120"/>
        <w:rPr>
          <w:rFonts w:ascii="Verdana" w:hAnsi="Verdana"/>
          <w:sz w:val="24"/>
          <w:szCs w:val="24"/>
        </w:rPr>
      </w:pPr>
      <w:r w:rsidRPr="00AB1E41">
        <w:rPr>
          <w:rFonts w:ascii="Verdana" w:hAnsi="Verdana"/>
          <w:sz w:val="24"/>
          <w:szCs w:val="24"/>
        </w:rPr>
        <w:t xml:space="preserve">Ministry of Social Development Web Accessibility Standard: </w:t>
      </w:r>
      <w:hyperlink r:id="rId15" w:history="1">
        <w:r w:rsidR="00AB1E41" w:rsidRPr="00E70D3F">
          <w:rPr>
            <w:rStyle w:val="Hyperlink"/>
            <w:rFonts w:ascii="Verdana" w:hAnsi="Verdana"/>
            <w:sz w:val="24"/>
            <w:szCs w:val="24"/>
          </w:rPr>
          <w:t>https://www.msd.govt.nz/about-msd-and-our-work/work-programmes/accessibility/accessibility-guide/web-accessibility-standard.html</w:t>
        </w:r>
      </w:hyperlink>
    </w:p>
    <w:p w14:paraId="051F6846" w14:textId="77777777" w:rsidR="001A5A63" w:rsidRPr="00AB1E41" w:rsidRDefault="001A5A63" w:rsidP="00AB1E41">
      <w:pPr>
        <w:spacing w:before="120"/>
        <w:rPr>
          <w:rFonts w:ascii="Verdana" w:hAnsi="Verdana"/>
          <w:sz w:val="24"/>
          <w:szCs w:val="24"/>
        </w:rPr>
      </w:pPr>
      <w:r w:rsidRPr="00AB1E41">
        <w:rPr>
          <w:rFonts w:ascii="Verdana" w:hAnsi="Verdana"/>
          <w:sz w:val="24"/>
          <w:szCs w:val="24"/>
        </w:rPr>
        <w:t>European Accessibility Act (European Commission).</w:t>
      </w:r>
    </w:p>
    <w:p w14:paraId="20F00186" w14:textId="77777777" w:rsidR="001A5A63" w:rsidRPr="00AB1E41" w:rsidRDefault="001A5A63" w:rsidP="00AB1E41">
      <w:pPr>
        <w:spacing w:before="120"/>
        <w:rPr>
          <w:rFonts w:ascii="Verdana" w:hAnsi="Verdana"/>
          <w:sz w:val="24"/>
          <w:szCs w:val="24"/>
        </w:rPr>
      </w:pPr>
      <w:r w:rsidRPr="00AB1E41">
        <w:rPr>
          <w:rFonts w:ascii="Verdana" w:hAnsi="Verdana"/>
          <w:sz w:val="24"/>
          <w:szCs w:val="24"/>
        </w:rPr>
        <w:t>Australia Disability Discrimination Act and Digital Inclusion Standards.</w:t>
      </w:r>
    </w:p>
    <w:p w14:paraId="32773F15" w14:textId="77777777" w:rsidR="001A5A63" w:rsidRPr="00AB1E41" w:rsidRDefault="001A5A63" w:rsidP="00AB1E41">
      <w:pPr>
        <w:spacing w:before="120"/>
        <w:rPr>
          <w:rFonts w:ascii="Verdana" w:hAnsi="Verdana"/>
          <w:sz w:val="24"/>
          <w:szCs w:val="24"/>
        </w:rPr>
      </w:pPr>
      <w:r w:rsidRPr="00AB1E41">
        <w:rPr>
          <w:rFonts w:ascii="Verdana" w:hAnsi="Verdana"/>
          <w:sz w:val="24"/>
          <w:szCs w:val="24"/>
        </w:rPr>
        <w:t>Accessible Canada Act.</w:t>
      </w:r>
    </w:p>
    <w:p w14:paraId="23BBD475" w14:textId="77777777" w:rsidR="001A5A63" w:rsidRPr="00AB1E41" w:rsidRDefault="001A5A63" w:rsidP="00AB1E41">
      <w:pPr>
        <w:spacing w:before="120"/>
        <w:rPr>
          <w:rFonts w:ascii="Verdana" w:hAnsi="Verdana"/>
          <w:sz w:val="24"/>
          <w:szCs w:val="24"/>
        </w:rPr>
      </w:pPr>
      <w:proofErr w:type="spellStart"/>
      <w:r w:rsidRPr="00AB1E41">
        <w:rPr>
          <w:rFonts w:ascii="Verdana" w:hAnsi="Verdana"/>
          <w:sz w:val="24"/>
          <w:szCs w:val="24"/>
        </w:rPr>
        <w:t>WebAIM</w:t>
      </w:r>
      <w:proofErr w:type="spellEnd"/>
      <w:r w:rsidRPr="00AB1E41">
        <w:rPr>
          <w:rFonts w:ascii="Verdana" w:hAnsi="Verdana"/>
          <w:sz w:val="24"/>
          <w:szCs w:val="24"/>
        </w:rPr>
        <w:t xml:space="preserve"> Million Report.</w:t>
      </w:r>
    </w:p>
    <w:p w14:paraId="274AB2BE" w14:textId="170A4EF5" w:rsidR="00AB1E41" w:rsidRDefault="00DA15F0" w:rsidP="00AB1E41">
      <w:pPr>
        <w:spacing w:before="120"/>
        <w:rPr>
          <w:rFonts w:ascii="Verdana" w:hAnsi="Verdana"/>
          <w:sz w:val="24"/>
          <w:szCs w:val="24"/>
        </w:rPr>
      </w:pPr>
      <w:r w:rsidRPr="00AB1E41">
        <w:rPr>
          <w:rFonts w:ascii="Verdana" w:hAnsi="Verdana"/>
          <w:sz w:val="24"/>
          <w:szCs w:val="24"/>
        </w:rPr>
        <w:t xml:space="preserve">SFIA Accessibility and Inclusion (ACIN): </w:t>
      </w:r>
      <w:hyperlink r:id="rId16" w:history="1">
        <w:r w:rsidR="00AB1E41" w:rsidRPr="00E70D3F">
          <w:rPr>
            <w:rStyle w:val="Hyperlink"/>
            <w:rFonts w:ascii="Verdana" w:hAnsi="Verdana"/>
            <w:sz w:val="24"/>
            <w:szCs w:val="24"/>
          </w:rPr>
          <w:t>https://sfia-online.org/en/sfia-9/skills/accessibility-and-inclusion</w:t>
        </w:r>
      </w:hyperlink>
    </w:p>
    <w:p w14:paraId="3986F515" w14:textId="690AB725" w:rsidR="00DA15F0" w:rsidRDefault="00DA15F0" w:rsidP="00AB1E41">
      <w:pPr>
        <w:spacing w:before="120"/>
        <w:rPr>
          <w:rFonts w:ascii="Verdana" w:hAnsi="Verdana"/>
          <w:sz w:val="24"/>
          <w:szCs w:val="24"/>
        </w:rPr>
      </w:pPr>
      <w:r w:rsidRPr="00AB1E41">
        <w:rPr>
          <w:rFonts w:ascii="Verdana" w:hAnsi="Verdana"/>
          <w:sz w:val="24"/>
          <w:szCs w:val="24"/>
        </w:rPr>
        <w:t xml:space="preserve">Digital Government NZ, Skills Framework for the Information Age (SFIA): </w:t>
      </w:r>
      <w:hyperlink r:id="rId17" w:history="1">
        <w:r w:rsidR="00AB1E41" w:rsidRPr="00E70D3F">
          <w:rPr>
            <w:rStyle w:val="Hyperlink"/>
            <w:rFonts w:ascii="Verdana" w:hAnsi="Verdana"/>
            <w:sz w:val="24"/>
            <w:szCs w:val="24"/>
          </w:rPr>
          <w:t>https://www.digital.govt.nz/standards-and-guidance/strategy-and-planning/digital-capability-public-service-workforce/skills-framework-for-the-information-age-sfia</w:t>
        </w:r>
      </w:hyperlink>
    </w:p>
    <w:p w14:paraId="4FD8565A" w14:textId="0BA30670" w:rsidR="00AB1E41" w:rsidRDefault="00DA15F0" w:rsidP="00AB1E41">
      <w:pPr>
        <w:spacing w:before="120"/>
        <w:rPr>
          <w:rFonts w:ascii="Verdana" w:hAnsi="Verdana"/>
          <w:sz w:val="24"/>
          <w:szCs w:val="24"/>
        </w:rPr>
      </w:pPr>
      <w:r w:rsidRPr="00AB1E41">
        <w:rPr>
          <w:rFonts w:ascii="Verdana" w:hAnsi="Verdana"/>
          <w:sz w:val="24"/>
          <w:szCs w:val="24"/>
        </w:rPr>
        <w:t xml:space="preserve">SFIA Whole-of-Country Licence: </w:t>
      </w:r>
      <w:hyperlink r:id="rId18" w:history="1">
        <w:r w:rsidR="00AB1E41" w:rsidRPr="00E70D3F">
          <w:rPr>
            <w:rStyle w:val="Hyperlink"/>
            <w:rFonts w:ascii="Verdana" w:hAnsi="Verdana"/>
            <w:sz w:val="24"/>
            <w:szCs w:val="24"/>
          </w:rPr>
          <w:t>https://sfia-online.org/en/about-sfia/licensing-sfia/whole-of-country-licence</w:t>
        </w:r>
      </w:hyperlink>
    </w:p>
    <w:p w14:paraId="65E82C8F" w14:textId="5EE39A3E" w:rsidR="00DA15F0" w:rsidRDefault="00DA15F0" w:rsidP="00AB1E41">
      <w:pPr>
        <w:spacing w:before="120"/>
        <w:rPr>
          <w:rFonts w:ascii="Verdana" w:hAnsi="Verdana"/>
          <w:sz w:val="24"/>
          <w:szCs w:val="24"/>
        </w:rPr>
      </w:pPr>
      <w:r w:rsidRPr="00AB1E41">
        <w:rPr>
          <w:rFonts w:ascii="Verdana" w:hAnsi="Verdana"/>
          <w:sz w:val="24"/>
          <w:szCs w:val="24"/>
        </w:rPr>
        <w:t xml:space="preserve">International Association of Accessibility Professionals (IAAP): </w:t>
      </w:r>
      <w:hyperlink r:id="rId19" w:history="1">
        <w:r w:rsidR="00AB1E41" w:rsidRPr="00E70D3F">
          <w:rPr>
            <w:rStyle w:val="Hyperlink"/>
            <w:rFonts w:ascii="Verdana" w:hAnsi="Verdana"/>
            <w:sz w:val="24"/>
            <w:szCs w:val="24"/>
          </w:rPr>
          <w:t>https://www.accessibilityassociation.org/</w:t>
        </w:r>
      </w:hyperlink>
    </w:p>
    <w:p w14:paraId="1702698E" w14:textId="404CF602" w:rsidR="00DA15F0" w:rsidRDefault="00DA15F0" w:rsidP="00AB1E41">
      <w:pPr>
        <w:spacing w:before="120"/>
        <w:rPr>
          <w:rFonts w:ascii="Verdana" w:hAnsi="Verdana"/>
          <w:sz w:val="24"/>
          <w:szCs w:val="24"/>
        </w:rPr>
      </w:pPr>
      <w:r w:rsidRPr="00AB1E41">
        <w:rPr>
          <w:rFonts w:ascii="Verdana" w:hAnsi="Verdana"/>
          <w:sz w:val="24"/>
          <w:szCs w:val="24"/>
        </w:rPr>
        <w:t xml:space="preserve">IAAP Certification Overview: </w:t>
      </w:r>
      <w:hyperlink r:id="rId20" w:history="1">
        <w:r w:rsidR="00AB1E41" w:rsidRPr="00E70D3F">
          <w:rPr>
            <w:rStyle w:val="Hyperlink"/>
            <w:rFonts w:ascii="Verdana" w:hAnsi="Verdana"/>
            <w:sz w:val="24"/>
            <w:szCs w:val="24"/>
          </w:rPr>
          <w:t>https://www.accessibilityassociation.org/certification-overview</w:t>
        </w:r>
      </w:hyperlink>
    </w:p>
    <w:p w14:paraId="633A2DAC" w14:textId="5211183F" w:rsidR="00AB1E41" w:rsidRPr="00AB1E41" w:rsidRDefault="00DA15F0" w:rsidP="00AB1E41">
      <w:pPr>
        <w:spacing w:before="120"/>
        <w:rPr>
          <w:rFonts w:ascii="Verdana" w:hAnsi="Verdana"/>
          <w:sz w:val="24"/>
          <w:szCs w:val="24"/>
        </w:rPr>
      </w:pPr>
      <w:r w:rsidRPr="00AB1E41">
        <w:rPr>
          <w:rFonts w:ascii="Verdana" w:hAnsi="Verdana"/>
          <w:sz w:val="24"/>
          <w:szCs w:val="24"/>
        </w:rPr>
        <w:t xml:space="preserve">Electrotechnology, Information Technology and Creative Industry Skills Board (ETITC): </w:t>
      </w:r>
      <w:hyperlink r:id="rId21" w:history="1">
        <w:r w:rsidR="00C95C1B" w:rsidRPr="00AB1E41">
          <w:rPr>
            <w:rFonts w:ascii="Verdana" w:hAnsi="Verdana"/>
            <w:sz w:val="24"/>
            <w:szCs w:val="24"/>
          </w:rPr>
          <w:t>https://etitcisb.nz/</w:t>
        </w:r>
      </w:hyperlink>
    </w:p>
    <w:p w14:paraId="6311FE37" w14:textId="56EE153F" w:rsidR="00C95C1B" w:rsidRDefault="00C95C1B" w:rsidP="00AB1E41">
      <w:pPr>
        <w:spacing w:before="120"/>
        <w:rPr>
          <w:rFonts w:ascii="Verdana" w:hAnsi="Verdana"/>
          <w:sz w:val="24"/>
          <w:szCs w:val="24"/>
        </w:rPr>
      </w:pPr>
      <w:proofErr w:type="spellStart"/>
      <w:r w:rsidRPr="00AB1E41">
        <w:rPr>
          <w:rFonts w:ascii="Verdana" w:hAnsi="Verdana"/>
          <w:sz w:val="24"/>
          <w:szCs w:val="24"/>
        </w:rPr>
        <w:t>HumanWare</w:t>
      </w:r>
      <w:proofErr w:type="spellEnd"/>
      <w:r w:rsidRPr="00AB1E41">
        <w:rPr>
          <w:rFonts w:ascii="Verdana" w:hAnsi="Verdana"/>
          <w:sz w:val="24"/>
          <w:szCs w:val="24"/>
        </w:rPr>
        <w:t xml:space="preserve"> Company History: </w:t>
      </w:r>
      <w:hyperlink r:id="rId22" w:history="1">
        <w:r w:rsidR="00AB1E41" w:rsidRPr="00E70D3F">
          <w:rPr>
            <w:rStyle w:val="Hyperlink"/>
            <w:rFonts w:ascii="Verdana" w:hAnsi="Verdana"/>
            <w:sz w:val="24"/>
            <w:szCs w:val="24"/>
          </w:rPr>
          <w:t>https://www.humanware.com/</w:t>
        </w:r>
      </w:hyperlink>
    </w:p>
    <w:p w14:paraId="4452786B" w14:textId="77777777" w:rsidR="00C95C1B" w:rsidRPr="00AB1E41" w:rsidRDefault="00C95C1B" w:rsidP="00AB1E41">
      <w:pPr>
        <w:spacing w:before="120"/>
        <w:rPr>
          <w:rFonts w:ascii="Verdana" w:hAnsi="Verdana"/>
          <w:sz w:val="24"/>
          <w:szCs w:val="24"/>
        </w:rPr>
      </w:pPr>
      <w:r w:rsidRPr="00AB1E41">
        <w:rPr>
          <w:rFonts w:ascii="Verdana" w:hAnsi="Verdana"/>
          <w:sz w:val="24"/>
          <w:szCs w:val="24"/>
        </w:rPr>
        <w:t>American Foundation for the Blind, Driven to Succeed: A Tribute to Russell Smith.</w:t>
      </w:r>
    </w:p>
    <w:p w14:paraId="2AE2850D" w14:textId="77777777" w:rsidR="00C95C1B" w:rsidRPr="00AB1E41" w:rsidRDefault="00C95C1B" w:rsidP="00AB1E41">
      <w:pPr>
        <w:spacing w:before="120"/>
        <w:rPr>
          <w:rFonts w:ascii="Verdana" w:hAnsi="Verdana"/>
          <w:sz w:val="24"/>
          <w:szCs w:val="24"/>
        </w:rPr>
      </w:pPr>
      <w:r w:rsidRPr="00AB1E41">
        <w:rPr>
          <w:rFonts w:ascii="Verdana" w:hAnsi="Verdana"/>
          <w:sz w:val="24"/>
          <w:szCs w:val="24"/>
        </w:rPr>
        <w:t>Jonathan Mosen, Remembering Dr Russell Smith, 20 years on.</w:t>
      </w:r>
    </w:p>
    <w:p w14:paraId="4F1717F1" w14:textId="77777777" w:rsidR="00C95C1B" w:rsidRPr="00AB1E41" w:rsidRDefault="00C95C1B" w:rsidP="00AB1E41">
      <w:pPr>
        <w:spacing w:before="120"/>
        <w:rPr>
          <w:rFonts w:ascii="Verdana" w:hAnsi="Verdana"/>
          <w:sz w:val="24"/>
          <w:szCs w:val="24"/>
        </w:rPr>
      </w:pPr>
      <w:r w:rsidRPr="00AB1E41">
        <w:rPr>
          <w:rFonts w:ascii="Verdana" w:hAnsi="Verdana"/>
          <w:sz w:val="24"/>
          <w:szCs w:val="24"/>
        </w:rPr>
        <w:t>W3C Web Accessibility Initiative, Captions/Subtitles.</w:t>
      </w:r>
    </w:p>
    <w:p w14:paraId="43FE58AF" w14:textId="77777777" w:rsidR="00C95C1B" w:rsidRPr="00AB1E41" w:rsidRDefault="00C95C1B" w:rsidP="00AB1E41">
      <w:pPr>
        <w:spacing w:before="120"/>
        <w:rPr>
          <w:rFonts w:ascii="Verdana" w:hAnsi="Verdana"/>
          <w:sz w:val="24"/>
          <w:szCs w:val="24"/>
        </w:rPr>
      </w:pPr>
      <w:r w:rsidRPr="00AB1E41">
        <w:rPr>
          <w:rFonts w:ascii="Verdana" w:hAnsi="Verdana"/>
          <w:sz w:val="24"/>
          <w:szCs w:val="24"/>
        </w:rPr>
        <w:t>Gallaudet University, How TTYs Made Telephones Accessible to the Deaf.</w:t>
      </w:r>
    </w:p>
    <w:p w14:paraId="4CF67E8C" w14:textId="6720DDA9" w:rsidR="005D1E33" w:rsidRDefault="005D1E33" w:rsidP="00AB1E41">
      <w:pPr>
        <w:spacing w:before="120"/>
        <w:rPr>
          <w:rFonts w:ascii="Verdana" w:hAnsi="Verdana"/>
          <w:sz w:val="24"/>
          <w:szCs w:val="24"/>
        </w:rPr>
      </w:pPr>
      <w:r w:rsidRPr="00AB1E41">
        <w:rPr>
          <w:rFonts w:ascii="Verdana" w:hAnsi="Verdana"/>
          <w:sz w:val="24"/>
          <w:szCs w:val="24"/>
        </w:rPr>
        <w:t xml:space="preserve">Digital Identity Services Trust Framework Act 2023: </w:t>
      </w:r>
      <w:hyperlink r:id="rId23" w:history="1">
        <w:r w:rsidR="00AB1E41" w:rsidRPr="00E70D3F">
          <w:rPr>
            <w:rStyle w:val="Hyperlink"/>
            <w:rFonts w:ascii="Verdana" w:hAnsi="Verdana"/>
            <w:sz w:val="24"/>
            <w:szCs w:val="24"/>
          </w:rPr>
          <w:t>https://www.legislation.govt.nz/act/public/2023/0013/latest/whole.html</w:t>
        </w:r>
      </w:hyperlink>
    </w:p>
    <w:p w14:paraId="2761A411" w14:textId="47ED9591" w:rsidR="005D1E33" w:rsidRDefault="005D1E33" w:rsidP="00AB1E41">
      <w:pPr>
        <w:spacing w:before="120"/>
        <w:rPr>
          <w:rFonts w:ascii="Verdana" w:hAnsi="Verdana"/>
          <w:sz w:val="24"/>
          <w:szCs w:val="24"/>
        </w:rPr>
      </w:pPr>
      <w:r w:rsidRPr="00AB1E41">
        <w:rPr>
          <w:rFonts w:ascii="Verdana" w:hAnsi="Verdana"/>
          <w:sz w:val="24"/>
          <w:szCs w:val="24"/>
        </w:rPr>
        <w:t xml:space="preserve">Digital Identity Services Trust Framework: </w:t>
      </w:r>
      <w:hyperlink r:id="rId24" w:history="1">
        <w:r w:rsidR="00AB1E41" w:rsidRPr="00E70D3F">
          <w:rPr>
            <w:rStyle w:val="Hyperlink"/>
            <w:rFonts w:ascii="Verdana" w:hAnsi="Verdana"/>
            <w:sz w:val="24"/>
            <w:szCs w:val="24"/>
          </w:rPr>
          <w:t>https://dns.govt.nz/standards-and-guidance/identity/trust-framework</w:t>
        </w:r>
      </w:hyperlink>
    </w:p>
    <w:p w14:paraId="67DFE688" w14:textId="77777777" w:rsidR="005D1E33" w:rsidRPr="00AB1E41" w:rsidRDefault="005D1E33" w:rsidP="00AB1E41">
      <w:pPr>
        <w:spacing w:before="120"/>
        <w:rPr>
          <w:rFonts w:ascii="Verdana" w:hAnsi="Verdana"/>
          <w:sz w:val="24"/>
          <w:szCs w:val="24"/>
        </w:rPr>
      </w:pPr>
      <w:r w:rsidRPr="00AB1E41">
        <w:rPr>
          <w:rFonts w:ascii="Verdana" w:hAnsi="Verdana"/>
          <w:sz w:val="24"/>
          <w:szCs w:val="24"/>
        </w:rPr>
        <w:t>US Department of Justice, Algorithms, Artificial Intelligence, and Disability Discrimination in Hiring.</w:t>
      </w:r>
    </w:p>
    <w:p w14:paraId="139BDEC1" w14:textId="77777777" w:rsidR="005D1E33" w:rsidRPr="00AB1E41" w:rsidRDefault="005D1E33" w:rsidP="00AB1E41">
      <w:pPr>
        <w:spacing w:before="120"/>
        <w:rPr>
          <w:rFonts w:ascii="Verdana" w:hAnsi="Verdana"/>
          <w:sz w:val="24"/>
          <w:szCs w:val="24"/>
        </w:rPr>
      </w:pPr>
      <w:r w:rsidRPr="00AB1E41">
        <w:rPr>
          <w:rFonts w:ascii="Verdana" w:hAnsi="Verdana"/>
          <w:sz w:val="24"/>
          <w:szCs w:val="24"/>
        </w:rPr>
        <w:t>US Equal Employment Opportunity Commission, AI and Disability Discrimination Guidance.</w:t>
      </w:r>
    </w:p>
    <w:p w14:paraId="5DBD4271" w14:textId="77777777" w:rsidR="005D1E33" w:rsidRPr="00AB1E41" w:rsidRDefault="005D1E33" w:rsidP="00AB1E41">
      <w:pPr>
        <w:spacing w:before="120"/>
        <w:rPr>
          <w:rFonts w:ascii="Verdana" w:hAnsi="Verdana"/>
          <w:sz w:val="24"/>
          <w:szCs w:val="24"/>
        </w:rPr>
      </w:pPr>
      <w:r w:rsidRPr="00AB1E41">
        <w:rPr>
          <w:rFonts w:ascii="Verdana" w:hAnsi="Verdana"/>
          <w:sz w:val="24"/>
          <w:szCs w:val="24"/>
        </w:rPr>
        <w:t>UNESCO, AI and Accessibility.</w:t>
      </w:r>
    </w:p>
    <w:p w14:paraId="40AAC8F6" w14:textId="77777777" w:rsidR="005D1E33" w:rsidRPr="00AB1E41" w:rsidRDefault="005D1E33" w:rsidP="00AB1E41">
      <w:pPr>
        <w:spacing w:before="120"/>
        <w:rPr>
          <w:rFonts w:ascii="Verdana" w:hAnsi="Verdana"/>
          <w:sz w:val="24"/>
          <w:szCs w:val="24"/>
        </w:rPr>
      </w:pPr>
      <w:r w:rsidRPr="00AB1E41">
        <w:rPr>
          <w:rFonts w:ascii="Verdana" w:hAnsi="Verdana"/>
          <w:sz w:val="24"/>
          <w:szCs w:val="24"/>
        </w:rPr>
        <w:t>UNESCO Disability Inclusion Strategy 2026-2029.</w:t>
      </w:r>
    </w:p>
    <w:p w14:paraId="2700A2A6" w14:textId="77777777" w:rsidR="00833C64" w:rsidRPr="00AB1E41" w:rsidRDefault="00833C64" w:rsidP="00AB1E41">
      <w:pPr>
        <w:spacing w:before="120"/>
        <w:rPr>
          <w:rFonts w:ascii="Verdana" w:hAnsi="Verdana"/>
          <w:sz w:val="24"/>
          <w:szCs w:val="24"/>
        </w:rPr>
      </w:pPr>
      <w:r w:rsidRPr="00AB1E41">
        <w:rPr>
          <w:rFonts w:ascii="Verdana" w:hAnsi="Verdana"/>
          <w:sz w:val="24"/>
          <w:szCs w:val="24"/>
        </w:rPr>
        <w:t>United Nations Convention on the Rights of Persons with Disabilities (Article 4 and Article 33).</w:t>
      </w:r>
    </w:p>
    <w:p w14:paraId="5E6C8648" w14:textId="77777777" w:rsidR="00833C64" w:rsidRPr="00AB1E41" w:rsidRDefault="00833C64" w:rsidP="00AB1E41">
      <w:pPr>
        <w:spacing w:before="120"/>
        <w:rPr>
          <w:rFonts w:ascii="Verdana" w:hAnsi="Verdana"/>
          <w:sz w:val="24"/>
          <w:szCs w:val="24"/>
        </w:rPr>
      </w:pPr>
      <w:r w:rsidRPr="00AB1E41">
        <w:rPr>
          <w:rFonts w:ascii="Verdana" w:hAnsi="Verdana"/>
          <w:sz w:val="24"/>
          <w:szCs w:val="24"/>
        </w:rPr>
        <w:t>UNESCO Disability Inclusion Strategy 2026-2029.</w:t>
      </w:r>
    </w:p>
    <w:p w14:paraId="0468590B" w14:textId="77777777" w:rsidR="00833C64" w:rsidRPr="00AB1E41" w:rsidRDefault="00833C64" w:rsidP="00AB1E41">
      <w:pPr>
        <w:spacing w:before="120"/>
        <w:rPr>
          <w:rFonts w:ascii="Verdana" w:hAnsi="Verdana"/>
          <w:sz w:val="24"/>
          <w:szCs w:val="24"/>
        </w:rPr>
      </w:pPr>
      <w:r w:rsidRPr="00AB1E41">
        <w:rPr>
          <w:rFonts w:ascii="Verdana" w:hAnsi="Verdana"/>
          <w:sz w:val="24"/>
          <w:szCs w:val="24"/>
        </w:rPr>
        <w:t>Digital Identity Services Trust Framework Act 2023.</w:t>
      </w:r>
    </w:p>
    <w:p w14:paraId="7434B985" w14:textId="6D9EC600" w:rsidR="00AB1E41" w:rsidRDefault="00AB1E41" w:rsidP="00AB1E41">
      <w:pPr>
        <w:spacing w:before="120"/>
        <w:rPr>
          <w:rFonts w:ascii="Verdana" w:hAnsi="Verdana"/>
          <w:sz w:val="24"/>
          <w:szCs w:val="24"/>
        </w:rPr>
      </w:pPr>
      <w:r w:rsidRPr="00AB1E41">
        <w:rPr>
          <w:rFonts w:ascii="Verdana" w:hAnsi="Verdana"/>
          <w:sz w:val="24"/>
          <w:szCs w:val="24"/>
        </w:rPr>
        <w:t xml:space="preserve">W3C Making Audio and Video Media Accessible: </w:t>
      </w:r>
      <w:hyperlink r:id="rId25" w:history="1">
        <w:r w:rsidRPr="00E70D3F">
          <w:rPr>
            <w:rStyle w:val="Hyperlink"/>
            <w:rFonts w:ascii="Verdana" w:hAnsi="Verdana"/>
            <w:sz w:val="24"/>
            <w:szCs w:val="24"/>
          </w:rPr>
          <w:t>https://www.w3.org/WAI/media/av/</w:t>
        </w:r>
      </w:hyperlink>
    </w:p>
    <w:p w14:paraId="25BE12BD" w14:textId="58B7A85F" w:rsidR="00AB1E41" w:rsidRDefault="00AB1E41" w:rsidP="00AB1E41">
      <w:pPr>
        <w:spacing w:before="120"/>
        <w:rPr>
          <w:rFonts w:ascii="Verdana" w:hAnsi="Verdana"/>
          <w:sz w:val="24"/>
          <w:szCs w:val="24"/>
        </w:rPr>
      </w:pPr>
      <w:r w:rsidRPr="00AB1E41">
        <w:rPr>
          <w:rFonts w:ascii="Verdana" w:hAnsi="Verdana"/>
          <w:sz w:val="24"/>
          <w:szCs w:val="24"/>
        </w:rPr>
        <w:t xml:space="preserve">W3C Captions and Subtitles Guidance: </w:t>
      </w:r>
      <w:hyperlink r:id="rId26" w:history="1">
        <w:r w:rsidRPr="00E70D3F">
          <w:rPr>
            <w:rStyle w:val="Hyperlink"/>
            <w:rFonts w:ascii="Verdana" w:hAnsi="Verdana"/>
            <w:sz w:val="24"/>
            <w:szCs w:val="24"/>
          </w:rPr>
          <w:t>https://www.w3.org/WAI/media/av/captions/</w:t>
        </w:r>
      </w:hyperlink>
    </w:p>
    <w:p w14:paraId="07E19409" w14:textId="6CBB27B3" w:rsidR="00AB1E41" w:rsidRDefault="00AB1E41" w:rsidP="00AB1E41">
      <w:pPr>
        <w:spacing w:before="120"/>
        <w:rPr>
          <w:rFonts w:ascii="Verdana" w:hAnsi="Verdana"/>
          <w:sz w:val="24"/>
          <w:szCs w:val="24"/>
        </w:rPr>
      </w:pPr>
      <w:r w:rsidRPr="00AB1E41">
        <w:rPr>
          <w:rFonts w:ascii="Verdana" w:hAnsi="Verdana"/>
          <w:sz w:val="24"/>
          <w:szCs w:val="24"/>
        </w:rPr>
        <w:t xml:space="preserve">NHS Accessible Information Standard: </w:t>
      </w:r>
      <w:hyperlink r:id="rId27" w:history="1">
        <w:r w:rsidRPr="00E70D3F">
          <w:rPr>
            <w:rStyle w:val="Hyperlink"/>
            <w:rFonts w:ascii="Verdana" w:hAnsi="Verdana"/>
            <w:sz w:val="24"/>
            <w:szCs w:val="24"/>
          </w:rPr>
          <w:t>https://www.england.nhs.uk/accessible-information-standard/</w:t>
        </w:r>
      </w:hyperlink>
    </w:p>
    <w:p w14:paraId="73F8D9A9" w14:textId="48569AAC" w:rsidR="00AB1E41" w:rsidRDefault="00AB1E41" w:rsidP="00AB1E41">
      <w:pPr>
        <w:spacing w:before="120"/>
        <w:rPr>
          <w:rFonts w:ascii="Verdana" w:hAnsi="Verdana"/>
          <w:sz w:val="24"/>
          <w:szCs w:val="24"/>
        </w:rPr>
      </w:pPr>
      <w:r w:rsidRPr="00AB1E41">
        <w:rPr>
          <w:rFonts w:ascii="Verdana" w:hAnsi="Verdana"/>
          <w:sz w:val="24"/>
          <w:szCs w:val="24"/>
        </w:rPr>
        <w:t xml:space="preserve">New Zealand Digital Accessibility Standard: </w:t>
      </w:r>
      <w:hyperlink r:id="rId28" w:history="1">
        <w:r w:rsidRPr="00E70D3F">
          <w:rPr>
            <w:rStyle w:val="Hyperlink"/>
            <w:rFonts w:ascii="Verdana" w:hAnsi="Verdana"/>
            <w:sz w:val="24"/>
            <w:szCs w:val="24"/>
          </w:rPr>
          <w:t>https://www.digital.govt.nz/standards-and-guidance/nz-government-web-standards/digital-accessibility-standard</w:t>
        </w:r>
      </w:hyperlink>
    </w:p>
    <w:p w14:paraId="091A0E83" w14:textId="112E7EFE" w:rsidR="00AB1E41" w:rsidRDefault="00AB1E41" w:rsidP="00AB1E41">
      <w:pPr>
        <w:spacing w:before="120"/>
        <w:rPr>
          <w:rFonts w:ascii="Verdana" w:hAnsi="Verdana"/>
          <w:sz w:val="24"/>
          <w:szCs w:val="24"/>
        </w:rPr>
      </w:pPr>
      <w:r w:rsidRPr="00AB1E41">
        <w:rPr>
          <w:rFonts w:ascii="Verdana" w:hAnsi="Verdana"/>
          <w:sz w:val="24"/>
          <w:szCs w:val="24"/>
        </w:rPr>
        <w:t xml:space="preserve">New Zealand Government Web Accessibility Guidance: </w:t>
      </w:r>
      <w:hyperlink r:id="rId29" w:history="1">
        <w:r w:rsidRPr="00E70D3F">
          <w:rPr>
            <w:rStyle w:val="Hyperlink"/>
            <w:rFonts w:ascii="Verdana" w:hAnsi="Verdana"/>
            <w:sz w:val="24"/>
            <w:szCs w:val="24"/>
          </w:rPr>
          <w:t>https://govtnz.github.io/web-a11y-guidance/</w:t>
        </w:r>
      </w:hyperlink>
    </w:p>
    <w:p w14:paraId="2434D7F7" w14:textId="3472B0A1" w:rsidR="00AB1E41" w:rsidRDefault="00AB1E41" w:rsidP="00AB1E41">
      <w:pPr>
        <w:spacing w:before="120"/>
        <w:rPr>
          <w:rFonts w:ascii="Verdana" w:hAnsi="Verdana"/>
          <w:sz w:val="24"/>
          <w:szCs w:val="24"/>
        </w:rPr>
      </w:pPr>
      <w:r w:rsidRPr="00AB1E41">
        <w:rPr>
          <w:rFonts w:ascii="Verdana" w:hAnsi="Verdana"/>
          <w:sz w:val="24"/>
          <w:szCs w:val="24"/>
        </w:rPr>
        <w:t xml:space="preserve">IAAP Accessible Document Specialist Certification: </w:t>
      </w:r>
      <w:hyperlink r:id="rId30" w:history="1">
        <w:r w:rsidRPr="00E70D3F">
          <w:rPr>
            <w:rStyle w:val="Hyperlink"/>
            <w:rFonts w:ascii="Verdana" w:hAnsi="Verdana"/>
            <w:sz w:val="24"/>
            <w:szCs w:val="24"/>
          </w:rPr>
          <w:t>https://www.accessibilityassociation.org/ads-exam</w:t>
        </w:r>
      </w:hyperlink>
    </w:p>
    <w:p w14:paraId="7C3D2AA2" w14:textId="77777777" w:rsidR="00C72CA8" w:rsidRPr="00C72CA8" w:rsidRDefault="00C72CA8" w:rsidP="00E329EF">
      <w:pPr>
        <w:spacing w:before="120"/>
        <w:rPr>
          <w:rFonts w:ascii="Verdana" w:hAnsi="Verdana"/>
          <w:sz w:val="24"/>
          <w:szCs w:val="24"/>
        </w:rPr>
      </w:pPr>
      <w:r w:rsidRPr="00C72CA8">
        <w:rPr>
          <w:rFonts w:ascii="Verdana" w:hAnsi="Verdana"/>
          <w:sz w:val="24"/>
          <w:szCs w:val="24"/>
        </w:rPr>
        <w:t>Pivotal Accessibility - Accessibility Debt Has a Compound Interest Rate. Here’s How to Calculate Yours:</w:t>
      </w:r>
    </w:p>
    <w:p w14:paraId="1FE8372A" w14:textId="2FC71E7E" w:rsidR="00D36959" w:rsidRPr="00AB1E41" w:rsidRDefault="00D36959" w:rsidP="00C72CA8">
      <w:pPr>
        <w:spacing w:before="120"/>
        <w:rPr>
          <w:rFonts w:ascii="Verdana" w:hAnsi="Verdana"/>
          <w:sz w:val="24"/>
          <w:szCs w:val="24"/>
        </w:rPr>
      </w:pPr>
      <w:hyperlink r:id="rId31" w:history="1">
        <w:r w:rsidRPr="001F7676">
          <w:rPr>
            <w:rStyle w:val="Hyperlink"/>
            <w:rFonts w:ascii="Verdana" w:hAnsi="Verdana"/>
            <w:sz w:val="24"/>
            <w:szCs w:val="24"/>
          </w:rPr>
          <w:t>https://www.pivotalaccessibility.com/2026/05/accessibility-debt-compound-interest-rate</w:t>
        </w:r>
      </w:hyperlink>
    </w:p>
    <w:p w14:paraId="360F8A09" w14:textId="77777777" w:rsidR="006F05D0" w:rsidRPr="005E54CC" w:rsidRDefault="006F05D0" w:rsidP="005E54CC">
      <w:pPr>
        <w:spacing w:before="120"/>
        <w:rPr>
          <w:rFonts w:ascii="Verdana" w:hAnsi="Verdana"/>
          <w:sz w:val="24"/>
          <w:szCs w:val="24"/>
        </w:rPr>
      </w:pPr>
    </w:p>
    <w:p w14:paraId="700EBF93" w14:textId="3E132C68" w:rsidR="002970BC" w:rsidRPr="00B343FE" w:rsidRDefault="002970BC" w:rsidP="00B343FE">
      <w:pPr>
        <w:spacing w:before="120"/>
        <w:rPr>
          <w:rFonts w:ascii="Verdana" w:hAnsi="Verdana"/>
          <w:sz w:val="24"/>
          <w:szCs w:val="24"/>
        </w:rPr>
      </w:pPr>
    </w:p>
    <w:sectPr w:rsidR="002970BC" w:rsidRPr="00B343FE" w:rsidSect="00A9598A">
      <w:headerReference w:type="default" r:id="rId32"/>
      <w:footerReference w:type="default" r:id="rId33"/>
      <w:headerReference w:type="first" r:id="rId34"/>
      <w:pgSz w:w="12240" w:h="15840"/>
      <w:pgMar w:top="1008" w:right="1080" w:bottom="100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1903" w14:textId="77777777" w:rsidR="00DD7F07" w:rsidRDefault="00DD7F07">
      <w:pPr>
        <w:spacing w:after="0" w:line="240" w:lineRule="auto"/>
      </w:pPr>
      <w:r>
        <w:separator/>
      </w:r>
    </w:p>
  </w:endnote>
  <w:endnote w:type="continuationSeparator" w:id="0">
    <w:p w14:paraId="65F643F0" w14:textId="77777777" w:rsidR="00DD7F07" w:rsidRDefault="00DD7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757760"/>
      <w:docPartObj>
        <w:docPartGallery w:val="Page Numbers (Bottom of Page)"/>
        <w:docPartUnique/>
      </w:docPartObj>
    </w:sdtPr>
    <w:sdtEndPr>
      <w:rPr>
        <w:noProof/>
      </w:rPr>
    </w:sdtEndPr>
    <w:sdtContent>
      <w:p w14:paraId="21A9C646" w14:textId="0FC6D094" w:rsidR="005759E0" w:rsidRDefault="005759E0">
        <w:pPr>
          <w:pStyle w:val="Footer"/>
          <w:jc w:val="right"/>
        </w:pPr>
        <w:r>
          <w:fldChar w:fldCharType="begin"/>
        </w:r>
        <w:r>
          <w:instrText xml:space="preserve"> PAGE   \* MERGEFORMAT </w:instrText>
        </w:r>
        <w:r>
          <w:fldChar w:fldCharType="separate"/>
        </w:r>
        <w:r w:rsidR="268127C7">
          <w:t>2</w:t>
        </w:r>
        <w:r>
          <w:fldChar w:fldCharType="end"/>
        </w:r>
      </w:p>
    </w:sdtContent>
  </w:sdt>
  <w:p w14:paraId="0227C92F" w14:textId="0D56FA5A" w:rsidR="00755AE2" w:rsidRDefault="0022674C">
    <w:pPr>
      <w:pStyle w:val="Footer"/>
      <w:jc w:val="center"/>
    </w:pPr>
    <w:r>
      <w:t xml:space="preserve">Draft – not government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92639" w14:textId="77777777" w:rsidR="00DD7F07" w:rsidRDefault="00DD7F07">
      <w:pPr>
        <w:spacing w:after="0" w:line="240" w:lineRule="auto"/>
      </w:pPr>
      <w:r>
        <w:separator/>
      </w:r>
    </w:p>
  </w:footnote>
  <w:footnote w:type="continuationSeparator" w:id="0">
    <w:p w14:paraId="583A3F41" w14:textId="77777777" w:rsidR="00DD7F07" w:rsidRDefault="00DD7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6C97" w14:textId="31E2D4C0" w:rsidR="006B440F" w:rsidRDefault="00AA34AE" w:rsidP="00962F3A">
    <w:pPr>
      <w:pStyle w:val="Header"/>
      <w:jc w:val="center"/>
      <w:rPr>
        <w:color w:val="595959"/>
        <w:sz w:val="18"/>
      </w:rPr>
    </w:pPr>
    <w:sdt>
      <w:sdtPr>
        <w:rPr>
          <w:color w:val="595959"/>
          <w:sz w:val="18"/>
        </w:rPr>
        <w:id w:val="903018746"/>
        <w:docPartObj>
          <w:docPartGallery w:val="Watermarks"/>
          <w:docPartUnique/>
        </w:docPartObj>
      </w:sdtPr>
      <w:sdtContent>
        <w:r>
          <w:rPr>
            <w:noProof/>
            <w:color w:val="595959"/>
            <w:sz w:val="18"/>
          </w:rPr>
          <w:pict w14:anchorId="2672A1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6B440F" w:rsidRPr="006B440F">
      <w:rPr>
        <w:noProof/>
        <w:color w:val="595959"/>
        <w:sz w:val="18"/>
      </w:rPr>
      <w:drawing>
        <wp:inline distT="0" distB="0" distL="0" distR="0" wp14:anchorId="7411C83C" wp14:editId="57616E48">
          <wp:extent cx="5867400" cy="971550"/>
          <wp:effectExtent l="0" t="0" r="0" b="0"/>
          <wp:docPr id="180177356" name="Picture 3"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ikaha logo in purple with QR code of NZSL name at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0" cy="971550"/>
                  </a:xfrm>
                  <a:prstGeom prst="rect">
                    <a:avLst/>
                  </a:prstGeom>
                  <a:noFill/>
                  <a:ln>
                    <a:noFill/>
                  </a:ln>
                </pic:spPr>
              </pic:pic>
            </a:graphicData>
          </a:graphic>
        </wp:inline>
      </w:drawing>
    </w:r>
  </w:p>
  <w:p w14:paraId="2D69C7C6" w14:textId="69A53586" w:rsidR="00755AE2" w:rsidRDefault="006B440F">
    <w:pPr>
      <w:pStyle w:val="Header"/>
      <w:jc w:val="center"/>
    </w:pPr>
    <w:r w:rsidRPr="006B440F">
      <w:rPr>
        <w:color w:val="595959"/>
        <w:sz w:val="18"/>
      </w:rPr>
      <w:t>Visual description: A purple Whaikaha logo with a QR scan for the NZSL name.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ECCB" w14:textId="7CE6684D" w:rsidR="002C4EAA" w:rsidRDefault="002C4EAA">
    <w:pPr>
      <w:pStyle w:val="Header"/>
    </w:pPr>
    <w:r w:rsidRPr="006B440F">
      <w:rPr>
        <w:noProof/>
        <w:color w:val="595959"/>
        <w:sz w:val="18"/>
      </w:rPr>
      <w:drawing>
        <wp:inline distT="0" distB="0" distL="0" distR="0" wp14:anchorId="2E3C3B06" wp14:editId="57B12221">
          <wp:extent cx="5867400" cy="971550"/>
          <wp:effectExtent l="0" t="0" r="0" b="0"/>
          <wp:docPr id="1941906565" name="Picture 3"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ikaha logo in purple with QR code of NZSL name at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0" cy="971550"/>
                  </a:xfrm>
                  <a:prstGeom prst="rect">
                    <a:avLst/>
                  </a:prstGeom>
                  <a:noFill/>
                  <a:ln>
                    <a:noFill/>
                  </a:ln>
                </pic:spPr>
              </pic:pic>
            </a:graphicData>
          </a:graphic>
        </wp:inline>
      </w:drawing>
    </w:r>
  </w:p>
  <w:p w14:paraId="35E2C0A7" w14:textId="77777777" w:rsidR="002C4EAA" w:rsidRDefault="002C4EAA" w:rsidP="002C4EAA">
    <w:pPr>
      <w:pStyle w:val="Header"/>
      <w:jc w:val="center"/>
    </w:pPr>
    <w:r w:rsidRPr="006B440F">
      <w:rPr>
        <w:color w:val="595959"/>
        <w:sz w:val="18"/>
      </w:rPr>
      <w:t>Visual description: A purple Whaikaha logo with a QR scan for the NZSL name. </w:t>
    </w:r>
  </w:p>
  <w:p w14:paraId="4446FF0B" w14:textId="77777777" w:rsidR="002C4EAA" w:rsidRDefault="002C4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409000F"/>
    <w:lvl w:ilvl="0">
      <w:start w:val="1"/>
      <w:numFmt w:val="decimal"/>
      <w:lvlText w:val="%1."/>
      <w:lvlJc w:val="left"/>
      <w:pPr>
        <w:ind w:left="360" w:hanging="360"/>
      </w:pPr>
      <w:rPr>
        <w:rFonts w:hint="default"/>
      </w:rPr>
    </w:lvl>
  </w:abstractNum>
  <w:abstractNum w:abstractNumId="9" w15:restartNumberingAfterBreak="0">
    <w:nsid w:val="08124324"/>
    <w:multiLevelType w:val="hybridMultilevel"/>
    <w:tmpl w:val="5B94B4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EEB047E"/>
    <w:multiLevelType w:val="hybridMultilevel"/>
    <w:tmpl w:val="BF9C68B0"/>
    <w:lvl w:ilvl="0" w:tplc="8A7C28FC">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329482C"/>
    <w:multiLevelType w:val="hybridMultilevel"/>
    <w:tmpl w:val="1C6814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E446079"/>
    <w:multiLevelType w:val="multilevel"/>
    <w:tmpl w:val="BA40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603457"/>
    <w:multiLevelType w:val="hybridMultilevel"/>
    <w:tmpl w:val="B15812A4"/>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A6D5C1B"/>
    <w:multiLevelType w:val="multilevel"/>
    <w:tmpl w:val="78A6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8B258F"/>
    <w:multiLevelType w:val="hybridMultilevel"/>
    <w:tmpl w:val="C7385378"/>
    <w:lvl w:ilvl="0" w:tplc="379A5AFA">
      <w:start w:val="1"/>
      <w:numFmt w:val="decimal"/>
      <w:lvlText w:val="%1."/>
      <w:lvlJc w:val="left"/>
      <w:pPr>
        <w:ind w:left="435" w:hanging="360"/>
      </w:pPr>
      <w:rPr>
        <w:rFonts w:ascii="Verdana" w:hAnsi="Verdana" w:hint="default"/>
      </w:rPr>
    </w:lvl>
    <w:lvl w:ilvl="1" w:tplc="555E83D8">
      <w:start w:val="1"/>
      <w:numFmt w:val="lowerLetter"/>
      <w:lvlText w:val="%2."/>
      <w:lvlJc w:val="left"/>
      <w:pPr>
        <w:ind w:left="1155" w:hanging="360"/>
      </w:pPr>
    </w:lvl>
    <w:lvl w:ilvl="2" w:tplc="96DA9778">
      <w:start w:val="1"/>
      <w:numFmt w:val="lowerRoman"/>
      <w:lvlText w:val="%3."/>
      <w:lvlJc w:val="right"/>
      <w:pPr>
        <w:ind w:left="1875" w:hanging="180"/>
      </w:pPr>
    </w:lvl>
    <w:lvl w:ilvl="3" w:tplc="6194F12E">
      <w:start w:val="1"/>
      <w:numFmt w:val="decimal"/>
      <w:lvlText w:val="%4."/>
      <w:lvlJc w:val="left"/>
      <w:pPr>
        <w:ind w:left="2595" w:hanging="360"/>
      </w:pPr>
    </w:lvl>
    <w:lvl w:ilvl="4" w:tplc="2D740DFC">
      <w:start w:val="1"/>
      <w:numFmt w:val="lowerLetter"/>
      <w:lvlText w:val="%5."/>
      <w:lvlJc w:val="left"/>
      <w:pPr>
        <w:ind w:left="3315" w:hanging="360"/>
      </w:pPr>
    </w:lvl>
    <w:lvl w:ilvl="5" w:tplc="E992044C">
      <w:start w:val="1"/>
      <w:numFmt w:val="lowerRoman"/>
      <w:lvlText w:val="%6."/>
      <w:lvlJc w:val="right"/>
      <w:pPr>
        <w:ind w:left="4035" w:hanging="180"/>
      </w:pPr>
    </w:lvl>
    <w:lvl w:ilvl="6" w:tplc="29E82732">
      <w:start w:val="1"/>
      <w:numFmt w:val="decimal"/>
      <w:lvlText w:val="%7."/>
      <w:lvlJc w:val="left"/>
      <w:pPr>
        <w:ind w:left="4755" w:hanging="360"/>
      </w:pPr>
    </w:lvl>
    <w:lvl w:ilvl="7" w:tplc="0F9E87AC">
      <w:start w:val="1"/>
      <w:numFmt w:val="lowerLetter"/>
      <w:lvlText w:val="%8."/>
      <w:lvlJc w:val="left"/>
      <w:pPr>
        <w:ind w:left="5475" w:hanging="360"/>
      </w:pPr>
    </w:lvl>
    <w:lvl w:ilvl="8" w:tplc="7690F16E">
      <w:start w:val="1"/>
      <w:numFmt w:val="lowerRoman"/>
      <w:lvlText w:val="%9."/>
      <w:lvlJc w:val="right"/>
      <w:pPr>
        <w:ind w:left="6195" w:hanging="180"/>
      </w:pPr>
    </w:lvl>
  </w:abstractNum>
  <w:abstractNum w:abstractNumId="16" w15:restartNumberingAfterBreak="0">
    <w:nsid w:val="365A466C"/>
    <w:multiLevelType w:val="hybridMultilevel"/>
    <w:tmpl w:val="A5C86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8CB022B"/>
    <w:multiLevelType w:val="hybridMultilevel"/>
    <w:tmpl w:val="C9869380"/>
    <w:lvl w:ilvl="0" w:tplc="8D6A913A">
      <w:numFmt w:val="bullet"/>
      <w:lvlText w:val="•"/>
      <w:lvlJc w:val="left"/>
      <w:pPr>
        <w:ind w:left="720" w:hanging="360"/>
      </w:pPr>
      <w:rPr>
        <w:rFonts w:ascii="Verdana" w:eastAsia="Aptos" w:hAnsi="Verdana"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3223870"/>
    <w:multiLevelType w:val="hybridMultilevel"/>
    <w:tmpl w:val="A218F742"/>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8B63885"/>
    <w:multiLevelType w:val="multilevel"/>
    <w:tmpl w:val="07EE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557A46"/>
    <w:multiLevelType w:val="multilevel"/>
    <w:tmpl w:val="6AF4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B03897"/>
    <w:multiLevelType w:val="hybridMultilevel"/>
    <w:tmpl w:val="62FE1C6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F44019E"/>
    <w:multiLevelType w:val="hybridMultilevel"/>
    <w:tmpl w:val="6D4EE188"/>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60BF50DE"/>
    <w:multiLevelType w:val="multilevel"/>
    <w:tmpl w:val="1968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2E7BED"/>
    <w:multiLevelType w:val="hybridMultilevel"/>
    <w:tmpl w:val="04E06E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63F4FEF"/>
    <w:multiLevelType w:val="hybridMultilevel"/>
    <w:tmpl w:val="797AD9E8"/>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665A554E"/>
    <w:multiLevelType w:val="hybridMultilevel"/>
    <w:tmpl w:val="96CEC0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AE70057"/>
    <w:multiLevelType w:val="hybridMultilevel"/>
    <w:tmpl w:val="4FB07A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C390315"/>
    <w:multiLevelType w:val="multilevel"/>
    <w:tmpl w:val="D4B8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65DB2"/>
    <w:multiLevelType w:val="multilevel"/>
    <w:tmpl w:val="8F40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480F44"/>
    <w:multiLevelType w:val="hybridMultilevel"/>
    <w:tmpl w:val="BEDC7D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93346692">
    <w:abstractNumId w:val="15"/>
  </w:num>
  <w:num w:numId="2" w16cid:durableId="908538449">
    <w:abstractNumId w:val="6"/>
  </w:num>
  <w:num w:numId="3" w16cid:durableId="1475676811">
    <w:abstractNumId w:val="5"/>
  </w:num>
  <w:num w:numId="4" w16cid:durableId="1604608952">
    <w:abstractNumId w:val="7"/>
  </w:num>
  <w:num w:numId="5" w16cid:durableId="70589988">
    <w:abstractNumId w:val="3"/>
  </w:num>
  <w:num w:numId="6" w16cid:durableId="638340652">
    <w:abstractNumId w:val="2"/>
  </w:num>
  <w:num w:numId="7" w16cid:durableId="107357810">
    <w:abstractNumId w:val="8"/>
  </w:num>
  <w:num w:numId="8" w16cid:durableId="353844585">
    <w:abstractNumId w:val="4"/>
  </w:num>
  <w:num w:numId="9" w16cid:durableId="639652972">
    <w:abstractNumId w:val="1"/>
  </w:num>
  <w:num w:numId="10" w16cid:durableId="904484916">
    <w:abstractNumId w:val="0"/>
  </w:num>
  <w:num w:numId="11" w16cid:durableId="737216725">
    <w:abstractNumId w:val="11"/>
  </w:num>
  <w:num w:numId="12" w16cid:durableId="585454606">
    <w:abstractNumId w:val="24"/>
  </w:num>
  <w:num w:numId="13" w16cid:durableId="100997734">
    <w:abstractNumId w:val="26"/>
  </w:num>
  <w:num w:numId="14" w16cid:durableId="1207449736">
    <w:abstractNumId w:val="30"/>
  </w:num>
  <w:num w:numId="15" w16cid:durableId="1925529095">
    <w:abstractNumId w:val="21"/>
  </w:num>
  <w:num w:numId="16" w16cid:durableId="37896412">
    <w:abstractNumId w:val="9"/>
  </w:num>
  <w:num w:numId="17" w16cid:durableId="1187017269">
    <w:abstractNumId w:val="16"/>
  </w:num>
  <w:num w:numId="18" w16cid:durableId="575477308">
    <w:abstractNumId w:val="13"/>
  </w:num>
  <w:num w:numId="19" w16cid:durableId="2031367870">
    <w:abstractNumId w:val="10"/>
  </w:num>
  <w:num w:numId="20" w16cid:durableId="686250421">
    <w:abstractNumId w:val="18"/>
  </w:num>
  <w:num w:numId="21" w16cid:durableId="827476648">
    <w:abstractNumId w:val="25"/>
  </w:num>
  <w:num w:numId="22" w16cid:durableId="1397780920">
    <w:abstractNumId w:val="27"/>
  </w:num>
  <w:num w:numId="23" w16cid:durableId="1864896971">
    <w:abstractNumId w:val="22"/>
  </w:num>
  <w:num w:numId="24" w16cid:durableId="692144651">
    <w:abstractNumId w:val="17"/>
  </w:num>
  <w:num w:numId="25" w16cid:durableId="1296913123">
    <w:abstractNumId w:val="19"/>
  </w:num>
  <w:num w:numId="26" w16cid:durableId="1997764412">
    <w:abstractNumId w:val="23"/>
  </w:num>
  <w:num w:numId="27" w16cid:durableId="1410613686">
    <w:abstractNumId w:val="14"/>
  </w:num>
  <w:num w:numId="28" w16cid:durableId="2108499236">
    <w:abstractNumId w:val="28"/>
  </w:num>
  <w:num w:numId="29" w16cid:durableId="1318879084">
    <w:abstractNumId w:val="29"/>
  </w:num>
  <w:num w:numId="30" w16cid:durableId="1904678291">
    <w:abstractNumId w:val="12"/>
  </w:num>
  <w:num w:numId="31" w16cid:durableId="1490712605">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1CF"/>
    <w:rsid w:val="00020115"/>
    <w:rsid w:val="00021651"/>
    <w:rsid w:val="00024E7B"/>
    <w:rsid w:val="00034616"/>
    <w:rsid w:val="00035906"/>
    <w:rsid w:val="0005662E"/>
    <w:rsid w:val="00056ECC"/>
    <w:rsid w:val="00057622"/>
    <w:rsid w:val="0006009A"/>
    <w:rsid w:val="0006063C"/>
    <w:rsid w:val="00067976"/>
    <w:rsid w:val="000807A0"/>
    <w:rsid w:val="000A13AE"/>
    <w:rsid w:val="000A2D5D"/>
    <w:rsid w:val="000A315B"/>
    <w:rsid w:val="000A4198"/>
    <w:rsid w:val="000B08B0"/>
    <w:rsid w:val="000B45A2"/>
    <w:rsid w:val="000D29A7"/>
    <w:rsid w:val="000D56A3"/>
    <w:rsid w:val="000E034B"/>
    <w:rsid w:val="000E1B9F"/>
    <w:rsid w:val="000E7DEE"/>
    <w:rsid w:val="000F2433"/>
    <w:rsid w:val="001010C5"/>
    <w:rsid w:val="001065CD"/>
    <w:rsid w:val="00107E81"/>
    <w:rsid w:val="00111CFA"/>
    <w:rsid w:val="00117677"/>
    <w:rsid w:val="00125E64"/>
    <w:rsid w:val="00136B16"/>
    <w:rsid w:val="0015074B"/>
    <w:rsid w:val="00162697"/>
    <w:rsid w:val="00165763"/>
    <w:rsid w:val="00170A07"/>
    <w:rsid w:val="00183A76"/>
    <w:rsid w:val="001A5A63"/>
    <w:rsid w:val="001B3039"/>
    <w:rsid w:val="001B7238"/>
    <w:rsid w:val="001E1994"/>
    <w:rsid w:val="001E2DDB"/>
    <w:rsid w:val="001E3581"/>
    <w:rsid w:val="001F1EF8"/>
    <w:rsid w:val="001F41D7"/>
    <w:rsid w:val="001F7960"/>
    <w:rsid w:val="00203EF6"/>
    <w:rsid w:val="0022674C"/>
    <w:rsid w:val="00234B55"/>
    <w:rsid w:val="002362D1"/>
    <w:rsid w:val="00237B11"/>
    <w:rsid w:val="00240BBA"/>
    <w:rsid w:val="00245819"/>
    <w:rsid w:val="00247225"/>
    <w:rsid w:val="0026403A"/>
    <w:rsid w:val="00265E4C"/>
    <w:rsid w:val="00270A74"/>
    <w:rsid w:val="002726A6"/>
    <w:rsid w:val="00277DF0"/>
    <w:rsid w:val="00286646"/>
    <w:rsid w:val="00287E9D"/>
    <w:rsid w:val="00293C56"/>
    <w:rsid w:val="00295162"/>
    <w:rsid w:val="002957C1"/>
    <w:rsid w:val="0029639D"/>
    <w:rsid w:val="002970BC"/>
    <w:rsid w:val="002B43E7"/>
    <w:rsid w:val="002C4EAA"/>
    <w:rsid w:val="002C7843"/>
    <w:rsid w:val="002D708C"/>
    <w:rsid w:val="002E08C4"/>
    <w:rsid w:val="002E3454"/>
    <w:rsid w:val="002E6C72"/>
    <w:rsid w:val="00302DBF"/>
    <w:rsid w:val="003113BA"/>
    <w:rsid w:val="003122EA"/>
    <w:rsid w:val="00326F90"/>
    <w:rsid w:val="00327349"/>
    <w:rsid w:val="00331C54"/>
    <w:rsid w:val="00335C62"/>
    <w:rsid w:val="003377F3"/>
    <w:rsid w:val="00340F34"/>
    <w:rsid w:val="00341E0D"/>
    <w:rsid w:val="00350863"/>
    <w:rsid w:val="00356DFD"/>
    <w:rsid w:val="00360965"/>
    <w:rsid w:val="0037294F"/>
    <w:rsid w:val="00374DD8"/>
    <w:rsid w:val="00377234"/>
    <w:rsid w:val="003813A6"/>
    <w:rsid w:val="003817B4"/>
    <w:rsid w:val="0039132A"/>
    <w:rsid w:val="00392139"/>
    <w:rsid w:val="0039483B"/>
    <w:rsid w:val="00397476"/>
    <w:rsid w:val="003A0EA0"/>
    <w:rsid w:val="003A12CB"/>
    <w:rsid w:val="003B05E6"/>
    <w:rsid w:val="003C209C"/>
    <w:rsid w:val="003D7412"/>
    <w:rsid w:val="003E4BDA"/>
    <w:rsid w:val="003E5069"/>
    <w:rsid w:val="003F43BC"/>
    <w:rsid w:val="004026E0"/>
    <w:rsid w:val="004036E9"/>
    <w:rsid w:val="004037DB"/>
    <w:rsid w:val="004145FC"/>
    <w:rsid w:val="004156FF"/>
    <w:rsid w:val="004159BD"/>
    <w:rsid w:val="00420E44"/>
    <w:rsid w:val="00424D54"/>
    <w:rsid w:val="004326E2"/>
    <w:rsid w:val="00436480"/>
    <w:rsid w:val="0044178B"/>
    <w:rsid w:val="00454477"/>
    <w:rsid w:val="00466E08"/>
    <w:rsid w:val="004763C1"/>
    <w:rsid w:val="00485C5D"/>
    <w:rsid w:val="0049345B"/>
    <w:rsid w:val="004A2263"/>
    <w:rsid w:val="004A70B3"/>
    <w:rsid w:val="004C1003"/>
    <w:rsid w:val="004C4F4B"/>
    <w:rsid w:val="004C5FBD"/>
    <w:rsid w:val="004D7CC3"/>
    <w:rsid w:val="004F12DD"/>
    <w:rsid w:val="004F324E"/>
    <w:rsid w:val="004F4E2F"/>
    <w:rsid w:val="004F60E8"/>
    <w:rsid w:val="005023E7"/>
    <w:rsid w:val="0051753A"/>
    <w:rsid w:val="0052303B"/>
    <w:rsid w:val="00530AD3"/>
    <w:rsid w:val="005322FB"/>
    <w:rsid w:val="00533385"/>
    <w:rsid w:val="00551A03"/>
    <w:rsid w:val="005547D7"/>
    <w:rsid w:val="0055514F"/>
    <w:rsid w:val="00565296"/>
    <w:rsid w:val="005759E0"/>
    <w:rsid w:val="005860B8"/>
    <w:rsid w:val="00586D7B"/>
    <w:rsid w:val="005B09A1"/>
    <w:rsid w:val="005C71F0"/>
    <w:rsid w:val="005C7F9E"/>
    <w:rsid w:val="005D1E33"/>
    <w:rsid w:val="005E4CD3"/>
    <w:rsid w:val="005E54CC"/>
    <w:rsid w:val="005E7C2C"/>
    <w:rsid w:val="005F5000"/>
    <w:rsid w:val="00601AD0"/>
    <w:rsid w:val="006100EF"/>
    <w:rsid w:val="00612155"/>
    <w:rsid w:val="00615CBF"/>
    <w:rsid w:val="00621C1A"/>
    <w:rsid w:val="00623643"/>
    <w:rsid w:val="00625902"/>
    <w:rsid w:val="00627400"/>
    <w:rsid w:val="0063323C"/>
    <w:rsid w:val="00634405"/>
    <w:rsid w:val="006362D6"/>
    <w:rsid w:val="00641905"/>
    <w:rsid w:val="006421AD"/>
    <w:rsid w:val="00642A0C"/>
    <w:rsid w:val="00653179"/>
    <w:rsid w:val="0066516D"/>
    <w:rsid w:val="00673417"/>
    <w:rsid w:val="00673985"/>
    <w:rsid w:val="00677BFC"/>
    <w:rsid w:val="0068106A"/>
    <w:rsid w:val="00683495"/>
    <w:rsid w:val="006942A5"/>
    <w:rsid w:val="00696262"/>
    <w:rsid w:val="00696349"/>
    <w:rsid w:val="006A5230"/>
    <w:rsid w:val="006B440F"/>
    <w:rsid w:val="006B67AC"/>
    <w:rsid w:val="006E0904"/>
    <w:rsid w:val="006F05D0"/>
    <w:rsid w:val="00700685"/>
    <w:rsid w:val="007024E4"/>
    <w:rsid w:val="00705094"/>
    <w:rsid w:val="0072735B"/>
    <w:rsid w:val="00731118"/>
    <w:rsid w:val="00734846"/>
    <w:rsid w:val="00734A48"/>
    <w:rsid w:val="00736985"/>
    <w:rsid w:val="007400A9"/>
    <w:rsid w:val="0074355D"/>
    <w:rsid w:val="00744B66"/>
    <w:rsid w:val="007461C5"/>
    <w:rsid w:val="00755AE2"/>
    <w:rsid w:val="00764936"/>
    <w:rsid w:val="00777533"/>
    <w:rsid w:val="00781854"/>
    <w:rsid w:val="00791EA8"/>
    <w:rsid w:val="00792C9A"/>
    <w:rsid w:val="007A0C0C"/>
    <w:rsid w:val="007A3AB7"/>
    <w:rsid w:val="007C474E"/>
    <w:rsid w:val="007D01F9"/>
    <w:rsid w:val="007D09F0"/>
    <w:rsid w:val="007D2E25"/>
    <w:rsid w:val="007E0111"/>
    <w:rsid w:val="007E2FBC"/>
    <w:rsid w:val="007F0697"/>
    <w:rsid w:val="007F3A86"/>
    <w:rsid w:val="007F50A7"/>
    <w:rsid w:val="007F78CC"/>
    <w:rsid w:val="00804F6D"/>
    <w:rsid w:val="0081736B"/>
    <w:rsid w:val="0082057A"/>
    <w:rsid w:val="00820D19"/>
    <w:rsid w:val="00825D86"/>
    <w:rsid w:val="0083092F"/>
    <w:rsid w:val="00831146"/>
    <w:rsid w:val="00831440"/>
    <w:rsid w:val="00833C64"/>
    <w:rsid w:val="00833DDB"/>
    <w:rsid w:val="00837BC6"/>
    <w:rsid w:val="00850F63"/>
    <w:rsid w:val="00856F8A"/>
    <w:rsid w:val="008734BD"/>
    <w:rsid w:val="00873A5B"/>
    <w:rsid w:val="00885A2C"/>
    <w:rsid w:val="0088679C"/>
    <w:rsid w:val="008A4089"/>
    <w:rsid w:val="008B7660"/>
    <w:rsid w:val="008B77EB"/>
    <w:rsid w:val="008C2AE3"/>
    <w:rsid w:val="008D6543"/>
    <w:rsid w:val="008E1BEE"/>
    <w:rsid w:val="008E25B8"/>
    <w:rsid w:val="008E54AC"/>
    <w:rsid w:val="009063E0"/>
    <w:rsid w:val="0091438B"/>
    <w:rsid w:val="00921620"/>
    <w:rsid w:val="009341F3"/>
    <w:rsid w:val="0094747C"/>
    <w:rsid w:val="00951DCC"/>
    <w:rsid w:val="0095241E"/>
    <w:rsid w:val="009557A4"/>
    <w:rsid w:val="00962F3A"/>
    <w:rsid w:val="009639C2"/>
    <w:rsid w:val="00965267"/>
    <w:rsid w:val="00977F0C"/>
    <w:rsid w:val="00984376"/>
    <w:rsid w:val="009962C9"/>
    <w:rsid w:val="009A1397"/>
    <w:rsid w:val="009A762A"/>
    <w:rsid w:val="009B07BA"/>
    <w:rsid w:val="009B55E8"/>
    <w:rsid w:val="009C4118"/>
    <w:rsid w:val="009D2A77"/>
    <w:rsid w:val="009D5D31"/>
    <w:rsid w:val="009D7402"/>
    <w:rsid w:val="009E00BC"/>
    <w:rsid w:val="009E036C"/>
    <w:rsid w:val="009E422C"/>
    <w:rsid w:val="009E452C"/>
    <w:rsid w:val="009F1D76"/>
    <w:rsid w:val="00A00559"/>
    <w:rsid w:val="00A00818"/>
    <w:rsid w:val="00A108B9"/>
    <w:rsid w:val="00A12046"/>
    <w:rsid w:val="00A261E6"/>
    <w:rsid w:val="00A459B9"/>
    <w:rsid w:val="00A501CA"/>
    <w:rsid w:val="00A520A5"/>
    <w:rsid w:val="00A54E51"/>
    <w:rsid w:val="00A55F5B"/>
    <w:rsid w:val="00A60EAA"/>
    <w:rsid w:val="00A61D95"/>
    <w:rsid w:val="00A66A53"/>
    <w:rsid w:val="00A71354"/>
    <w:rsid w:val="00A73448"/>
    <w:rsid w:val="00A7546C"/>
    <w:rsid w:val="00A866BC"/>
    <w:rsid w:val="00A958ED"/>
    <w:rsid w:val="00A9598A"/>
    <w:rsid w:val="00AA1D8D"/>
    <w:rsid w:val="00AA34AE"/>
    <w:rsid w:val="00AB1E41"/>
    <w:rsid w:val="00AB6012"/>
    <w:rsid w:val="00AC3855"/>
    <w:rsid w:val="00AC7794"/>
    <w:rsid w:val="00AE21AE"/>
    <w:rsid w:val="00AE2EB0"/>
    <w:rsid w:val="00AE5FD8"/>
    <w:rsid w:val="00AE69E0"/>
    <w:rsid w:val="00AF0839"/>
    <w:rsid w:val="00B12148"/>
    <w:rsid w:val="00B16179"/>
    <w:rsid w:val="00B23826"/>
    <w:rsid w:val="00B343FE"/>
    <w:rsid w:val="00B36E68"/>
    <w:rsid w:val="00B47730"/>
    <w:rsid w:val="00B5376F"/>
    <w:rsid w:val="00B57B51"/>
    <w:rsid w:val="00B61490"/>
    <w:rsid w:val="00B65960"/>
    <w:rsid w:val="00B70A58"/>
    <w:rsid w:val="00B800EA"/>
    <w:rsid w:val="00B815E2"/>
    <w:rsid w:val="00B950EA"/>
    <w:rsid w:val="00BA1E3E"/>
    <w:rsid w:val="00BA6810"/>
    <w:rsid w:val="00BA7509"/>
    <w:rsid w:val="00BB0345"/>
    <w:rsid w:val="00BC10E2"/>
    <w:rsid w:val="00BD08C5"/>
    <w:rsid w:val="00BD4C01"/>
    <w:rsid w:val="00C06986"/>
    <w:rsid w:val="00C10184"/>
    <w:rsid w:val="00C13648"/>
    <w:rsid w:val="00C14B88"/>
    <w:rsid w:val="00C1709C"/>
    <w:rsid w:val="00C2624C"/>
    <w:rsid w:val="00C27D43"/>
    <w:rsid w:val="00C32952"/>
    <w:rsid w:val="00C47928"/>
    <w:rsid w:val="00C52142"/>
    <w:rsid w:val="00C531EA"/>
    <w:rsid w:val="00C53B8B"/>
    <w:rsid w:val="00C724D5"/>
    <w:rsid w:val="00C72B52"/>
    <w:rsid w:val="00C72CA8"/>
    <w:rsid w:val="00C747AA"/>
    <w:rsid w:val="00C753DA"/>
    <w:rsid w:val="00C82A5C"/>
    <w:rsid w:val="00C86C18"/>
    <w:rsid w:val="00C86EB5"/>
    <w:rsid w:val="00C91D07"/>
    <w:rsid w:val="00C95C1B"/>
    <w:rsid w:val="00C96E89"/>
    <w:rsid w:val="00CA0665"/>
    <w:rsid w:val="00CA1C10"/>
    <w:rsid w:val="00CA26E3"/>
    <w:rsid w:val="00CA2C7A"/>
    <w:rsid w:val="00CA4463"/>
    <w:rsid w:val="00CA73A6"/>
    <w:rsid w:val="00CA7E7A"/>
    <w:rsid w:val="00CB0664"/>
    <w:rsid w:val="00CB4560"/>
    <w:rsid w:val="00CC4FA3"/>
    <w:rsid w:val="00CC7FCC"/>
    <w:rsid w:val="00CD36A7"/>
    <w:rsid w:val="00CE2EDB"/>
    <w:rsid w:val="00CE36A1"/>
    <w:rsid w:val="00CE5FF9"/>
    <w:rsid w:val="00CE64FE"/>
    <w:rsid w:val="00CF19EA"/>
    <w:rsid w:val="00D0253A"/>
    <w:rsid w:val="00D12CD7"/>
    <w:rsid w:val="00D22068"/>
    <w:rsid w:val="00D36959"/>
    <w:rsid w:val="00D41BA0"/>
    <w:rsid w:val="00D46D3C"/>
    <w:rsid w:val="00D52AD4"/>
    <w:rsid w:val="00D5478B"/>
    <w:rsid w:val="00D57316"/>
    <w:rsid w:val="00D578EC"/>
    <w:rsid w:val="00D66DA2"/>
    <w:rsid w:val="00D76912"/>
    <w:rsid w:val="00D81330"/>
    <w:rsid w:val="00D83853"/>
    <w:rsid w:val="00D84BC6"/>
    <w:rsid w:val="00D86F22"/>
    <w:rsid w:val="00D94C40"/>
    <w:rsid w:val="00D9787E"/>
    <w:rsid w:val="00DA15F0"/>
    <w:rsid w:val="00DA6A07"/>
    <w:rsid w:val="00DB0F4C"/>
    <w:rsid w:val="00DB3725"/>
    <w:rsid w:val="00DB52C2"/>
    <w:rsid w:val="00DB597D"/>
    <w:rsid w:val="00DC20BD"/>
    <w:rsid w:val="00DC396B"/>
    <w:rsid w:val="00DC7705"/>
    <w:rsid w:val="00DD3745"/>
    <w:rsid w:val="00DD7F07"/>
    <w:rsid w:val="00DE1AB4"/>
    <w:rsid w:val="00DE2527"/>
    <w:rsid w:val="00DF3434"/>
    <w:rsid w:val="00DF47CA"/>
    <w:rsid w:val="00E01CBB"/>
    <w:rsid w:val="00E13CEC"/>
    <w:rsid w:val="00E16CC1"/>
    <w:rsid w:val="00E24125"/>
    <w:rsid w:val="00E242A0"/>
    <w:rsid w:val="00E26658"/>
    <w:rsid w:val="00E26D25"/>
    <w:rsid w:val="00E329EF"/>
    <w:rsid w:val="00E46F56"/>
    <w:rsid w:val="00E4795B"/>
    <w:rsid w:val="00E6233F"/>
    <w:rsid w:val="00E77131"/>
    <w:rsid w:val="00E926E7"/>
    <w:rsid w:val="00EB2D5B"/>
    <w:rsid w:val="00EB5E80"/>
    <w:rsid w:val="00EC1F20"/>
    <w:rsid w:val="00EC7933"/>
    <w:rsid w:val="00ED1CC9"/>
    <w:rsid w:val="00EE156B"/>
    <w:rsid w:val="00EE48D9"/>
    <w:rsid w:val="00EE6593"/>
    <w:rsid w:val="00EF4E3A"/>
    <w:rsid w:val="00F01036"/>
    <w:rsid w:val="00F062FE"/>
    <w:rsid w:val="00F06659"/>
    <w:rsid w:val="00F13D15"/>
    <w:rsid w:val="00F313EA"/>
    <w:rsid w:val="00F31474"/>
    <w:rsid w:val="00F31593"/>
    <w:rsid w:val="00F368BA"/>
    <w:rsid w:val="00F75EB0"/>
    <w:rsid w:val="00F82459"/>
    <w:rsid w:val="00F843C0"/>
    <w:rsid w:val="00F9664A"/>
    <w:rsid w:val="00FB26E5"/>
    <w:rsid w:val="00FC693F"/>
    <w:rsid w:val="00FD103E"/>
    <w:rsid w:val="00FD4408"/>
    <w:rsid w:val="00FE452C"/>
    <w:rsid w:val="00FF239C"/>
    <w:rsid w:val="00FF3368"/>
    <w:rsid w:val="06EEA3DE"/>
    <w:rsid w:val="07CFDCA8"/>
    <w:rsid w:val="0AE56F14"/>
    <w:rsid w:val="0B8C260A"/>
    <w:rsid w:val="0DAA5BD3"/>
    <w:rsid w:val="133CCFF5"/>
    <w:rsid w:val="268127C7"/>
    <w:rsid w:val="3149B454"/>
    <w:rsid w:val="316B9F01"/>
    <w:rsid w:val="31C052C9"/>
    <w:rsid w:val="3C98BDC2"/>
    <w:rsid w:val="3E9D8F71"/>
    <w:rsid w:val="3FE95EDB"/>
    <w:rsid w:val="50F79CBE"/>
    <w:rsid w:val="51FD119B"/>
    <w:rsid w:val="58C913CF"/>
    <w:rsid w:val="5CB0E04F"/>
    <w:rsid w:val="6C60652E"/>
    <w:rsid w:val="7088B723"/>
    <w:rsid w:val="79A43545"/>
    <w:rsid w:val="7CC7AB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557416"/>
  <w14:defaultImageDpi w14:val="300"/>
  <w15:docId w15:val="{DA0A4E2D-D2DB-4C5F-99EF-57840EDFF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68127C7"/>
    <w:pPr>
      <w:spacing w:after="120"/>
    </w:pPr>
    <w:rPr>
      <w:rFonts w:ascii="Aptos" w:eastAsia="Aptos" w:hAnsi="Aptos"/>
      <w:sz w:val="21"/>
      <w:szCs w:val="21"/>
      <w:lang w:val="en-NZ"/>
    </w:rPr>
  </w:style>
  <w:style w:type="paragraph" w:styleId="Heading1">
    <w:name w:val="heading 1"/>
    <w:basedOn w:val="Normal"/>
    <w:next w:val="Normal"/>
    <w:link w:val="Heading1Char"/>
    <w:uiPriority w:val="9"/>
    <w:qFormat/>
    <w:rsid w:val="268127C7"/>
    <w:pPr>
      <w:keepNext/>
      <w:keepLines/>
      <w:spacing w:before="200"/>
      <w:outlineLvl w:val="0"/>
    </w:pPr>
    <w:rPr>
      <w:rFonts w:asciiTheme="majorHAnsi" w:eastAsiaTheme="majorEastAsia" w:hAnsiTheme="majorHAnsi" w:cstheme="majorBidi"/>
      <w:b/>
      <w:bCs/>
      <w:color w:val="4B2E83"/>
      <w:sz w:val="32"/>
      <w:szCs w:val="32"/>
    </w:rPr>
  </w:style>
  <w:style w:type="paragraph" w:styleId="Heading2">
    <w:name w:val="heading 2"/>
    <w:basedOn w:val="Normal"/>
    <w:next w:val="Normal"/>
    <w:link w:val="Heading2Char"/>
    <w:uiPriority w:val="9"/>
    <w:unhideWhenUsed/>
    <w:qFormat/>
    <w:rsid w:val="268127C7"/>
    <w:pPr>
      <w:keepNext/>
      <w:keepLines/>
      <w:spacing w:before="200"/>
      <w:outlineLvl w:val="1"/>
    </w:pPr>
    <w:rPr>
      <w:rFonts w:asciiTheme="majorHAnsi" w:eastAsiaTheme="majorEastAsia" w:hAnsiTheme="majorHAnsi" w:cstheme="majorBidi"/>
      <w:b/>
      <w:bCs/>
      <w:color w:val="4B2E83"/>
      <w:sz w:val="26"/>
      <w:szCs w:val="26"/>
    </w:rPr>
  </w:style>
  <w:style w:type="paragraph" w:styleId="Heading3">
    <w:name w:val="heading 3"/>
    <w:basedOn w:val="Normal"/>
    <w:next w:val="Normal"/>
    <w:link w:val="Heading3Char"/>
    <w:uiPriority w:val="9"/>
    <w:unhideWhenUsed/>
    <w:qFormat/>
    <w:rsid w:val="268127C7"/>
    <w:pPr>
      <w:keepNext/>
      <w:keepLines/>
      <w:spacing w:before="200"/>
      <w:outlineLvl w:val="2"/>
    </w:pPr>
    <w:rPr>
      <w:rFonts w:asciiTheme="majorHAnsi" w:eastAsiaTheme="majorEastAsia" w:hAnsiTheme="majorHAnsi" w:cstheme="majorBidi"/>
      <w:b/>
      <w:bCs/>
      <w:color w:val="4B2E83"/>
      <w:sz w:val="23"/>
      <w:szCs w:val="23"/>
    </w:rPr>
  </w:style>
  <w:style w:type="paragraph" w:styleId="Heading4">
    <w:name w:val="heading 4"/>
    <w:basedOn w:val="Normal"/>
    <w:next w:val="Normal"/>
    <w:link w:val="Heading4Char"/>
    <w:uiPriority w:val="9"/>
    <w:semiHidden/>
    <w:unhideWhenUsed/>
    <w:qFormat/>
    <w:rsid w:val="268127C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268127C7"/>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268127C7"/>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268127C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268127C7"/>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268127C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268127C7"/>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268127C7"/>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268127C7"/>
    <w:pPr>
      <w:pBdr>
        <w:bottom w:val="single" w:sz="8" w:space="4" w:color="4F81BD" w:themeColor="accent1"/>
      </w:pBdr>
      <w:contextualSpacing/>
    </w:pPr>
    <w:rPr>
      <w:rFonts w:asciiTheme="majorHAnsi" w:eastAsiaTheme="majorEastAsia" w:hAnsiTheme="majorHAnsi" w:cstheme="majorBidi"/>
      <w:b/>
      <w:bCs/>
      <w:color w:val="4B2E83"/>
      <w:sz w:val="44"/>
      <w:szCs w:val="44"/>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268127C7"/>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268127C7"/>
    <w:pPr>
      <w:ind w:left="720"/>
      <w:contextualSpacing/>
    </w:pPr>
  </w:style>
  <w:style w:type="paragraph" w:styleId="BodyText">
    <w:name w:val="Body Text"/>
    <w:basedOn w:val="Normal"/>
    <w:link w:val="BodyTextChar"/>
    <w:uiPriority w:val="99"/>
    <w:unhideWhenUsed/>
    <w:rsid w:val="268127C7"/>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268127C7"/>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268127C7"/>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268127C7"/>
    <w:pPr>
      <w:ind w:left="360" w:hanging="360"/>
      <w:contextualSpacing/>
    </w:pPr>
  </w:style>
  <w:style w:type="paragraph" w:styleId="List2">
    <w:name w:val="List 2"/>
    <w:basedOn w:val="Normal"/>
    <w:uiPriority w:val="99"/>
    <w:unhideWhenUsed/>
    <w:rsid w:val="268127C7"/>
    <w:pPr>
      <w:ind w:left="720" w:hanging="360"/>
      <w:contextualSpacing/>
    </w:pPr>
  </w:style>
  <w:style w:type="paragraph" w:styleId="List3">
    <w:name w:val="List 3"/>
    <w:basedOn w:val="Normal"/>
    <w:uiPriority w:val="99"/>
    <w:unhideWhenUsed/>
    <w:rsid w:val="268127C7"/>
    <w:pPr>
      <w:ind w:left="1080" w:hanging="360"/>
      <w:contextualSpacing/>
    </w:pPr>
  </w:style>
  <w:style w:type="paragraph" w:styleId="ListBullet">
    <w:name w:val="List Bullet"/>
    <w:basedOn w:val="Normal"/>
    <w:uiPriority w:val="99"/>
    <w:unhideWhenUsed/>
    <w:rsid w:val="268127C7"/>
    <w:pPr>
      <w:contextualSpacing/>
    </w:pPr>
  </w:style>
  <w:style w:type="paragraph" w:styleId="ListBullet2">
    <w:name w:val="List Bullet 2"/>
    <w:basedOn w:val="Normal"/>
    <w:uiPriority w:val="99"/>
    <w:unhideWhenUsed/>
    <w:rsid w:val="268127C7"/>
    <w:pPr>
      <w:numPr>
        <w:numId w:val="2"/>
      </w:numPr>
      <w:contextualSpacing/>
    </w:pPr>
  </w:style>
  <w:style w:type="paragraph" w:styleId="ListBullet3">
    <w:name w:val="List Bullet 3"/>
    <w:basedOn w:val="Normal"/>
    <w:uiPriority w:val="99"/>
    <w:unhideWhenUsed/>
    <w:rsid w:val="268127C7"/>
    <w:pPr>
      <w:numPr>
        <w:numId w:val="3"/>
      </w:numPr>
      <w:contextualSpacing/>
    </w:pPr>
  </w:style>
  <w:style w:type="paragraph" w:styleId="ListNumber">
    <w:name w:val="List Number"/>
    <w:basedOn w:val="Normal"/>
    <w:uiPriority w:val="99"/>
    <w:unhideWhenUsed/>
    <w:rsid w:val="268127C7"/>
    <w:pPr>
      <w:numPr>
        <w:numId w:val="4"/>
      </w:numPr>
      <w:contextualSpacing/>
    </w:pPr>
  </w:style>
  <w:style w:type="paragraph" w:styleId="ListNumber2">
    <w:name w:val="List Number 2"/>
    <w:basedOn w:val="Normal"/>
    <w:uiPriority w:val="99"/>
    <w:unhideWhenUsed/>
    <w:rsid w:val="268127C7"/>
    <w:pPr>
      <w:numPr>
        <w:numId w:val="5"/>
      </w:numPr>
      <w:contextualSpacing/>
    </w:pPr>
  </w:style>
  <w:style w:type="paragraph" w:styleId="ListNumber3">
    <w:name w:val="List Number 3"/>
    <w:basedOn w:val="Normal"/>
    <w:uiPriority w:val="99"/>
    <w:unhideWhenUsed/>
    <w:rsid w:val="268127C7"/>
    <w:pPr>
      <w:numPr>
        <w:numId w:val="6"/>
      </w:numPr>
      <w:contextualSpacing/>
    </w:pPr>
  </w:style>
  <w:style w:type="paragraph" w:styleId="ListContinue">
    <w:name w:val="List Continue"/>
    <w:basedOn w:val="Normal"/>
    <w:uiPriority w:val="99"/>
    <w:unhideWhenUsed/>
    <w:rsid w:val="268127C7"/>
    <w:pPr>
      <w:ind w:left="360"/>
      <w:contextualSpacing/>
    </w:pPr>
  </w:style>
  <w:style w:type="paragraph" w:styleId="ListContinue2">
    <w:name w:val="List Continue 2"/>
    <w:basedOn w:val="Normal"/>
    <w:uiPriority w:val="99"/>
    <w:unhideWhenUsed/>
    <w:rsid w:val="268127C7"/>
    <w:pPr>
      <w:ind w:left="720"/>
      <w:contextualSpacing/>
    </w:pPr>
  </w:style>
  <w:style w:type="paragraph" w:styleId="ListContinue3">
    <w:name w:val="List Continue 3"/>
    <w:basedOn w:val="Normal"/>
    <w:uiPriority w:val="99"/>
    <w:unhideWhenUsed/>
    <w:rsid w:val="268127C7"/>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268127C7"/>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268127C7"/>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268127C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6A5230"/>
    <w:rPr>
      <w:sz w:val="16"/>
      <w:szCs w:val="16"/>
    </w:rPr>
  </w:style>
  <w:style w:type="paragraph" w:styleId="CommentText">
    <w:name w:val="annotation text"/>
    <w:basedOn w:val="Normal"/>
    <w:link w:val="CommentTextChar"/>
    <w:uiPriority w:val="99"/>
    <w:unhideWhenUsed/>
    <w:rsid w:val="006A5230"/>
    <w:pPr>
      <w:spacing w:line="240" w:lineRule="auto"/>
    </w:pPr>
    <w:rPr>
      <w:sz w:val="20"/>
      <w:szCs w:val="20"/>
    </w:rPr>
  </w:style>
  <w:style w:type="character" w:customStyle="1" w:styleId="CommentTextChar">
    <w:name w:val="Comment Text Char"/>
    <w:basedOn w:val="DefaultParagraphFont"/>
    <w:link w:val="CommentText"/>
    <w:uiPriority w:val="99"/>
    <w:rsid w:val="006A5230"/>
    <w:rPr>
      <w:rFonts w:ascii="Aptos" w:eastAsia="Aptos" w:hAnsi="Aptos"/>
      <w:sz w:val="20"/>
      <w:szCs w:val="20"/>
      <w:lang w:val="en-NZ"/>
    </w:rPr>
  </w:style>
  <w:style w:type="paragraph" w:styleId="CommentSubject">
    <w:name w:val="annotation subject"/>
    <w:basedOn w:val="CommentText"/>
    <w:next w:val="CommentText"/>
    <w:link w:val="CommentSubjectChar"/>
    <w:uiPriority w:val="99"/>
    <w:semiHidden/>
    <w:unhideWhenUsed/>
    <w:rsid w:val="006A5230"/>
    <w:rPr>
      <w:b/>
      <w:bCs/>
    </w:rPr>
  </w:style>
  <w:style w:type="character" w:customStyle="1" w:styleId="CommentSubjectChar">
    <w:name w:val="Comment Subject Char"/>
    <w:basedOn w:val="CommentTextChar"/>
    <w:link w:val="CommentSubject"/>
    <w:uiPriority w:val="99"/>
    <w:semiHidden/>
    <w:rsid w:val="006A5230"/>
    <w:rPr>
      <w:rFonts w:ascii="Aptos" w:eastAsia="Aptos" w:hAnsi="Aptos"/>
      <w:b/>
      <w:bCs/>
      <w:sz w:val="20"/>
      <w:szCs w:val="20"/>
      <w:lang w:val="en-NZ"/>
    </w:rPr>
  </w:style>
  <w:style w:type="character" w:styleId="Hyperlink">
    <w:name w:val="Hyperlink"/>
    <w:basedOn w:val="DefaultParagraphFont"/>
    <w:uiPriority w:val="99"/>
    <w:unhideWhenUsed/>
    <w:rsid w:val="005E54CC"/>
    <w:rPr>
      <w:color w:val="0000FF" w:themeColor="hyperlink"/>
      <w:u w:val="single"/>
    </w:rPr>
  </w:style>
  <w:style w:type="character" w:styleId="UnresolvedMention">
    <w:name w:val="Unresolved Mention"/>
    <w:basedOn w:val="DefaultParagraphFont"/>
    <w:uiPriority w:val="99"/>
    <w:semiHidden/>
    <w:unhideWhenUsed/>
    <w:rsid w:val="005E54CC"/>
    <w:rPr>
      <w:color w:val="605E5C"/>
      <w:shd w:val="clear" w:color="auto" w:fill="E1DFDD"/>
    </w:rPr>
  </w:style>
  <w:style w:type="paragraph" w:styleId="Revision">
    <w:name w:val="Revision"/>
    <w:hidden/>
    <w:uiPriority w:val="99"/>
    <w:semiHidden/>
    <w:rsid w:val="003113BA"/>
    <w:pPr>
      <w:spacing w:after="0" w:line="240" w:lineRule="auto"/>
    </w:pPr>
    <w:rPr>
      <w:rFonts w:ascii="Aptos" w:eastAsia="Aptos" w:hAnsi="Aptos"/>
      <w:sz w:val="21"/>
      <w:szCs w:val="21"/>
      <w:lang w:val="en-NZ"/>
    </w:rPr>
  </w:style>
  <w:style w:type="character" w:styleId="FollowedHyperlink">
    <w:name w:val="FollowedHyperlink"/>
    <w:basedOn w:val="DefaultParagraphFont"/>
    <w:uiPriority w:val="99"/>
    <w:semiHidden/>
    <w:unhideWhenUsed/>
    <w:rsid w:val="00F313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nz.nz/new-zealands-intern%09et-insights/new-zealands-internet-insights-2025/" TargetMode="External"/><Relationship Id="rId18" Type="http://schemas.openxmlformats.org/officeDocument/2006/relationships/hyperlink" Target="https://sfia-online.org/en/about-sfia/licensing-sfia/whole-of-country-licence" TargetMode="External"/><Relationship Id="rId26" Type="http://schemas.openxmlformats.org/officeDocument/2006/relationships/hyperlink" Target="https://www.w3.org/WAI/media/av/captions/" TargetMode="External"/><Relationship Id="rId3" Type="http://schemas.openxmlformats.org/officeDocument/2006/relationships/customXml" Target="../customXml/item3.xml"/><Relationship Id="rId21" Type="http://schemas.openxmlformats.org/officeDocument/2006/relationships/hyperlink" Target="https://etitcisb.nz/"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motu-www.motu.org.nz/wpapers/19_17.pdf" TargetMode="External"/><Relationship Id="rId17" Type="http://schemas.openxmlformats.org/officeDocument/2006/relationships/hyperlink" Target="https://www.digital.govt.nz/standards-and-guidance/strategy-and-planning/digital-capability-public-service-workforce/skills-framework-for-the-information-age-sfia" TargetMode="External"/><Relationship Id="rId25" Type="http://schemas.openxmlformats.org/officeDocument/2006/relationships/hyperlink" Target="https://www.w3.org/WAI/media/av/"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fia-online.org/en/sfia-9/skills/accessibility-and-inclusion" TargetMode="External"/><Relationship Id="rId20" Type="http://schemas.openxmlformats.org/officeDocument/2006/relationships/hyperlink" Target="https://www.accessibilityassociation.org/certification-overview" TargetMode="External"/><Relationship Id="rId29" Type="http://schemas.openxmlformats.org/officeDocument/2006/relationships/hyperlink" Target="https://govtnz.github.io/web-a11y-guidanc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ns.govt.nz/standards-and-guidance/identity/trust-framework"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msd.govt.nz/about-msd-and-our-work/work-programmes/accessibility/accessibility-guide/web-accessibility-standard.html" TargetMode="External"/><Relationship Id="rId23" Type="http://schemas.openxmlformats.org/officeDocument/2006/relationships/hyperlink" Target="https://www.legislation.govt.nz/act/public/2023/0013/latest/whole.html" TargetMode="External"/><Relationship Id="rId28" Type="http://schemas.openxmlformats.org/officeDocument/2006/relationships/hyperlink" Target="https://www.digital.govt.nz/standards-and-guidance/nz-government-web-standards/digital-accessibility-standard"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accessibilityassociation.org/" TargetMode="External"/><Relationship Id="rId31" Type="http://schemas.openxmlformats.org/officeDocument/2006/relationships/hyperlink" Target="https://www.pivotalaccessibility.com/2026/05/accessibility-debt-compound-interest-rat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ovtnz.github.io/web-a11y-guidance/" TargetMode="External"/><Relationship Id="rId22" Type="http://schemas.openxmlformats.org/officeDocument/2006/relationships/hyperlink" Target="https://www.humanware.com/" TargetMode="External"/><Relationship Id="rId27" Type="http://schemas.openxmlformats.org/officeDocument/2006/relationships/hyperlink" Target="https://www.england.nhs.uk/accessible-information-standard/" TargetMode="External"/><Relationship Id="rId30" Type="http://schemas.openxmlformats.org/officeDocument/2006/relationships/hyperlink" Target="https://www.accessibilityassociation.org/ads-exam" TargetMode="External"/><Relationship Id="rId35" Type="http://schemas.openxmlformats.org/officeDocument/2006/relationships/fontTable" Target="fontTable.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361de0cf-f0ad-427e-92ef-ed0a58ba3287">INFO-383298788-16328</_dlc_DocId>
    <_ip_UnifiedCompliancePolicyUIAction xmlns="http://schemas.microsoft.com/sharepoint/v3" xsi:nil="true"/>
    <i0f84bba906045b4af568ee102a52dcb xmlns="361de0cf-f0ad-427e-92ef-ed0a58ba3287">
      <Terms xmlns="http://schemas.microsoft.com/office/infopath/2007/PartnerControls"/>
    </i0f84bba906045b4af568ee102a52dcb>
    <_dlc_DocIdUrl xmlns="361de0cf-f0ad-427e-92ef-ed0a58ba3287">
      <Url>https://msdgovtnz.sharepoint.com/sites/whaikaha-WRK-Outreach-and-Innovation/_layouts/15/DocIdRedir.aspx?ID=INFO-383298788-16328</Url>
      <Description>INFO-383298788-16328</Description>
    </_dlc_DocIdUrl>
    <_ip_UnifiedCompliancePolicyProperties xmlns="http://schemas.microsoft.com/sharepoint/v3" xsi:nil="true"/>
    <lcf76f155ced4ddcb4097134ff3c332f xmlns="53119fab-c8ff-4a03-ab54-00a03737b1eb">
      <Terms xmlns="http://schemas.microsoft.com/office/infopath/2007/PartnerControls"/>
    </lcf76f155ced4ddcb4097134ff3c332f>
    <TaxCatchAll xmlns="361de0cf-f0ad-427e-92ef-ed0a58ba328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E43845AA5E63B45AFD79095EE223CAB" ma:contentTypeVersion="18" ma:contentTypeDescription="Create a new document." ma:contentTypeScope="" ma:versionID="de4f5087b97b158203a6ef6a90479934">
  <xsd:schema xmlns:xsd="http://www.w3.org/2001/XMLSchema" xmlns:xs="http://www.w3.org/2001/XMLSchema" xmlns:p="http://schemas.microsoft.com/office/2006/metadata/properties" xmlns:ns1="http://schemas.microsoft.com/sharepoint/v3" xmlns:ns2="361de0cf-f0ad-427e-92ef-ed0a58ba3287" xmlns:ns3="53119fab-c8ff-4a03-ab54-00a03737b1eb" targetNamespace="http://schemas.microsoft.com/office/2006/metadata/properties" ma:root="true" ma:fieldsID="17f51403d41c21100c7a53e145ccaac4" ns1:_="" ns2:_="" ns3:_="">
    <xsd:import namespace="http://schemas.microsoft.com/sharepoint/v3"/>
    <xsd:import namespace="361de0cf-f0ad-427e-92ef-ed0a58ba3287"/>
    <xsd:import namespace="53119fab-c8ff-4a03-ab54-00a03737b1e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2:i0f84bba906045b4af568ee102a52dcb"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de0cf-f0ad-427e-92ef-ed0a58ba32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87e03299-427b-4c8f-a56c-c99bcf6e1eb0}" ma:internalName="TaxCatchAll" ma:showField="CatchAllData" ma:web="361de0cf-f0ad-427e-92ef-ed0a58ba3287">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49208c45-55ac-4c79-8de6-6805b90cd0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119fab-c8ff-4a03-ab54-00a03737b1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B3E71-78AD-458F-831F-0C9A5ADD1C14}">
  <ds:schemaRefs>
    <ds:schemaRef ds:uri="http://schemas.microsoft.com/sharepoint/events"/>
  </ds:schemaRefs>
</ds:datastoreItem>
</file>

<file path=customXml/itemProps2.xml><?xml version="1.0" encoding="utf-8"?>
<ds:datastoreItem xmlns:ds="http://schemas.openxmlformats.org/officeDocument/2006/customXml" ds:itemID="{78D3C675-1723-40C1-BC65-FC3CA5C6CBDD}">
  <ds:schemaRefs>
    <ds:schemaRef ds:uri="http://schemas.microsoft.com/office/2006/metadata/properties"/>
    <ds:schemaRef ds:uri="http://schemas.microsoft.com/office/infopath/2007/PartnerControls"/>
    <ds:schemaRef ds:uri="361de0cf-f0ad-427e-92ef-ed0a58ba3287"/>
    <ds:schemaRef ds:uri="http://schemas.microsoft.com/sharepoint/v3"/>
    <ds:schemaRef ds:uri="53119fab-c8ff-4a03-ab54-00a03737b1eb"/>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FF1365D-E37C-408A-9D32-BEB64C846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1de0cf-f0ad-427e-92ef-ed0a58ba3287"/>
    <ds:schemaRef ds:uri="53119fab-c8ff-4a03-ab54-00a03737b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6D85DF-4540-43B1-B160-4212BD495B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1464</TotalTime>
  <Pages>1</Pages>
  <Words>3045</Words>
  <Characters>17359</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Digital and information issues and opportunities research paper</vt:lpstr>
    </vt:vector>
  </TitlesOfParts>
  <Manager/>
  <Company/>
  <LinksUpToDate>false</LinksUpToDate>
  <CharactersWithSpaces>20364</CharactersWithSpaces>
  <SharedDoc>false</SharedDoc>
  <HyperlinkBase/>
  <HLinks>
    <vt:vector size="120" baseType="variant">
      <vt:variant>
        <vt:i4>2818091</vt:i4>
      </vt:variant>
      <vt:variant>
        <vt:i4>57</vt:i4>
      </vt:variant>
      <vt:variant>
        <vt:i4>0</vt:i4>
      </vt:variant>
      <vt:variant>
        <vt:i4>5</vt:i4>
      </vt:variant>
      <vt:variant>
        <vt:lpwstr>https://www.pivotalaccessibility.com/2026/05/accessibility-debt-compound-interest-rate</vt:lpwstr>
      </vt:variant>
      <vt:variant>
        <vt:lpwstr/>
      </vt:variant>
      <vt:variant>
        <vt:i4>5111821</vt:i4>
      </vt:variant>
      <vt:variant>
        <vt:i4>54</vt:i4>
      </vt:variant>
      <vt:variant>
        <vt:i4>0</vt:i4>
      </vt:variant>
      <vt:variant>
        <vt:i4>5</vt:i4>
      </vt:variant>
      <vt:variant>
        <vt:lpwstr>https://www.accessibilityassociation.org/ads-exam</vt:lpwstr>
      </vt:variant>
      <vt:variant>
        <vt:lpwstr/>
      </vt:variant>
      <vt:variant>
        <vt:i4>2424888</vt:i4>
      </vt:variant>
      <vt:variant>
        <vt:i4>51</vt:i4>
      </vt:variant>
      <vt:variant>
        <vt:i4>0</vt:i4>
      </vt:variant>
      <vt:variant>
        <vt:i4>5</vt:i4>
      </vt:variant>
      <vt:variant>
        <vt:lpwstr>https://govtnz.github.io/web-a11y-guidance/</vt:lpwstr>
      </vt:variant>
      <vt:variant>
        <vt:lpwstr/>
      </vt:variant>
      <vt:variant>
        <vt:i4>1835029</vt:i4>
      </vt:variant>
      <vt:variant>
        <vt:i4>48</vt:i4>
      </vt:variant>
      <vt:variant>
        <vt:i4>0</vt:i4>
      </vt:variant>
      <vt:variant>
        <vt:i4>5</vt:i4>
      </vt:variant>
      <vt:variant>
        <vt:lpwstr>https://www.digital.govt.nz/standards-and-guidance/nz-government-web-standards/digital-accessibility-standard</vt:lpwstr>
      </vt:variant>
      <vt:variant>
        <vt:lpwstr/>
      </vt:variant>
      <vt:variant>
        <vt:i4>3866733</vt:i4>
      </vt:variant>
      <vt:variant>
        <vt:i4>45</vt:i4>
      </vt:variant>
      <vt:variant>
        <vt:i4>0</vt:i4>
      </vt:variant>
      <vt:variant>
        <vt:i4>5</vt:i4>
      </vt:variant>
      <vt:variant>
        <vt:lpwstr>https://www.england.nhs.uk/accessible-information-standard/</vt:lpwstr>
      </vt:variant>
      <vt:variant>
        <vt:lpwstr/>
      </vt:variant>
      <vt:variant>
        <vt:i4>4325451</vt:i4>
      </vt:variant>
      <vt:variant>
        <vt:i4>42</vt:i4>
      </vt:variant>
      <vt:variant>
        <vt:i4>0</vt:i4>
      </vt:variant>
      <vt:variant>
        <vt:i4>5</vt:i4>
      </vt:variant>
      <vt:variant>
        <vt:lpwstr>https://www.w3.org/WAI/media/av/captions/</vt:lpwstr>
      </vt:variant>
      <vt:variant>
        <vt:lpwstr/>
      </vt:variant>
      <vt:variant>
        <vt:i4>4915295</vt:i4>
      </vt:variant>
      <vt:variant>
        <vt:i4>39</vt:i4>
      </vt:variant>
      <vt:variant>
        <vt:i4>0</vt:i4>
      </vt:variant>
      <vt:variant>
        <vt:i4>5</vt:i4>
      </vt:variant>
      <vt:variant>
        <vt:lpwstr>https://www.w3.org/WAI/media/av/</vt:lpwstr>
      </vt:variant>
      <vt:variant>
        <vt:lpwstr/>
      </vt:variant>
      <vt:variant>
        <vt:i4>7667745</vt:i4>
      </vt:variant>
      <vt:variant>
        <vt:i4>36</vt:i4>
      </vt:variant>
      <vt:variant>
        <vt:i4>0</vt:i4>
      </vt:variant>
      <vt:variant>
        <vt:i4>5</vt:i4>
      </vt:variant>
      <vt:variant>
        <vt:lpwstr>https://dns.govt.nz/standards-and-guidance/identity/trust-framework</vt:lpwstr>
      </vt:variant>
      <vt:variant>
        <vt:lpwstr/>
      </vt:variant>
      <vt:variant>
        <vt:i4>2818175</vt:i4>
      </vt:variant>
      <vt:variant>
        <vt:i4>33</vt:i4>
      </vt:variant>
      <vt:variant>
        <vt:i4>0</vt:i4>
      </vt:variant>
      <vt:variant>
        <vt:i4>5</vt:i4>
      </vt:variant>
      <vt:variant>
        <vt:lpwstr>https://www.legislation.govt.nz/act/public/2023/0013/latest/whole.html</vt:lpwstr>
      </vt:variant>
      <vt:variant>
        <vt:lpwstr/>
      </vt:variant>
      <vt:variant>
        <vt:i4>3604513</vt:i4>
      </vt:variant>
      <vt:variant>
        <vt:i4>30</vt:i4>
      </vt:variant>
      <vt:variant>
        <vt:i4>0</vt:i4>
      </vt:variant>
      <vt:variant>
        <vt:i4>5</vt:i4>
      </vt:variant>
      <vt:variant>
        <vt:lpwstr>https://www.humanware.com/</vt:lpwstr>
      </vt:variant>
      <vt:variant>
        <vt:lpwstr/>
      </vt:variant>
      <vt:variant>
        <vt:i4>5963784</vt:i4>
      </vt:variant>
      <vt:variant>
        <vt:i4>27</vt:i4>
      </vt:variant>
      <vt:variant>
        <vt:i4>0</vt:i4>
      </vt:variant>
      <vt:variant>
        <vt:i4>5</vt:i4>
      </vt:variant>
      <vt:variant>
        <vt:lpwstr>https://etitcisb.nz/</vt:lpwstr>
      </vt:variant>
      <vt:variant>
        <vt:lpwstr/>
      </vt:variant>
      <vt:variant>
        <vt:i4>3539059</vt:i4>
      </vt:variant>
      <vt:variant>
        <vt:i4>24</vt:i4>
      </vt:variant>
      <vt:variant>
        <vt:i4>0</vt:i4>
      </vt:variant>
      <vt:variant>
        <vt:i4>5</vt:i4>
      </vt:variant>
      <vt:variant>
        <vt:lpwstr>https://www.accessibilityassociation.org/certification-overview</vt:lpwstr>
      </vt:variant>
      <vt:variant>
        <vt:lpwstr/>
      </vt:variant>
      <vt:variant>
        <vt:i4>5767187</vt:i4>
      </vt:variant>
      <vt:variant>
        <vt:i4>21</vt:i4>
      </vt:variant>
      <vt:variant>
        <vt:i4>0</vt:i4>
      </vt:variant>
      <vt:variant>
        <vt:i4>5</vt:i4>
      </vt:variant>
      <vt:variant>
        <vt:lpwstr>https://www.accessibilityassociation.org/</vt:lpwstr>
      </vt:variant>
      <vt:variant>
        <vt:lpwstr/>
      </vt:variant>
      <vt:variant>
        <vt:i4>1835013</vt:i4>
      </vt:variant>
      <vt:variant>
        <vt:i4>18</vt:i4>
      </vt:variant>
      <vt:variant>
        <vt:i4>0</vt:i4>
      </vt:variant>
      <vt:variant>
        <vt:i4>5</vt:i4>
      </vt:variant>
      <vt:variant>
        <vt:lpwstr>https://sfia-online.org/en/about-sfia/licensing-sfia/whole-of-country-licence</vt:lpwstr>
      </vt:variant>
      <vt:variant>
        <vt:lpwstr/>
      </vt:variant>
      <vt:variant>
        <vt:i4>6684790</vt:i4>
      </vt:variant>
      <vt:variant>
        <vt:i4>15</vt:i4>
      </vt:variant>
      <vt:variant>
        <vt:i4>0</vt:i4>
      </vt:variant>
      <vt:variant>
        <vt:i4>5</vt:i4>
      </vt:variant>
      <vt:variant>
        <vt:lpwstr>https://www.digital.govt.nz/standards-and-guidance/strategy-and-planning/digital-capability-public-service-workforce/skills-framework-for-the-information-age-sfia</vt:lpwstr>
      </vt:variant>
      <vt:variant>
        <vt:lpwstr/>
      </vt:variant>
      <vt:variant>
        <vt:i4>1441871</vt:i4>
      </vt:variant>
      <vt:variant>
        <vt:i4>12</vt:i4>
      </vt:variant>
      <vt:variant>
        <vt:i4>0</vt:i4>
      </vt:variant>
      <vt:variant>
        <vt:i4>5</vt:i4>
      </vt:variant>
      <vt:variant>
        <vt:lpwstr>https://sfia-online.org/en/sfia-9/skills/accessibility-and-inclusion</vt:lpwstr>
      </vt:variant>
      <vt:variant>
        <vt:lpwstr/>
      </vt:variant>
      <vt:variant>
        <vt:i4>5963855</vt:i4>
      </vt:variant>
      <vt:variant>
        <vt:i4>9</vt:i4>
      </vt:variant>
      <vt:variant>
        <vt:i4>0</vt:i4>
      </vt:variant>
      <vt:variant>
        <vt:i4>5</vt:i4>
      </vt:variant>
      <vt:variant>
        <vt:lpwstr>https://www.msd.govt.nz/about-msd-and-our-work/work-programmes/accessibility/accessibility-guide/web-accessibility-standard.html</vt:lpwstr>
      </vt:variant>
      <vt:variant>
        <vt:lpwstr/>
      </vt:variant>
      <vt:variant>
        <vt:i4>2424888</vt:i4>
      </vt:variant>
      <vt:variant>
        <vt:i4>6</vt:i4>
      </vt:variant>
      <vt:variant>
        <vt:i4>0</vt:i4>
      </vt:variant>
      <vt:variant>
        <vt:i4>5</vt:i4>
      </vt:variant>
      <vt:variant>
        <vt:lpwstr>https://govtnz.github.io/web-a11y-guidance/</vt:lpwstr>
      </vt:variant>
      <vt:variant>
        <vt:lpwstr/>
      </vt:variant>
      <vt:variant>
        <vt:i4>917569</vt:i4>
      </vt:variant>
      <vt:variant>
        <vt:i4>3</vt:i4>
      </vt:variant>
      <vt:variant>
        <vt:i4>0</vt:i4>
      </vt:variant>
      <vt:variant>
        <vt:i4>5</vt:i4>
      </vt:variant>
      <vt:variant>
        <vt:lpwstr>https://internetnz.nz/new-zealands-intern%09et-insights/new-zealands-internet-insights-2025/</vt:lpwstr>
      </vt:variant>
      <vt:variant>
        <vt:lpwstr/>
      </vt:variant>
      <vt:variant>
        <vt:i4>5570657</vt:i4>
      </vt:variant>
      <vt:variant>
        <vt:i4>0</vt:i4>
      </vt:variant>
      <vt:variant>
        <vt:i4>0</vt:i4>
      </vt:variant>
      <vt:variant>
        <vt:i4>5</vt:i4>
      </vt:variant>
      <vt:variant>
        <vt:lpwstr>https://motu-www.motu.org.nz/wpapers/19_17.pdf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and information issues and opportunities research paper</dc:title>
  <dc:subject>Digital and information accessibility system issues and opportunities</dc:subject>
  <dc:creator>Erikka Helliwell</dc:creator>
  <cp:keywords/>
  <dc:description>generated by python-docx</dc:description>
  <cp:lastModifiedBy>Erikka Helliwell</cp:lastModifiedBy>
  <cp:revision>39</cp:revision>
  <dcterms:created xsi:type="dcterms:W3CDTF">2026-09-03T21:03:00Z</dcterms:created>
  <dcterms:modified xsi:type="dcterms:W3CDTF">2026-10-01T02:57:00Z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3e46a9-9901-46e9-bfae-bb6189d4cb66_Enabled">
    <vt:lpwstr>true</vt:lpwstr>
  </property>
  <property fmtid="{D5CDD505-2E9C-101B-9397-08002B2CF9AE}" pid="3" name="MSIP_Label_f43e46a9-9901-46e9-bfae-bb6189d4cb66_SetDate">
    <vt:lpwstr>2026-07-15T04:09:12Z</vt:lpwstr>
  </property>
  <property fmtid="{D5CDD505-2E9C-101B-9397-08002B2CF9AE}" pid="4" name="MSIP_Label_f43e46a9-9901-46e9-bfae-bb6189d4cb66_Method">
    <vt:lpwstr>Standard</vt:lpwstr>
  </property>
  <property fmtid="{D5CDD505-2E9C-101B-9397-08002B2CF9AE}" pid="5" name="MSIP_Label_f43e46a9-9901-46e9-bfae-bb6189d4cb66_Name">
    <vt:lpwstr>In-confidence</vt:lpwstr>
  </property>
  <property fmtid="{D5CDD505-2E9C-101B-9397-08002B2CF9AE}" pid="6" name="MSIP_Label_f43e46a9-9901-46e9-bfae-bb6189d4cb66_SiteId">
    <vt:lpwstr>e40c4f52-99bd-4d4f-bf7e-d001a2ca6556</vt:lpwstr>
  </property>
  <property fmtid="{D5CDD505-2E9C-101B-9397-08002B2CF9AE}" pid="7" name="MSIP_Label_f43e46a9-9901-46e9-bfae-bb6189d4cb66_ActionId">
    <vt:lpwstr>946981be-c454-459c-ab66-5fa5a1390879</vt:lpwstr>
  </property>
  <property fmtid="{D5CDD505-2E9C-101B-9397-08002B2CF9AE}" pid="8" name="MSIP_Label_f43e46a9-9901-46e9-bfae-bb6189d4cb66_ContentBits">
    <vt:lpwstr>0</vt:lpwstr>
  </property>
  <property fmtid="{D5CDD505-2E9C-101B-9397-08002B2CF9AE}" pid="9" name="MediaServiceImageTags">
    <vt:lpwstr/>
  </property>
  <property fmtid="{D5CDD505-2E9C-101B-9397-08002B2CF9AE}" pid="10" name="ContentTypeId">
    <vt:lpwstr>0x0101000E43845AA5E63B45AFD79095EE223CAB</vt:lpwstr>
  </property>
  <property fmtid="{D5CDD505-2E9C-101B-9397-08002B2CF9AE}" pid="11" name="RevIMBCS">
    <vt:lpwstr/>
  </property>
  <property fmtid="{D5CDD505-2E9C-101B-9397-08002B2CF9AE}" pid="12" name="docLang">
    <vt:lpwstr>en</vt:lpwstr>
  </property>
  <property fmtid="{D5CDD505-2E9C-101B-9397-08002B2CF9AE}" pid="13" name="_dlc_DocIdItemGuid">
    <vt:lpwstr>66810f38-376f-4651-a45f-fda627a15b18</vt:lpwstr>
  </property>
</Properties>
</file>