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7000" w14:textId="1C2B95F2" w:rsidR="00D55E95" w:rsidRPr="00411BE5" w:rsidRDefault="008C1560" w:rsidP="00543A8E">
      <w:pPr>
        <w:pStyle w:val="Heading1"/>
        <w:rPr>
          <w:rFonts w:ascii="Verdana" w:eastAsia="Times New Roman" w:hAnsi="Verdana"/>
          <w:lang w:eastAsia="en-NZ"/>
        </w:rPr>
      </w:pPr>
      <w:r w:rsidRPr="00411BE5">
        <w:rPr>
          <w:rFonts w:ascii="Verdana" w:eastAsia="Times New Roman" w:hAnsi="Verdana"/>
          <w:lang w:eastAsia="en-NZ"/>
        </w:rPr>
        <w:t>Coversheet</w:t>
      </w:r>
    </w:p>
    <w:p w14:paraId="6DC22E9F" w14:textId="1F7D4015" w:rsidR="00411BE5" w:rsidRPr="00411BE5" w:rsidRDefault="00411BE5" w:rsidP="00411BE5">
      <w:pPr>
        <w:rPr>
          <w:lang w:eastAsia="en-NZ"/>
        </w:rPr>
      </w:pPr>
      <w:r w:rsidRPr="00411BE5">
        <w:rPr>
          <w:lang w:eastAsia="en-NZ"/>
        </w:rPr>
        <w:t>6 May 2025</w:t>
      </w:r>
    </w:p>
    <w:p w14:paraId="7632095C" w14:textId="63FFB226" w:rsidR="00543A8E" w:rsidRPr="00411BE5" w:rsidRDefault="00543A8E" w:rsidP="00543A8E">
      <w:pPr>
        <w:pStyle w:val="Heading3"/>
        <w:rPr>
          <w:lang w:eastAsia="en-NZ"/>
        </w:rPr>
      </w:pPr>
      <w:r w:rsidRPr="00411BE5">
        <w:rPr>
          <w:lang w:eastAsia="en-NZ"/>
        </w:rPr>
        <w:t>Public consultation - Draft New Zealand Sign Language (NZSL) Strategy</w:t>
      </w:r>
    </w:p>
    <w:p w14:paraId="3AA55983" w14:textId="6DF06512" w:rsidR="008C1560" w:rsidRPr="00411BE5" w:rsidRDefault="008C1560" w:rsidP="00D55E95">
      <w:pPr>
        <w:shd w:val="clear" w:color="auto" w:fill="FFFFFF"/>
        <w:spacing w:after="100" w:afterAutospacing="1" w:line="240" w:lineRule="auto"/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</w:pPr>
      <w:r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 xml:space="preserve">Hon Louise </w:t>
      </w:r>
      <w:proofErr w:type="spellStart"/>
      <w:r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Upston</w:t>
      </w:r>
      <w:proofErr w:type="spellEnd"/>
      <w:r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, Minister for Disability Issues</w:t>
      </w:r>
    </w:p>
    <w:p w14:paraId="51726C3A" w14:textId="2A88BCC7" w:rsidR="00D55E95" w:rsidRPr="00411BE5" w:rsidRDefault="00411BE5" w:rsidP="00D55E95">
      <w:pPr>
        <w:shd w:val="clear" w:color="auto" w:fill="FFFFFF"/>
        <w:spacing w:after="100" w:afterAutospacing="1" w:line="240" w:lineRule="auto"/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</w:pPr>
      <w:r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The following</w:t>
      </w:r>
      <w:r w:rsidR="00D55E95"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 xml:space="preserve"> documents have been proactively released</w:t>
      </w:r>
      <w:r w:rsidR="002B645D"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:</w:t>
      </w:r>
    </w:p>
    <w:p w14:paraId="4E2C35E5" w14:textId="06DE96D0" w:rsidR="008C1560" w:rsidRPr="00411BE5" w:rsidRDefault="00543A8E" w:rsidP="00543A8E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eastAsia="Times New Roman" w:cs="Open Sans"/>
          <w:b/>
          <w:bCs/>
          <w:color w:val="212529"/>
          <w:kern w:val="0"/>
          <w:sz w:val="27"/>
          <w:szCs w:val="27"/>
          <w:lang w:eastAsia="en-NZ"/>
          <w14:ligatures w14:val="none"/>
        </w:rPr>
      </w:pPr>
      <w:r w:rsidRPr="00411BE5">
        <w:rPr>
          <w:rFonts w:eastAsia="Times New Roman" w:cs="Open Sans"/>
          <w:b/>
          <w:bCs/>
          <w:color w:val="212529"/>
          <w:kern w:val="0"/>
          <w:sz w:val="27"/>
          <w:szCs w:val="27"/>
          <w:lang w:eastAsia="en-NZ"/>
          <w14:ligatures w14:val="none"/>
        </w:rPr>
        <w:t>2 April 2025, Cabinet Social Outcomes Committee Minute of Decision, SOU-25-MIN-0031 Draft New Zealand Sign Language (NZSL) Strategy: Public Consultation</w:t>
      </w:r>
    </w:p>
    <w:p w14:paraId="480248D9" w14:textId="244C6056" w:rsidR="00543A8E" w:rsidRPr="00411BE5" w:rsidRDefault="00543A8E" w:rsidP="00543A8E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eastAsia="Times New Roman" w:cs="Open Sans"/>
          <w:b/>
          <w:bCs/>
          <w:color w:val="212529"/>
          <w:kern w:val="0"/>
          <w:sz w:val="27"/>
          <w:szCs w:val="27"/>
          <w:lang w:eastAsia="en-NZ"/>
          <w14:ligatures w14:val="none"/>
        </w:rPr>
      </w:pPr>
      <w:r w:rsidRPr="00411BE5">
        <w:rPr>
          <w:rFonts w:eastAsia="Times New Roman" w:cs="Open Sans"/>
          <w:b/>
          <w:bCs/>
          <w:color w:val="212529"/>
          <w:kern w:val="0"/>
          <w:sz w:val="27"/>
          <w:szCs w:val="27"/>
          <w:lang w:eastAsia="en-NZ"/>
          <w14:ligatures w14:val="none"/>
        </w:rPr>
        <w:t xml:space="preserve">2 April </w:t>
      </w:r>
      <w:proofErr w:type="gramStart"/>
      <w:r w:rsidRPr="00411BE5">
        <w:rPr>
          <w:rFonts w:eastAsia="Times New Roman" w:cs="Open Sans"/>
          <w:b/>
          <w:bCs/>
          <w:color w:val="212529"/>
          <w:kern w:val="0"/>
          <w:sz w:val="27"/>
          <w:szCs w:val="27"/>
          <w:lang w:eastAsia="en-NZ"/>
          <w14:ligatures w14:val="none"/>
        </w:rPr>
        <w:t>2025,  Public</w:t>
      </w:r>
      <w:proofErr w:type="gramEnd"/>
      <w:r w:rsidRPr="00411BE5">
        <w:rPr>
          <w:rFonts w:eastAsia="Times New Roman" w:cs="Open Sans"/>
          <w:b/>
          <w:bCs/>
          <w:color w:val="212529"/>
          <w:kern w:val="0"/>
          <w:sz w:val="27"/>
          <w:szCs w:val="27"/>
          <w:lang w:eastAsia="en-NZ"/>
          <w14:ligatures w14:val="none"/>
        </w:rPr>
        <w:t xml:space="preserve"> consultation - Draft New Zealand Sign Language (NZSL) Strategy</w:t>
      </w:r>
    </w:p>
    <w:p w14:paraId="279CBCFD" w14:textId="494A7F5E" w:rsidR="00D55E95" w:rsidRPr="00411BE5" w:rsidRDefault="008C1560" w:rsidP="00D55E95">
      <w:pPr>
        <w:shd w:val="clear" w:color="auto" w:fill="FFFFFF"/>
        <w:spacing w:after="100" w:afterAutospacing="1" w:line="240" w:lineRule="auto"/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</w:pPr>
      <w:r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S</w:t>
      </w:r>
      <w:r w:rsidR="00D55E95"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 xml:space="preserve">ome parts of this information release would not be appropriate to release and, if requested, would be withheld under the Official Information Act 1982 (the </w:t>
      </w:r>
      <w:r w:rsidR="00543A8E"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OIA</w:t>
      </w:r>
      <w:r w:rsidR="00D55E95"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 xml:space="preserve">). Where this is the case, the relevant sections of the </w:t>
      </w:r>
      <w:r w:rsidR="00543A8E"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OIA</w:t>
      </w:r>
      <w:r w:rsidR="00D55E95"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 xml:space="preserve"> that would apply have been identified. Where information has been withheld, no public interest has been identified that would outweigh the reasons for withholding it.</w:t>
      </w:r>
    </w:p>
    <w:p w14:paraId="61D97DA6" w14:textId="3A498A49" w:rsidR="008C1560" w:rsidRPr="00411BE5" w:rsidRDefault="00D55E95" w:rsidP="00D55E95">
      <w:pPr>
        <w:shd w:val="clear" w:color="auto" w:fill="FFFFFF"/>
        <w:spacing w:after="100" w:afterAutospacing="1" w:line="240" w:lineRule="auto"/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</w:pPr>
      <w:r w:rsidRPr="00411BE5">
        <w:rPr>
          <w:rFonts w:eastAsia="Times New Roman" w:cs="Open Sans"/>
          <w:b/>
          <w:bCs/>
          <w:color w:val="212529"/>
          <w:kern w:val="0"/>
          <w:sz w:val="27"/>
          <w:szCs w:val="27"/>
          <w:lang w:eastAsia="en-NZ"/>
          <w14:ligatures w14:val="none"/>
        </w:rPr>
        <w:t>Key to Redaction Codes</w:t>
      </w:r>
      <w:r w:rsidR="008C1560"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:</w:t>
      </w:r>
    </w:p>
    <w:p w14:paraId="21B2BC32" w14:textId="661B413D" w:rsidR="008C1560" w:rsidRPr="00411BE5" w:rsidRDefault="008C1560" w:rsidP="00D55E95">
      <w:pPr>
        <w:shd w:val="clear" w:color="auto" w:fill="FFFFFF"/>
        <w:spacing w:after="100" w:afterAutospacing="1" w:line="240" w:lineRule="auto"/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</w:pPr>
      <w:r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9(2)(f)(iv)</w:t>
      </w:r>
      <w:r w:rsid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 xml:space="preserve"> of the OIA</w:t>
      </w:r>
      <w:r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>:</w:t>
      </w:r>
      <w:r w:rsidR="00543A8E" w:rsidRPr="00411BE5">
        <w:rPr>
          <w:rFonts w:eastAsia="Times New Roman" w:cs="Open Sans"/>
          <w:color w:val="212529"/>
          <w:kern w:val="0"/>
          <w:sz w:val="27"/>
          <w:szCs w:val="27"/>
          <w:lang w:eastAsia="en-NZ"/>
          <w14:ligatures w14:val="none"/>
        </w:rPr>
        <w:t xml:space="preserve"> maintain the constitutional conventions for the time being which protect the confidentiality of advice tendered by Ministers of the Crown and officials.</w:t>
      </w:r>
    </w:p>
    <w:p w14:paraId="3194B8B4" w14:textId="203491E9" w:rsidR="00F829F6" w:rsidRPr="00411BE5" w:rsidRDefault="00806953" w:rsidP="00F113EF">
      <w:hyperlink r:id="rId8" w:tgtFrame="_blank" w:tooltip="(opens in a new window)" w:history="1">
        <w:r w:rsidR="008C1560" w:rsidRPr="00411BE5">
          <w:rPr>
            <w:rStyle w:val="Hyperlink"/>
            <w:rFonts w:cs="Open Sans"/>
            <w:color w:val="005EA5"/>
            <w:sz w:val="27"/>
            <w:szCs w:val="27"/>
            <w:shd w:val="clear" w:color="auto" w:fill="FFFFFF"/>
          </w:rPr>
          <w:t>© Crown Copyright, Creative Commons Attribution 4.0 International (CC BY 4.0)</w:t>
        </w:r>
      </w:hyperlink>
    </w:p>
    <w:sectPr w:rsidR="00F829F6" w:rsidRPr="00411BE5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16A1" w14:textId="77777777" w:rsidR="00543A8E" w:rsidRDefault="00543A8E" w:rsidP="00543A8E">
      <w:pPr>
        <w:spacing w:after="0" w:line="240" w:lineRule="auto"/>
      </w:pPr>
      <w:r>
        <w:separator/>
      </w:r>
    </w:p>
  </w:endnote>
  <w:endnote w:type="continuationSeparator" w:id="0">
    <w:p w14:paraId="4935CF1F" w14:textId="77777777" w:rsidR="00543A8E" w:rsidRDefault="00543A8E" w:rsidP="0054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6CE7" w14:textId="77777777" w:rsidR="00543A8E" w:rsidRDefault="00543A8E" w:rsidP="00543A8E">
      <w:pPr>
        <w:spacing w:after="0" w:line="240" w:lineRule="auto"/>
      </w:pPr>
      <w:r>
        <w:separator/>
      </w:r>
    </w:p>
  </w:footnote>
  <w:footnote w:type="continuationSeparator" w:id="0">
    <w:p w14:paraId="596D0D94" w14:textId="77777777" w:rsidR="00543A8E" w:rsidRDefault="00543A8E" w:rsidP="0054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7AC2" w14:textId="0F9B0535" w:rsidR="00543A8E" w:rsidRDefault="00543A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2368C4" wp14:editId="1B43EF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649445381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76D2D" w14:textId="3CD41E88" w:rsidR="00543A8E" w:rsidRPr="00543A8E" w:rsidRDefault="00543A8E" w:rsidP="00543A8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3A8E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36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A676D2D" w14:textId="3CD41E88" w:rsidR="00543A8E" w:rsidRPr="00543A8E" w:rsidRDefault="00543A8E" w:rsidP="00543A8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543A8E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BCF6" w14:textId="77777777" w:rsidR="00411BE5" w:rsidRDefault="00411BE5" w:rsidP="00411BE5">
    <w:pPr>
      <w:pStyle w:val="Header"/>
    </w:pPr>
    <w:r>
      <w:rPr>
        <w:noProof/>
      </w:rPr>
      <w:drawing>
        <wp:inline distT="0" distB="0" distL="0" distR="0" wp14:anchorId="07AC8E6E" wp14:editId="01E0D1F4">
          <wp:extent cx="5876556" cy="978410"/>
          <wp:effectExtent l="0" t="0" r="0" b="0"/>
          <wp:docPr id="1" name="Picture 1" descr="Whaikaha logo in purple with QR code of NZSL name at 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haikaha logo in purple with QR code of NZSL name at righ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556" cy="97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B1335" w14:textId="77777777" w:rsidR="00411BE5" w:rsidRDefault="00411BE5" w:rsidP="00411BE5">
    <w:pPr>
      <w:pStyle w:val="Header"/>
    </w:pPr>
    <w:r w:rsidRPr="00C70ADC">
      <w:t>Visual description: A purple Whaikaha logo with a QR scan for the NZSL name.</w:t>
    </w:r>
  </w:p>
  <w:p w14:paraId="56A44C50" w14:textId="5E9919D7" w:rsidR="00543A8E" w:rsidRDefault="00543A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8146F1" wp14:editId="2BE96FB8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03985509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FD4E9" w14:textId="101A5B0B" w:rsidR="00543A8E" w:rsidRPr="00543A8E" w:rsidRDefault="00543A8E" w:rsidP="00543A8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146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ADFD4E9" w14:textId="101A5B0B" w:rsidR="00543A8E" w:rsidRPr="00543A8E" w:rsidRDefault="00543A8E" w:rsidP="00543A8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685C" w14:textId="102F721A" w:rsidR="00543A8E" w:rsidRDefault="00543A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3900C0" wp14:editId="701A6C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664088700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19455" w14:textId="29543FAC" w:rsidR="00543A8E" w:rsidRPr="00543A8E" w:rsidRDefault="00543A8E" w:rsidP="00543A8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3A8E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900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D719455" w14:textId="29543FAC" w:rsidR="00543A8E" w:rsidRPr="00543A8E" w:rsidRDefault="00543A8E" w:rsidP="00543A8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543A8E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0F08F3"/>
    <w:multiLevelType w:val="hybridMultilevel"/>
    <w:tmpl w:val="0A90B4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68548824">
    <w:abstractNumId w:val="16"/>
  </w:num>
  <w:num w:numId="2" w16cid:durableId="3839110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945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583112">
    <w:abstractNumId w:val="14"/>
  </w:num>
  <w:num w:numId="5" w16cid:durableId="773473586">
    <w:abstractNumId w:val="9"/>
  </w:num>
  <w:num w:numId="6" w16cid:durableId="517038970">
    <w:abstractNumId w:val="7"/>
  </w:num>
  <w:num w:numId="7" w16cid:durableId="98644935">
    <w:abstractNumId w:val="22"/>
  </w:num>
  <w:num w:numId="8" w16cid:durableId="36799010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674820">
    <w:abstractNumId w:val="9"/>
  </w:num>
  <w:num w:numId="10" w16cid:durableId="361787361">
    <w:abstractNumId w:val="12"/>
  </w:num>
  <w:num w:numId="11" w16cid:durableId="86848839">
    <w:abstractNumId w:val="12"/>
  </w:num>
  <w:num w:numId="12" w16cid:durableId="2000033558">
    <w:abstractNumId w:val="9"/>
  </w:num>
  <w:num w:numId="13" w16cid:durableId="1845703109">
    <w:abstractNumId w:val="10"/>
  </w:num>
  <w:num w:numId="14" w16cid:durableId="75170377">
    <w:abstractNumId w:val="19"/>
  </w:num>
  <w:num w:numId="15" w16cid:durableId="2084328227">
    <w:abstractNumId w:val="13"/>
  </w:num>
  <w:num w:numId="16" w16cid:durableId="1283266920">
    <w:abstractNumId w:val="6"/>
  </w:num>
  <w:num w:numId="17" w16cid:durableId="2084644350">
    <w:abstractNumId w:val="5"/>
  </w:num>
  <w:num w:numId="18" w16cid:durableId="1550678477">
    <w:abstractNumId w:val="4"/>
  </w:num>
  <w:num w:numId="19" w16cid:durableId="1569681814">
    <w:abstractNumId w:val="8"/>
  </w:num>
  <w:num w:numId="20" w16cid:durableId="284430333">
    <w:abstractNumId w:val="3"/>
  </w:num>
  <w:num w:numId="21" w16cid:durableId="554003394">
    <w:abstractNumId w:val="2"/>
  </w:num>
  <w:num w:numId="22" w16cid:durableId="856503427">
    <w:abstractNumId w:val="1"/>
  </w:num>
  <w:num w:numId="23" w16cid:durableId="1745225075">
    <w:abstractNumId w:val="0"/>
  </w:num>
  <w:num w:numId="24" w16cid:durableId="1193883768">
    <w:abstractNumId w:val="15"/>
  </w:num>
  <w:num w:numId="25" w16cid:durableId="1080249959">
    <w:abstractNumId w:val="24"/>
  </w:num>
  <w:num w:numId="26" w16cid:durableId="1096945040">
    <w:abstractNumId w:val="26"/>
  </w:num>
  <w:num w:numId="27" w16cid:durableId="588465575">
    <w:abstractNumId w:val="23"/>
  </w:num>
  <w:num w:numId="28" w16cid:durableId="1907370930">
    <w:abstractNumId w:val="17"/>
  </w:num>
  <w:num w:numId="29" w16cid:durableId="2031176979">
    <w:abstractNumId w:val="11"/>
  </w:num>
  <w:num w:numId="30" w16cid:durableId="229928196">
    <w:abstractNumId w:val="18"/>
  </w:num>
  <w:num w:numId="31" w16cid:durableId="197158797">
    <w:abstractNumId w:val="27"/>
  </w:num>
  <w:num w:numId="32" w16cid:durableId="1495532435">
    <w:abstractNumId w:val="20"/>
  </w:num>
  <w:num w:numId="33" w16cid:durableId="10264485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95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B645D"/>
    <w:rsid w:val="002D1C62"/>
    <w:rsid w:val="002D367B"/>
    <w:rsid w:val="00354EC2"/>
    <w:rsid w:val="00397220"/>
    <w:rsid w:val="003B0A38"/>
    <w:rsid w:val="003E2869"/>
    <w:rsid w:val="003E3722"/>
    <w:rsid w:val="00411BE5"/>
    <w:rsid w:val="004227ED"/>
    <w:rsid w:val="00445BCE"/>
    <w:rsid w:val="00454F25"/>
    <w:rsid w:val="004710B8"/>
    <w:rsid w:val="00533E65"/>
    <w:rsid w:val="00543A8E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14974"/>
    <w:rsid w:val="00860654"/>
    <w:rsid w:val="008C1560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55E95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43640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CDBD1"/>
  <w15:chartTrackingRefBased/>
  <w15:docId w15:val="{29D5FB18-CF8A-4561-91A9-5714D637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qFormat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semiHidden/>
    <w:unhideWhenUsed/>
    <w:rsid w:val="008C15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A8E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Warren</dc:creator>
  <cp:keywords/>
  <dc:description/>
  <cp:lastModifiedBy>Sophie Warren</cp:lastModifiedBy>
  <cp:revision>2</cp:revision>
  <dcterms:created xsi:type="dcterms:W3CDTF">2025-05-05T00:02:00Z</dcterms:created>
  <dcterms:modified xsi:type="dcterms:W3CDTF">2025-05-05T00:02:00Z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2795307c,62508a05,c289265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2025-04-16T05:01:20Z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e1881e02-9f00-41dd-80d7-2dde7c3be6fe</vt:lpwstr>
  </property>
  <property fmtid="{D5CDD505-2E9C-101B-9397-08002B2CF9AE}" pid="11" name="MSIP_Label_f43e46a9-9901-46e9-bfae-bb6189d4cb66_ContentBits">
    <vt:lpwstr>1</vt:lpwstr>
  </property>
</Properties>
</file>