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:rsidR="008348B7" w:rsidRPr="00DD748F" w:rsidRDefault="00242284" w:rsidP="00242284">
            <w:pPr>
              <w:pStyle w:val="Title"/>
            </w:pPr>
            <w:bookmarkStart w:id="0" w:name="_GoBack"/>
            <w:bookmarkEnd w:id="0"/>
            <w:r>
              <w:t>Business Viability Standards</w:t>
            </w:r>
            <w:r w:rsidRPr="00242284">
              <w:rPr>
                <w:b w:val="0"/>
              </w:rPr>
              <w:br/>
              <w:t>For non-government organisation audit and review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373C" w:rsidRPr="00DD748F" w:rsidRDefault="00CD373C" w:rsidP="0092659B">
            <w:pPr>
              <w:spacing w:after="120"/>
              <w:jc w:val="right"/>
            </w:pPr>
          </w:p>
          <w:p w:rsidR="00423830" w:rsidRPr="00242284" w:rsidRDefault="00197D63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April</w:t>
            </w:r>
            <w:r w:rsidR="00242284" w:rsidRPr="00242284">
              <w:rPr>
                <w:rFonts w:cs="Segoe UI"/>
                <w:sz w:val="28"/>
                <w:szCs w:val="28"/>
              </w:rPr>
              <w:t xml:space="preserve"> 2019</w:t>
            </w:r>
          </w:p>
        </w:tc>
      </w:tr>
    </w:tbl>
    <w:p w:rsidR="008348B7" w:rsidRDefault="008348B7" w:rsidP="00A401D7">
      <w:pPr>
        <w:spacing w:after="360"/>
      </w:pPr>
    </w:p>
    <w:p w:rsidR="00242284" w:rsidRDefault="00242284" w:rsidP="00A401D7">
      <w:r>
        <w:t>The Business Viability Standards are a set of standards the Ministry of Health (the Ministry) uses to audit non-government organisations that the Ministry funds to deliver services.</w:t>
      </w:r>
    </w:p>
    <w:p w:rsidR="00A401D7" w:rsidRPr="00AD624E" w:rsidRDefault="00A401D7" w:rsidP="00A401D7"/>
    <w:p w:rsidR="00242284" w:rsidRDefault="00242284" w:rsidP="00A401D7">
      <w:r w:rsidRPr="00F17AC9">
        <w:t>(Note</w:t>
      </w:r>
      <w:r>
        <w:t>:</w:t>
      </w:r>
      <w:r w:rsidRPr="00F17AC9">
        <w:t xml:space="preserve"> for the purpose of these Business Viability Standards, </w:t>
      </w:r>
      <w:r w:rsidR="002334FA">
        <w:t>‘</w:t>
      </w:r>
      <w:r w:rsidR="00CE6883" w:rsidRPr="00F17AC9">
        <w:t>organisation</w:t>
      </w:r>
      <w:r w:rsidR="002334FA">
        <w:t xml:space="preserve">’ </w:t>
      </w:r>
      <w:r w:rsidR="00CE6883" w:rsidRPr="00F17AC9">
        <w:t>means</w:t>
      </w:r>
      <w:r w:rsidRPr="00F17AC9">
        <w:t xml:space="preserve"> the provider</w:t>
      </w:r>
      <w:r w:rsidR="00A401D7">
        <w:t>.</w:t>
      </w:r>
      <w:r w:rsidRPr="001949C3">
        <w:t>)</w:t>
      </w:r>
    </w:p>
    <w:p w:rsidR="00A401D7" w:rsidRPr="001949C3" w:rsidRDefault="00A401D7" w:rsidP="00A401D7"/>
    <w:p w:rsidR="00242284" w:rsidRPr="00422C76" w:rsidRDefault="00242284" w:rsidP="00A401D7">
      <w:pPr>
        <w:pStyle w:val="Heading1"/>
      </w:pPr>
      <w:r w:rsidRPr="00422C76">
        <w:t xml:space="preserve">Financial </w:t>
      </w:r>
      <w:r>
        <w:t>m</w:t>
      </w:r>
      <w:r w:rsidRPr="00422C76">
        <w:t xml:space="preserve">anagement and </w:t>
      </w:r>
      <w:r>
        <w:t>s</w:t>
      </w:r>
      <w:r w:rsidRPr="00422C76">
        <w:t>ystems</w:t>
      </w:r>
    </w:p>
    <w:p w:rsidR="00242284" w:rsidRPr="001949C3" w:rsidRDefault="00242284" w:rsidP="00A401D7">
      <w:r w:rsidRPr="00F17AC9">
        <w:t>The organisation is financially viable and manages its finances competently.</w:t>
      </w:r>
    </w:p>
    <w:p w:rsidR="00242284" w:rsidRPr="00422C76" w:rsidRDefault="00242284" w:rsidP="00A401D7">
      <w:pPr>
        <w:pStyle w:val="Number"/>
      </w:pPr>
      <w:r w:rsidRPr="00422C76">
        <w:t>The organisation is solvent.</w:t>
      </w:r>
    </w:p>
    <w:p w:rsidR="00242284" w:rsidRPr="00422C76" w:rsidRDefault="00242284" w:rsidP="00A401D7">
      <w:pPr>
        <w:pStyle w:val="Number"/>
      </w:pPr>
      <w:r w:rsidRPr="00422C76">
        <w:t>The organisation has a financial management system appropriate to the size and complexity of the organisation.</w:t>
      </w:r>
    </w:p>
    <w:p w:rsidR="00242284" w:rsidRPr="00422C76" w:rsidRDefault="00242284" w:rsidP="00A401D7">
      <w:pPr>
        <w:pStyle w:val="Number"/>
      </w:pPr>
      <w:r w:rsidRPr="00422C76">
        <w:t xml:space="preserve">The organisation has an appropriate accounting system in use </w:t>
      </w:r>
      <w:r>
        <w:t>that</w:t>
      </w:r>
      <w:r w:rsidRPr="00422C76">
        <w:t xml:space="preserve"> produces accurate and timely financial statements.</w:t>
      </w:r>
    </w:p>
    <w:p w:rsidR="00242284" w:rsidRPr="00422C76" w:rsidRDefault="00242284" w:rsidP="00A401D7">
      <w:pPr>
        <w:pStyle w:val="Number"/>
      </w:pPr>
      <w:r w:rsidRPr="00422C76">
        <w:t>The organisation has arrangements for the regular independent audit/review of financial accounts</w:t>
      </w:r>
      <w:r>
        <w:t xml:space="preserve"> in accordance with legislative and regulatory requirements and the organisation’s constitutional requirements</w:t>
      </w:r>
      <w:r w:rsidRPr="00422C76">
        <w:t>.</w:t>
      </w:r>
    </w:p>
    <w:p w:rsidR="00242284" w:rsidRDefault="00242284" w:rsidP="00A401D7">
      <w:pPr>
        <w:pStyle w:val="Number"/>
      </w:pPr>
      <w:r w:rsidRPr="00887B0A">
        <w:t>The organisation undertakes forward financial planning (forecasting) to show that the organisation will remain financially viable.</w:t>
      </w:r>
    </w:p>
    <w:p w:rsidR="00A401D7" w:rsidRPr="00887B0A" w:rsidRDefault="00A401D7" w:rsidP="00A401D7"/>
    <w:p w:rsidR="00242284" w:rsidRPr="00422C76" w:rsidRDefault="00242284" w:rsidP="00A401D7">
      <w:pPr>
        <w:pStyle w:val="Heading1"/>
      </w:pPr>
      <w:r w:rsidRPr="00422C76">
        <w:t xml:space="preserve">Resolution of </w:t>
      </w:r>
      <w:r>
        <w:t>c</w:t>
      </w:r>
      <w:r w:rsidRPr="00422C76">
        <w:t xml:space="preserve">omplaints related to </w:t>
      </w:r>
      <w:r>
        <w:t>s</w:t>
      </w:r>
      <w:r w:rsidRPr="00422C76">
        <w:t xml:space="preserve">ervice </w:t>
      </w:r>
      <w:r>
        <w:t>p</w:t>
      </w:r>
      <w:r w:rsidRPr="00422C76">
        <w:t>rovision</w:t>
      </w:r>
    </w:p>
    <w:p w:rsidR="00242284" w:rsidRPr="00F17AC9" w:rsidRDefault="00242284" w:rsidP="00A401D7">
      <w:r w:rsidRPr="00F17AC9">
        <w:t>The organisation uses a process to resolve complaints regarding service provision.</w:t>
      </w:r>
    </w:p>
    <w:p w:rsidR="00242284" w:rsidRPr="00422C76" w:rsidRDefault="00242284" w:rsidP="00A401D7">
      <w:pPr>
        <w:pStyle w:val="Number"/>
      </w:pPr>
      <w:r w:rsidRPr="00422C76">
        <w:t>The organisation has a formal process for receiving, considering and resolving complaints that is soundly based in law and consistent with the principles of natural justice.</w:t>
      </w:r>
    </w:p>
    <w:p w:rsidR="00242284" w:rsidRPr="00422C76" w:rsidRDefault="00A401D7" w:rsidP="00A401D7">
      <w:pPr>
        <w:pStyle w:val="Number"/>
      </w:pPr>
      <w:r>
        <w:t>T</w:t>
      </w:r>
      <w:r w:rsidR="00242284" w:rsidRPr="00422C76">
        <w:t xml:space="preserve">he organisation ensures that its clients (this refers to </w:t>
      </w:r>
      <w:r w:rsidR="00242284">
        <w:t>p</w:t>
      </w:r>
      <w:r w:rsidR="00242284" w:rsidRPr="00422C76">
        <w:t>eople, their family, whānau, guardians and carers) and staff are aware of the formal complaints process.</w:t>
      </w:r>
    </w:p>
    <w:p w:rsidR="00242284" w:rsidRDefault="00242284" w:rsidP="00A401D7">
      <w:pPr>
        <w:pStyle w:val="Number"/>
      </w:pPr>
      <w:r w:rsidRPr="00422C76">
        <w:t>The organisation maintains records of all complaints and the formal application of the complaints process.</w:t>
      </w:r>
    </w:p>
    <w:p w:rsidR="00A401D7" w:rsidRPr="00422C76" w:rsidRDefault="00A401D7" w:rsidP="00A401D7"/>
    <w:p w:rsidR="00242284" w:rsidRPr="00422C76" w:rsidRDefault="00242284" w:rsidP="00A401D7">
      <w:pPr>
        <w:pStyle w:val="Heading1"/>
      </w:pPr>
      <w:r w:rsidRPr="00422C76">
        <w:lastRenderedPageBreak/>
        <w:t>Staffing</w:t>
      </w:r>
    </w:p>
    <w:p w:rsidR="00242284" w:rsidRPr="00F17AC9" w:rsidRDefault="00242284" w:rsidP="00A401D7">
      <w:r w:rsidRPr="00F17AC9">
        <w:t>The organisation has a sufficient body of qualified and competent staff both to deliver and to support the delivery of its services.</w:t>
      </w:r>
    </w:p>
    <w:p w:rsidR="00242284" w:rsidRPr="00A401D7" w:rsidRDefault="00242284" w:rsidP="00A401D7">
      <w:pPr>
        <w:pStyle w:val="Number"/>
      </w:pPr>
      <w:r w:rsidRPr="00B8535E">
        <w:t>The organisation’s staffing and staff relations policy and procedures comply with the relevant legislation.</w:t>
      </w:r>
    </w:p>
    <w:p w:rsidR="00242284" w:rsidRPr="00B8535E" w:rsidRDefault="00242284" w:rsidP="00A401D7">
      <w:pPr>
        <w:pStyle w:val="Number"/>
      </w:pPr>
      <w:r w:rsidRPr="00B8535E">
        <w:t>The organisation includes in its definition of staff anyone the organisation relies on to deliver its services. This includes caregivers, volunteers and contractors as well as paid staff members.</w:t>
      </w:r>
    </w:p>
    <w:p w:rsidR="00242284" w:rsidRPr="00B8535E" w:rsidRDefault="00242284" w:rsidP="00A401D7">
      <w:pPr>
        <w:pStyle w:val="Number"/>
      </w:pPr>
      <w:r w:rsidRPr="00B8535E">
        <w:t xml:space="preserve">The organisation has a clear, transparent and open process for recruiting and vetting staff. Vetting of staff </w:t>
      </w:r>
      <w:r>
        <w:t>should</w:t>
      </w:r>
      <w:r w:rsidRPr="00B8535E">
        <w:t xml:space="preserve"> include a </w:t>
      </w:r>
      <w:r>
        <w:t xml:space="preserve">Ministry of Justice check for offences and a </w:t>
      </w:r>
      <w:r w:rsidRPr="00B8535E">
        <w:t xml:space="preserve">police check for </w:t>
      </w:r>
      <w:r>
        <w:t>vulnerable children vetting (when applicable)</w:t>
      </w:r>
      <w:r w:rsidRPr="00B8535E">
        <w:t>.</w:t>
      </w:r>
    </w:p>
    <w:p w:rsidR="00242284" w:rsidRPr="00B8535E" w:rsidRDefault="00242284" w:rsidP="00A401D7">
      <w:pPr>
        <w:pStyle w:val="Number"/>
      </w:pPr>
      <w:r w:rsidRPr="00B8535E">
        <w:t>The organisation does not employ any person in a paid or voluntary capacity, including management committees, who has a conviction for sexual crimes or for any offence involving the harm or exploitation of children.</w:t>
      </w:r>
    </w:p>
    <w:p w:rsidR="00242284" w:rsidRPr="00B8535E" w:rsidRDefault="00242284" w:rsidP="00A401D7">
      <w:pPr>
        <w:pStyle w:val="Number"/>
      </w:pPr>
      <w:r w:rsidRPr="00B8535E">
        <w:t>Unless there are exceptional circumstances</w:t>
      </w:r>
      <w:r>
        <w:t xml:space="preserve"> that have been notified in writing to the Ministry</w:t>
      </w:r>
      <w:r w:rsidRPr="00B8535E">
        <w:t>, the organisation does not employ any person in a paid or voluntary capacity, including management committees, who has a conviction for crimes of violence against the person or dishonesty.</w:t>
      </w:r>
    </w:p>
    <w:p w:rsidR="00242284" w:rsidRPr="00B8535E" w:rsidRDefault="00242284" w:rsidP="00A401D7">
      <w:pPr>
        <w:pStyle w:val="Number"/>
      </w:pPr>
      <w:r w:rsidRPr="00B8535E">
        <w:t>The organisation has a written agreement of service with all staff, including volunteers, contractors and caregivers.</w:t>
      </w:r>
    </w:p>
    <w:p w:rsidR="00242284" w:rsidRPr="00B8535E" w:rsidRDefault="00242284" w:rsidP="00A401D7">
      <w:pPr>
        <w:pStyle w:val="Number"/>
      </w:pPr>
      <w:r w:rsidRPr="00B8535E">
        <w:t>The organisation provides adequate training, professional development and support for all staff.</w:t>
      </w:r>
    </w:p>
    <w:p w:rsidR="00242284" w:rsidRDefault="00242284" w:rsidP="00A401D7">
      <w:pPr>
        <w:pStyle w:val="Number"/>
      </w:pPr>
      <w:r w:rsidRPr="00B8535E">
        <w:t>The organisation uses an effective performance management system for all staff.</w:t>
      </w:r>
    </w:p>
    <w:p w:rsidR="00A401D7" w:rsidRPr="00B8535E" w:rsidRDefault="00A401D7" w:rsidP="00A401D7"/>
    <w:p w:rsidR="00242284" w:rsidRPr="00422C76" w:rsidRDefault="00242284" w:rsidP="00A401D7">
      <w:pPr>
        <w:pStyle w:val="Heading1"/>
      </w:pPr>
      <w:r w:rsidRPr="00422C76">
        <w:t>Health and safety</w:t>
      </w:r>
    </w:p>
    <w:p w:rsidR="00242284" w:rsidRPr="00F17AC9" w:rsidRDefault="00242284" w:rsidP="00A401D7">
      <w:r w:rsidRPr="00F17AC9">
        <w:t>The organisation ensures that people, staff and visitors are protected from risk.</w:t>
      </w:r>
    </w:p>
    <w:p w:rsidR="00242284" w:rsidRPr="00422C76" w:rsidRDefault="00242284" w:rsidP="00A401D7">
      <w:pPr>
        <w:pStyle w:val="Number"/>
      </w:pPr>
      <w:r w:rsidRPr="00422C76">
        <w:t>The organisation ensures that its premises comply with all legal requirements.</w:t>
      </w:r>
    </w:p>
    <w:p w:rsidR="00242284" w:rsidRPr="00422C76" w:rsidRDefault="00242284" w:rsidP="00A401D7">
      <w:pPr>
        <w:pStyle w:val="Number"/>
      </w:pPr>
      <w:r w:rsidRPr="00422C76">
        <w:t>The organisation provides and maintains a safe physical and emotional environment for all who enter its premises and any other premises that it uses for service delivery.</w:t>
      </w:r>
    </w:p>
    <w:p w:rsidR="00242284" w:rsidRPr="00422C76" w:rsidRDefault="00242284" w:rsidP="00A401D7">
      <w:pPr>
        <w:pStyle w:val="Number"/>
      </w:pPr>
      <w:r w:rsidRPr="00422C76">
        <w:t>The organisation ensures the safety of any children being supervised on the premises while their parents or caregivers receive services.</w:t>
      </w:r>
    </w:p>
    <w:p w:rsidR="00242284" w:rsidRPr="00422C76" w:rsidRDefault="00242284" w:rsidP="00A401D7">
      <w:pPr>
        <w:pStyle w:val="Number"/>
      </w:pPr>
      <w:r w:rsidRPr="00422C76">
        <w:t>The organisation has safety and emergency plans for the evacuation of its premises and any other premises that it uses for service delivery.</w:t>
      </w:r>
    </w:p>
    <w:p w:rsidR="00242284" w:rsidRPr="00422C76" w:rsidRDefault="00242284" w:rsidP="00A401D7">
      <w:pPr>
        <w:pStyle w:val="Number"/>
      </w:pPr>
      <w:r w:rsidRPr="00422C76">
        <w:t>The organisation maintains a register of accidents and incidents and occasions of serious harm to staff, visitors and others in the workplace.</w:t>
      </w:r>
    </w:p>
    <w:p w:rsidR="00242284" w:rsidRPr="001949C3" w:rsidRDefault="00242284" w:rsidP="00A401D7">
      <w:pPr>
        <w:pStyle w:val="Number"/>
        <w:keepLines/>
        <w:rPr>
          <w:color w:val="000000"/>
        </w:rPr>
      </w:pPr>
      <w:r w:rsidRPr="00422C76">
        <w:rPr>
          <w:color w:val="000000"/>
        </w:rPr>
        <w:lastRenderedPageBreak/>
        <w:t xml:space="preserve">The organisation notifies </w:t>
      </w:r>
      <w:proofErr w:type="spellStart"/>
      <w:r w:rsidRPr="00422C76">
        <w:rPr>
          <w:color w:val="000000"/>
        </w:rPr>
        <w:t>WorkSafe</w:t>
      </w:r>
      <w:proofErr w:type="spellEnd"/>
      <w:r w:rsidRPr="00422C76">
        <w:rPr>
          <w:color w:val="000000"/>
        </w:rPr>
        <w:t xml:space="preserve"> as soon as possible of any incident </w:t>
      </w:r>
      <w:r>
        <w:rPr>
          <w:color w:val="000000"/>
        </w:rPr>
        <w:t>that</w:t>
      </w:r>
      <w:r w:rsidRPr="00422C76">
        <w:rPr>
          <w:color w:val="000000"/>
        </w:rPr>
        <w:t xml:space="preserve"> falls within the definition of serious harm, as defined in the Health and Safety in Employment Act 1992, and provides written confirmation of the incident within seven days. </w:t>
      </w:r>
      <w:r w:rsidRPr="00F17AC9">
        <w:rPr>
          <w:color w:val="000000"/>
        </w:rPr>
        <w:t xml:space="preserve">(Note: the obligation to notify the purchasing agency of such incidents of serious harm is via the Critical Incident Reporting </w:t>
      </w:r>
      <w:r>
        <w:rPr>
          <w:color w:val="000000"/>
        </w:rPr>
        <w:t>f</w:t>
      </w:r>
      <w:r w:rsidRPr="00F17AC9">
        <w:rPr>
          <w:color w:val="000000"/>
        </w:rPr>
        <w:t>orm).</w:t>
      </w:r>
    </w:p>
    <w:p w:rsidR="00242284" w:rsidRDefault="00242284" w:rsidP="00A401D7">
      <w:pPr>
        <w:pStyle w:val="Number"/>
      </w:pPr>
      <w:r w:rsidRPr="00422C76">
        <w:t>The organisation ensures that its staff and caregivers do not use methods of discipline or control that involve physical or emotional punishment</w:t>
      </w:r>
      <w:r w:rsidRPr="00A401D7">
        <w:t>.</w:t>
      </w:r>
    </w:p>
    <w:p w:rsidR="00A401D7" w:rsidRPr="00A401D7" w:rsidRDefault="00A401D7" w:rsidP="00A401D7"/>
    <w:p w:rsidR="00242284" w:rsidRPr="00422C76" w:rsidRDefault="00242284" w:rsidP="00A401D7">
      <w:pPr>
        <w:pStyle w:val="Heading1"/>
      </w:pPr>
      <w:r w:rsidRPr="00422C76">
        <w:t xml:space="preserve">Management </w:t>
      </w:r>
      <w:r>
        <w:t>s</w:t>
      </w:r>
      <w:r w:rsidRPr="00422C76">
        <w:t xml:space="preserve">tructures and </w:t>
      </w:r>
      <w:r>
        <w:t>s</w:t>
      </w:r>
      <w:r w:rsidRPr="00422C76">
        <w:t>ystems</w:t>
      </w:r>
    </w:p>
    <w:p w:rsidR="00242284" w:rsidRPr="00F17AC9" w:rsidRDefault="00242284" w:rsidP="00A401D7">
      <w:r w:rsidRPr="00F17AC9">
        <w:t>The organisation has a clearly defined management structure and effective management systems.</w:t>
      </w:r>
    </w:p>
    <w:p w:rsidR="00242284" w:rsidRPr="00422C76" w:rsidRDefault="00242284" w:rsidP="00A401D7">
      <w:pPr>
        <w:pStyle w:val="Number"/>
      </w:pPr>
      <w:r w:rsidRPr="00422C76">
        <w:t>The organisation has a defined and current legal status.</w:t>
      </w:r>
    </w:p>
    <w:p w:rsidR="00242284" w:rsidRPr="00422C76" w:rsidRDefault="00242284" w:rsidP="00A401D7">
      <w:pPr>
        <w:pStyle w:val="Number"/>
      </w:pPr>
      <w:r w:rsidRPr="00422C76">
        <w:t>The organisation has an appropriate and clearly defined governance and management structure, the written record of which shows authorities, responsibilities and accountabilities.</w:t>
      </w:r>
    </w:p>
    <w:p w:rsidR="00242284" w:rsidRDefault="00242284" w:rsidP="00A401D7">
      <w:pPr>
        <w:pStyle w:val="Number"/>
      </w:pPr>
      <w:r w:rsidRPr="00422C76">
        <w:t xml:space="preserve">The organisation has a process for </w:t>
      </w:r>
      <w:r>
        <w:t xml:space="preserve">identifying and </w:t>
      </w:r>
      <w:r w:rsidRPr="00422C76">
        <w:t>managing potential conflicts of interest</w:t>
      </w:r>
      <w:r>
        <w:t>, including but not limited to:</w:t>
      </w:r>
    </w:p>
    <w:p w:rsidR="00242284" w:rsidRDefault="00242284" w:rsidP="00A401D7">
      <w:pPr>
        <w:pStyle w:val="Letter"/>
      </w:pPr>
      <w:r>
        <w:t>any member with a governance or management</w:t>
      </w:r>
      <w:r w:rsidRPr="00422C76">
        <w:t xml:space="preserve"> </w:t>
      </w:r>
      <w:r>
        <w:t>role (or their family or friends) having a personal or financial interest that may be in conflict with the in</w:t>
      </w:r>
      <w:r w:rsidR="00A401D7">
        <w:t>terests of the organisation, or</w:t>
      </w:r>
    </w:p>
    <w:p w:rsidR="00242284" w:rsidRPr="00422C76" w:rsidRDefault="00242284" w:rsidP="00A401D7">
      <w:pPr>
        <w:pStyle w:val="Letter"/>
      </w:pPr>
      <w:proofErr w:type="gramStart"/>
      <w:r w:rsidRPr="00422C76">
        <w:t>between</w:t>
      </w:r>
      <w:proofErr w:type="gramEnd"/>
      <w:r w:rsidRPr="00422C76">
        <w:t xml:space="preserve"> governance and management roles that ensure that each of those roles is carried out appropriately.</w:t>
      </w:r>
    </w:p>
    <w:p w:rsidR="00242284" w:rsidRPr="00422C76" w:rsidRDefault="00242284" w:rsidP="00A401D7">
      <w:pPr>
        <w:pStyle w:val="Number"/>
      </w:pPr>
      <w:r w:rsidRPr="00422C76">
        <w:t>The organisation is governed by people with appropriate skills, qualifications and personal qualities.</w:t>
      </w:r>
    </w:p>
    <w:p w:rsidR="00242284" w:rsidRPr="00422C76" w:rsidRDefault="00242284" w:rsidP="00A401D7">
      <w:pPr>
        <w:pStyle w:val="Number"/>
      </w:pPr>
      <w:r w:rsidRPr="00422C76">
        <w:t>The organisation’s management systems, policies and procedures are consistent with:</w:t>
      </w:r>
    </w:p>
    <w:p w:rsidR="00242284" w:rsidRPr="00422C76" w:rsidRDefault="00242284" w:rsidP="00A401D7">
      <w:pPr>
        <w:pStyle w:val="Letter"/>
      </w:pPr>
      <w:r>
        <w:t>i</w:t>
      </w:r>
      <w:r w:rsidRPr="00422C76">
        <w:t>ts legal status, constitution, rules, charter or Act of Parliament</w:t>
      </w:r>
    </w:p>
    <w:p w:rsidR="00242284" w:rsidRPr="00422C76" w:rsidRDefault="00242284" w:rsidP="00A401D7">
      <w:pPr>
        <w:pStyle w:val="Letter"/>
      </w:pPr>
      <w:r>
        <w:t>t</w:t>
      </w:r>
      <w:r w:rsidRPr="00422C76">
        <w:t>he aims, philosophy and scope of its activities</w:t>
      </w:r>
    </w:p>
    <w:p w:rsidR="00242284" w:rsidRPr="00422C76" w:rsidRDefault="00242284" w:rsidP="00A401D7">
      <w:pPr>
        <w:pStyle w:val="Letter"/>
      </w:pPr>
      <w:r>
        <w:t>i</w:t>
      </w:r>
      <w:r w:rsidRPr="00422C76">
        <w:t>ts management structure</w:t>
      </w:r>
    </w:p>
    <w:p w:rsidR="00242284" w:rsidRDefault="00242284" w:rsidP="00A401D7">
      <w:pPr>
        <w:pStyle w:val="Letter"/>
      </w:pPr>
      <w:r>
        <w:t>r</w:t>
      </w:r>
      <w:r w:rsidRPr="00422C76">
        <w:t>elevant legislation</w:t>
      </w:r>
    </w:p>
    <w:p w:rsidR="00242284" w:rsidRPr="00887B0A" w:rsidRDefault="00242284" w:rsidP="00A401D7">
      <w:pPr>
        <w:pStyle w:val="Letter"/>
      </w:pPr>
      <w:proofErr w:type="gramStart"/>
      <w:r>
        <w:t>contrac</w:t>
      </w:r>
      <w:r w:rsidRPr="00422C76">
        <w:t>tual</w:t>
      </w:r>
      <w:proofErr w:type="gramEnd"/>
      <w:r w:rsidRPr="00422C76">
        <w:t xml:space="preserve"> obligations.</w:t>
      </w:r>
    </w:p>
    <w:p w:rsidR="00783D9C" w:rsidRPr="00DD748F" w:rsidRDefault="00783D9C" w:rsidP="00A401D7"/>
    <w:p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5EB59CDD" wp14:editId="784FA6E5">
            <wp:extent cx="1346835" cy="664845"/>
            <wp:effectExtent l="0" t="0" r="571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1E" w:rsidRDefault="00197D63" w:rsidP="002233D8">
      <w:pPr>
        <w:spacing w:before="240"/>
        <w:jc w:val="center"/>
        <w:rPr>
          <w:lang w:eastAsia="en-NZ"/>
        </w:rPr>
      </w:pPr>
      <w:r>
        <w:t>April</w:t>
      </w:r>
      <w:r w:rsidR="00EB461E" w:rsidRPr="00DD748F">
        <w:t xml:space="preserve"> 201</w:t>
      </w:r>
      <w:r w:rsidR="00D3063B">
        <w:t>9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2334FA">
        <w:rPr>
          <w:lang w:eastAsia="en-NZ"/>
        </w:rPr>
        <w:t>7037</w:t>
      </w:r>
    </w:p>
    <w:p w:rsidR="005230DE" w:rsidRPr="00DD748F" w:rsidRDefault="005230DE" w:rsidP="000C3FA7">
      <w:pPr>
        <w:spacing w:line="240" w:lineRule="auto"/>
        <w:rPr>
          <w:lang w:eastAsia="en-NZ"/>
        </w:rPr>
      </w:pPr>
    </w:p>
    <w:sectPr w:rsidR="005230DE" w:rsidRPr="00DD748F" w:rsidSect="000E4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61" w:rsidRDefault="006B7C61">
      <w:r>
        <w:separator/>
      </w:r>
    </w:p>
  </w:endnote>
  <w:endnote w:type="continuationSeparator" w:id="0">
    <w:p w:rsidR="006B7C61" w:rsidRDefault="006B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:rsidTr="00525FFB">
      <w:trPr>
        <w:cantSplit/>
      </w:trPr>
      <w:tc>
        <w:tcPr>
          <w:tcW w:w="709" w:type="dxa"/>
          <w:vAlign w:val="center"/>
        </w:tcPr>
        <w:p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27C9B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:rsidR="00525FFB" w:rsidRDefault="00525FFB" w:rsidP="00525FFB">
          <w:pPr>
            <w:pStyle w:val="RectoFooter"/>
            <w:jc w:val="left"/>
          </w:pPr>
          <w:r>
            <w:t>BUSINESS VIABILITY STANDARDS FOR NON-GOVERNMENT ORGANISATION AUDIT AND REVIEW</w:t>
          </w:r>
        </w:p>
      </w:tc>
    </w:tr>
  </w:tbl>
  <w:p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:rsidTr="00525FFB">
      <w:trPr>
        <w:cantSplit/>
      </w:trPr>
      <w:tc>
        <w:tcPr>
          <w:tcW w:w="8647" w:type="dxa"/>
          <w:vAlign w:val="center"/>
        </w:tcPr>
        <w:p w:rsidR="00525FFB" w:rsidRDefault="00525FFB" w:rsidP="00525FFB">
          <w:pPr>
            <w:pStyle w:val="RectoFooter"/>
          </w:pPr>
          <w:r>
            <w:t>BUSINESS VIABILITY STANDARDS FOR NON-GOVERNMENT ORGANISATION AUDIT AND REVIEW</w:t>
          </w:r>
        </w:p>
      </w:tc>
      <w:tc>
        <w:tcPr>
          <w:tcW w:w="709" w:type="dxa"/>
          <w:vAlign w:val="center"/>
        </w:tcPr>
        <w:p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27C9B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:rsidTr="00F06D3B">
      <w:trPr>
        <w:cantSplit/>
      </w:trPr>
      <w:tc>
        <w:tcPr>
          <w:tcW w:w="8647" w:type="dxa"/>
          <w:vAlign w:val="center"/>
        </w:tcPr>
        <w:p w:rsidR="00113C1B" w:rsidRDefault="00113C1B" w:rsidP="00F06D3B">
          <w:pPr>
            <w:pStyle w:val="RectoFooter"/>
          </w:pPr>
          <w:r>
            <w:t>BUSINESS VIABILITY STANDARDS FOR NON-GOVERNMENT ORGANISATION AUDIT AND REVIEW</w:t>
          </w:r>
        </w:p>
      </w:tc>
      <w:tc>
        <w:tcPr>
          <w:tcW w:w="709" w:type="dxa"/>
          <w:vAlign w:val="center"/>
        </w:tcPr>
        <w:p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27C9B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61" w:rsidRPr="00680D2D" w:rsidRDefault="006B7C61" w:rsidP="00680D2D">
      <w:pPr>
        <w:pStyle w:val="Footer"/>
      </w:pPr>
    </w:p>
  </w:footnote>
  <w:footnote w:type="continuationSeparator" w:id="0">
    <w:p w:rsidR="006B7C61" w:rsidRDefault="006B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1B" w:rsidRDefault="00113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1B" w:rsidRDefault="00113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E2" w:rsidRDefault="00EE6CE2" w:rsidP="00BD22FC">
    <w:pPr>
      <w:pStyle w:val="Header"/>
      <w:spacing w:after="480"/>
    </w:pPr>
    <w:r>
      <w:rPr>
        <w:noProof/>
        <w:lang w:eastAsia="en-NZ"/>
      </w:rPr>
      <w:drawing>
        <wp:inline distT="0" distB="0" distL="0" distR="0" wp14:anchorId="0DE72F46" wp14:editId="790D3C56">
          <wp:extent cx="5960110" cy="573405"/>
          <wp:effectExtent l="0" t="0" r="2540" b="0"/>
          <wp:docPr id="1" name="Picture 4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8193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97D63"/>
    <w:rsid w:val="001A3A19"/>
    <w:rsid w:val="001E1749"/>
    <w:rsid w:val="001F5811"/>
    <w:rsid w:val="00206DC0"/>
    <w:rsid w:val="002222BC"/>
    <w:rsid w:val="002233D8"/>
    <w:rsid w:val="002334FA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24371"/>
    <w:rsid w:val="00334085"/>
    <w:rsid w:val="00343CC9"/>
    <w:rsid w:val="00351AC8"/>
    <w:rsid w:val="003579BD"/>
    <w:rsid w:val="00363CA9"/>
    <w:rsid w:val="00367836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518F6"/>
    <w:rsid w:val="004535A4"/>
    <w:rsid w:val="00477783"/>
    <w:rsid w:val="004845E0"/>
    <w:rsid w:val="0048760A"/>
    <w:rsid w:val="00492913"/>
    <w:rsid w:val="004A6CC1"/>
    <w:rsid w:val="004B28B7"/>
    <w:rsid w:val="004B368D"/>
    <w:rsid w:val="004B57F3"/>
    <w:rsid w:val="004D17ED"/>
    <w:rsid w:val="004E420D"/>
    <w:rsid w:val="005132E5"/>
    <w:rsid w:val="005230DE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90D07"/>
    <w:rsid w:val="005950A6"/>
    <w:rsid w:val="005958F2"/>
    <w:rsid w:val="00597F47"/>
    <w:rsid w:val="005B2223"/>
    <w:rsid w:val="005D3D35"/>
    <w:rsid w:val="005D561B"/>
    <w:rsid w:val="005E2D49"/>
    <w:rsid w:val="005E44CE"/>
    <w:rsid w:val="006140C0"/>
    <w:rsid w:val="00620375"/>
    <w:rsid w:val="00622810"/>
    <w:rsid w:val="006306C9"/>
    <w:rsid w:val="006339A0"/>
    <w:rsid w:val="00640014"/>
    <w:rsid w:val="00644953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B7C61"/>
    <w:rsid w:val="006C1FB8"/>
    <w:rsid w:val="006C407C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3974"/>
    <w:rsid w:val="00783D9C"/>
    <w:rsid w:val="00790152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E07A9"/>
    <w:rsid w:val="009F1222"/>
    <w:rsid w:val="009F1BFF"/>
    <w:rsid w:val="009F4949"/>
    <w:rsid w:val="009F4CBC"/>
    <w:rsid w:val="00A0032E"/>
    <w:rsid w:val="00A00DBD"/>
    <w:rsid w:val="00A14C1E"/>
    <w:rsid w:val="00A2337F"/>
    <w:rsid w:val="00A27B28"/>
    <w:rsid w:val="00A31F67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57D5"/>
    <w:rsid w:val="00AE710D"/>
    <w:rsid w:val="00AF78CC"/>
    <w:rsid w:val="00B102DF"/>
    <w:rsid w:val="00B220C1"/>
    <w:rsid w:val="00B242C0"/>
    <w:rsid w:val="00B30B70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A2A9E"/>
    <w:rsid w:val="00CB6E4F"/>
    <w:rsid w:val="00CC140B"/>
    <w:rsid w:val="00CC3C38"/>
    <w:rsid w:val="00CD373C"/>
    <w:rsid w:val="00CD6D75"/>
    <w:rsid w:val="00CE636E"/>
    <w:rsid w:val="00CE6883"/>
    <w:rsid w:val="00CE689C"/>
    <w:rsid w:val="00CE689F"/>
    <w:rsid w:val="00CF580E"/>
    <w:rsid w:val="00CF7EBD"/>
    <w:rsid w:val="00D0569E"/>
    <w:rsid w:val="00D1061D"/>
    <w:rsid w:val="00D20C0C"/>
    <w:rsid w:val="00D24A2A"/>
    <w:rsid w:val="00D27C9B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96F46"/>
    <w:rsid w:val="00DA050F"/>
    <w:rsid w:val="00DA12D6"/>
    <w:rsid w:val="00DA1DDB"/>
    <w:rsid w:val="00DA30E7"/>
    <w:rsid w:val="00DA5318"/>
    <w:rsid w:val="00DA56D5"/>
    <w:rsid w:val="00DD2C28"/>
    <w:rsid w:val="00DD748F"/>
    <w:rsid w:val="00DE5ADA"/>
    <w:rsid w:val="00DF0496"/>
    <w:rsid w:val="00E062F3"/>
    <w:rsid w:val="00E2207D"/>
    <w:rsid w:val="00E2772A"/>
    <w:rsid w:val="00E27894"/>
    <w:rsid w:val="00E362D1"/>
    <w:rsid w:val="00E40493"/>
    <w:rsid w:val="00E43A89"/>
    <w:rsid w:val="00E44733"/>
    <w:rsid w:val="00E5476D"/>
    <w:rsid w:val="00E54AB1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6"/>
    </o:shapedefaults>
    <o:shapelayout v:ext="edit">
      <o:idmap v:ext="edit" data="1"/>
    </o:shapelayout>
  </w:shapeDefaults>
  <w:decimalSymbol w:val="."/>
  <w:listSeparator w:val=","/>
  <w15:docId w15:val="{8F522469-ACE8-4881-8115-826EC81C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D7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80D2D"/>
    <w:pPr>
      <w:spacing w:before="60"/>
      <w:ind w:left="284" w:hanging="284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B461E"/>
    <w:rPr>
      <w:rFonts w:ascii="Georgia" w:hAnsi="Georgia"/>
      <w:sz w:val="18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639C53-7D35-463C-A37A-9270973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F8D9FFA1</Template>
  <TotalTime>0</TotalTime>
  <Pages>3</Pages>
  <Words>847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viability standards</vt:lpstr>
    </vt:vector>
  </TitlesOfParts>
  <Company>Ministry of Health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viability standards</dc:title>
  <dc:creator>Ministry of Health</dc:creator>
  <cp:lastModifiedBy>Ministry of Health</cp:lastModifiedBy>
  <cp:revision>2</cp:revision>
  <cp:lastPrinted>2014-10-20T03:59:00Z</cp:lastPrinted>
  <dcterms:created xsi:type="dcterms:W3CDTF">2019-04-03T21:32:00Z</dcterms:created>
  <dcterms:modified xsi:type="dcterms:W3CDTF">2019-04-03T21:32:00Z</dcterms:modified>
</cp:coreProperties>
</file>