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B78" w:rsidRPr="00BD0A88" w:rsidRDefault="00654B78" w:rsidP="001E23AC">
      <w:pPr>
        <w:pStyle w:val="Heading1"/>
        <w:jc w:val="both"/>
        <w:rPr>
          <w:b w:val="0"/>
        </w:rPr>
      </w:pPr>
      <w:bookmarkStart w:id="0" w:name="_GoBack"/>
      <w:bookmarkEnd w:id="0"/>
      <w:r w:rsidRPr="00BD0A88">
        <w:t>Disability Support Services</w:t>
      </w:r>
    </w:p>
    <w:p w:rsidR="00654B78" w:rsidRPr="00BD0A88" w:rsidRDefault="000E0CF0" w:rsidP="001E23AC">
      <w:pPr>
        <w:pStyle w:val="Heading1"/>
        <w:jc w:val="both"/>
      </w:pPr>
      <w:r w:rsidRPr="00BD0A88">
        <w:t xml:space="preserve">Tier Two </w:t>
      </w:r>
      <w:r w:rsidR="00654B78" w:rsidRPr="00BD0A88">
        <w:t>Service Specification</w:t>
      </w:r>
    </w:p>
    <w:p w:rsidR="009E3CF5" w:rsidRPr="00BD0A88" w:rsidRDefault="00B62EB9" w:rsidP="001E23AC">
      <w:pPr>
        <w:pStyle w:val="Heading1"/>
        <w:spacing w:after="480"/>
        <w:jc w:val="both"/>
        <w:rPr>
          <w:b w:val="0"/>
        </w:rPr>
      </w:pPr>
      <w:r>
        <w:t>Flexible Disability Supports</w:t>
      </w:r>
      <w:r w:rsidR="000626E8">
        <w:t xml:space="preserve"> – Enabling Good Lives</w:t>
      </w:r>
    </w:p>
    <w:p w:rsidR="009954E9" w:rsidRPr="009954E9" w:rsidRDefault="00654B78" w:rsidP="007C62A1">
      <w:pPr>
        <w:pStyle w:val="Heading2"/>
      </w:pPr>
      <w:r w:rsidRPr="009954E9">
        <w:t>Introduction</w:t>
      </w:r>
    </w:p>
    <w:p w:rsidR="00654B78" w:rsidRDefault="00654B78" w:rsidP="001E23AC">
      <w:pPr>
        <w:jc w:val="both"/>
      </w:pPr>
      <w:r w:rsidRPr="00BD0A88">
        <w:t xml:space="preserve">This </w:t>
      </w:r>
      <w:r w:rsidR="00B40A13" w:rsidRPr="00BD0A88">
        <w:t>T</w:t>
      </w:r>
      <w:r w:rsidRPr="00BD0A88">
        <w:t xml:space="preserve">ier </w:t>
      </w:r>
      <w:r w:rsidR="00B40A13" w:rsidRPr="00BD0A88">
        <w:t>T</w:t>
      </w:r>
      <w:r w:rsidRPr="00BD0A88">
        <w:t xml:space="preserve">wo </w:t>
      </w:r>
      <w:r w:rsidR="00B40A13" w:rsidRPr="00BD0A88">
        <w:t>S</w:t>
      </w:r>
      <w:r w:rsidRPr="00BD0A88">
        <w:t xml:space="preserve">ervice </w:t>
      </w:r>
      <w:r w:rsidR="00B40A13" w:rsidRPr="00BD0A88">
        <w:t>S</w:t>
      </w:r>
      <w:r w:rsidRPr="00BD0A88">
        <w:t xml:space="preserve">pecification provides the overarching </w:t>
      </w:r>
      <w:r w:rsidR="00B40A13" w:rsidRPr="00BD0A88">
        <w:t>S</w:t>
      </w:r>
      <w:r w:rsidRPr="00BD0A88">
        <w:t xml:space="preserve">ervice </w:t>
      </w:r>
      <w:r w:rsidR="00B40A13" w:rsidRPr="00BD0A88">
        <w:t>S</w:t>
      </w:r>
      <w:r w:rsidRPr="00BD0A88">
        <w:t xml:space="preserve">pecification for </w:t>
      </w:r>
      <w:r w:rsidR="00C566A6">
        <w:t>Flexible Disability Supports</w:t>
      </w:r>
      <w:r w:rsidR="00384472" w:rsidRPr="00BD0A88">
        <w:t xml:space="preserve"> </w:t>
      </w:r>
      <w:r w:rsidRPr="00BD0A88">
        <w:t>funded by Disa</w:t>
      </w:r>
      <w:r w:rsidR="00164CE3" w:rsidRPr="00BD0A88">
        <w:t>bility Support Services (DSS)</w:t>
      </w:r>
      <w:r w:rsidR="00634F96">
        <w:t xml:space="preserve"> for the Enabling Good Lives Demonstration</w:t>
      </w:r>
      <w:r w:rsidR="00193A4E" w:rsidRPr="00BD0A88">
        <w:t>.</w:t>
      </w:r>
      <w:r w:rsidR="000033F8" w:rsidRPr="00BD0A88">
        <w:t xml:space="preserve"> It should be </w:t>
      </w:r>
      <w:r w:rsidR="00943A92" w:rsidRPr="00BD0A88">
        <w:t>read</w:t>
      </w:r>
      <w:r w:rsidR="000033F8" w:rsidRPr="00BD0A88">
        <w:t xml:space="preserve"> in conjunction with the DSS Tier One Service Specification, which details </w:t>
      </w:r>
      <w:r w:rsidR="00B40A13" w:rsidRPr="00BD0A88">
        <w:t>r</w:t>
      </w:r>
      <w:r w:rsidR="000033F8" w:rsidRPr="00BD0A88">
        <w:t>equirements common to all services funded by DSS</w:t>
      </w:r>
      <w:r w:rsidR="00C96BFA">
        <w:t>, and the Outcome Agreement terms (collectively referred to as the Agreement)</w:t>
      </w:r>
      <w:r w:rsidR="002E7FC3">
        <w:t>.</w:t>
      </w:r>
    </w:p>
    <w:p w:rsidR="00951143" w:rsidRPr="00BD0A88" w:rsidRDefault="00951143" w:rsidP="001E23AC">
      <w:pPr>
        <w:jc w:val="both"/>
      </w:pPr>
      <w:r>
        <w:t xml:space="preserve">DSS represents the interests of all Funders under this </w:t>
      </w:r>
      <w:r w:rsidR="00C96BFA">
        <w:t xml:space="preserve">Service </w:t>
      </w:r>
      <w:r>
        <w:t xml:space="preserve">Specification. </w:t>
      </w:r>
    </w:p>
    <w:p w:rsidR="009866FE" w:rsidRPr="00883BE7" w:rsidRDefault="00164CE3" w:rsidP="007C62A1">
      <w:pPr>
        <w:pStyle w:val="Heading2"/>
      </w:pPr>
      <w:r w:rsidRPr="00883BE7">
        <w:t xml:space="preserve">Service </w:t>
      </w:r>
      <w:r w:rsidR="00BC4BE9" w:rsidRPr="00883BE7">
        <w:t>Definition</w:t>
      </w:r>
    </w:p>
    <w:p w:rsidR="008632B3" w:rsidRPr="00B440AC" w:rsidRDefault="008632B3" w:rsidP="001E23AC">
      <w:pPr>
        <w:jc w:val="both"/>
      </w:pPr>
      <w:r w:rsidRPr="00883BE7">
        <w:t xml:space="preserve">This Service Specification is for </w:t>
      </w:r>
      <w:r w:rsidR="00B62EB9" w:rsidRPr="00883BE7">
        <w:t>Flexible Disability Supports</w:t>
      </w:r>
      <w:r w:rsidR="001C0325" w:rsidRPr="00883BE7">
        <w:t xml:space="preserve"> (</w:t>
      </w:r>
      <w:r w:rsidR="00E65F43" w:rsidRPr="00883BE7">
        <w:t xml:space="preserve">the Services) </w:t>
      </w:r>
      <w:r w:rsidRPr="00883BE7">
        <w:t xml:space="preserve">that </w:t>
      </w:r>
      <w:r w:rsidR="00883BE7">
        <w:t>are to</w:t>
      </w:r>
      <w:r w:rsidR="00F970BF" w:rsidRPr="00883BE7">
        <w:t xml:space="preserve"> be provided to a Person, who is a participant in the EGL Demonstration, and who chooses to use the Services.</w:t>
      </w:r>
    </w:p>
    <w:p w:rsidR="006F092A" w:rsidRPr="00B440AC" w:rsidRDefault="006F092A" w:rsidP="001E23AC">
      <w:pPr>
        <w:jc w:val="both"/>
      </w:pPr>
      <w:r w:rsidRPr="00B440AC">
        <w:t xml:space="preserve">Flexible </w:t>
      </w:r>
      <w:r w:rsidR="00C5215D" w:rsidRPr="00B440AC">
        <w:t>D</w:t>
      </w:r>
      <w:r w:rsidRPr="00B440AC">
        <w:t xml:space="preserve">isability Supports </w:t>
      </w:r>
      <w:r w:rsidR="00152B26">
        <w:t>are</w:t>
      </w:r>
      <w:r w:rsidR="00152B26" w:rsidRPr="00B440AC">
        <w:t xml:space="preserve"> </w:t>
      </w:r>
      <w:r w:rsidRPr="00B440AC">
        <w:t xml:space="preserve">where a </w:t>
      </w:r>
      <w:r w:rsidR="00683A5F" w:rsidRPr="00B440AC">
        <w:t>P</w:t>
      </w:r>
      <w:r w:rsidRPr="00B440AC">
        <w:t xml:space="preserve">rovider </w:t>
      </w:r>
      <w:r w:rsidR="00C5215D" w:rsidRPr="00B440AC">
        <w:t>can</w:t>
      </w:r>
      <w:r w:rsidR="00AA40A2" w:rsidRPr="00B440AC">
        <w:t xml:space="preserve"> </w:t>
      </w:r>
      <w:r w:rsidR="00F970BF" w:rsidRPr="00883BE7">
        <w:t xml:space="preserve">provide to a Person </w:t>
      </w:r>
      <w:r w:rsidR="00AA40A2" w:rsidRPr="00883BE7">
        <w:t xml:space="preserve">one of, or </w:t>
      </w:r>
      <w:r w:rsidRPr="00B440AC">
        <w:t>a combination of:</w:t>
      </w:r>
    </w:p>
    <w:p w:rsidR="006F092A" w:rsidRPr="00EE4D22" w:rsidRDefault="00F970BF" w:rsidP="007C62A1">
      <w:pPr>
        <w:numPr>
          <w:ilvl w:val="0"/>
          <w:numId w:val="6"/>
        </w:numPr>
        <w:spacing w:after="0"/>
        <w:ind w:left="426"/>
        <w:jc w:val="both"/>
      </w:pPr>
      <w:r w:rsidRPr="00883BE7">
        <w:t>D</w:t>
      </w:r>
      <w:r w:rsidR="006F092A" w:rsidRPr="00883BE7">
        <w:t xml:space="preserve">irect </w:t>
      </w:r>
      <w:r w:rsidRPr="00883BE7">
        <w:t>F</w:t>
      </w:r>
      <w:r w:rsidR="006F092A" w:rsidRPr="00883BE7">
        <w:t xml:space="preserve">undholding </w:t>
      </w:r>
    </w:p>
    <w:p w:rsidR="00C5215D" w:rsidRPr="00883BE7" w:rsidRDefault="00F970BF" w:rsidP="007C62A1">
      <w:pPr>
        <w:numPr>
          <w:ilvl w:val="0"/>
          <w:numId w:val="6"/>
        </w:numPr>
        <w:spacing w:after="0"/>
        <w:ind w:left="426"/>
        <w:jc w:val="both"/>
      </w:pPr>
      <w:r w:rsidRPr="00883BE7">
        <w:t>F</w:t>
      </w:r>
      <w:r w:rsidR="006F092A" w:rsidRPr="00883BE7">
        <w:t xml:space="preserve">acilitated </w:t>
      </w:r>
      <w:r w:rsidRPr="00883BE7">
        <w:t>B</w:t>
      </w:r>
      <w:r w:rsidR="006F092A" w:rsidRPr="00883BE7">
        <w:t>uying</w:t>
      </w:r>
    </w:p>
    <w:p w:rsidR="001429E5" w:rsidRPr="00EE4D22" w:rsidRDefault="00F970BF" w:rsidP="007C62A1">
      <w:pPr>
        <w:numPr>
          <w:ilvl w:val="0"/>
          <w:numId w:val="6"/>
        </w:numPr>
        <w:spacing w:after="0"/>
        <w:ind w:left="426"/>
        <w:jc w:val="both"/>
      </w:pPr>
      <w:r w:rsidRPr="00883BE7">
        <w:t>F</w:t>
      </w:r>
      <w:r w:rsidR="006F092A" w:rsidRPr="00883BE7">
        <w:t xml:space="preserve">lexible </w:t>
      </w:r>
      <w:r w:rsidRPr="00883BE7">
        <w:t>S</w:t>
      </w:r>
      <w:r w:rsidR="006F092A" w:rsidRPr="00883BE7">
        <w:t xml:space="preserve">upport </w:t>
      </w:r>
    </w:p>
    <w:p w:rsidR="00A025AB" w:rsidRPr="00B440AC" w:rsidRDefault="00A025AB" w:rsidP="00E4436A">
      <w:pPr>
        <w:spacing w:after="0"/>
        <w:jc w:val="both"/>
      </w:pPr>
    </w:p>
    <w:p w:rsidR="00F970BF" w:rsidRPr="00883BE7" w:rsidRDefault="00F970BF" w:rsidP="00F970BF">
      <w:pPr>
        <w:jc w:val="both"/>
      </w:pPr>
      <w:r w:rsidRPr="00883BE7">
        <w:t xml:space="preserve">Providers delivering Flexible Disability Supports will work with people to purchase/provide </w:t>
      </w:r>
      <w:r w:rsidR="00152B26">
        <w:t>disability</w:t>
      </w:r>
      <w:r w:rsidR="00152B26" w:rsidRPr="00883BE7">
        <w:t xml:space="preserve"> </w:t>
      </w:r>
      <w:r w:rsidRPr="00883BE7">
        <w:t xml:space="preserve">supports that are directed by the Person (and their representative/ family/whānau). </w:t>
      </w:r>
    </w:p>
    <w:p w:rsidR="00BC4BE9" w:rsidRPr="009954E9" w:rsidRDefault="00BC4BE9" w:rsidP="00DE1A9E">
      <w:pPr>
        <w:pStyle w:val="Heading3"/>
      </w:pPr>
      <w:r w:rsidRPr="009954E9">
        <w:t xml:space="preserve">Key </w:t>
      </w:r>
      <w:r w:rsidRPr="00DE1A9E">
        <w:t>Terms</w:t>
      </w:r>
    </w:p>
    <w:p w:rsidR="00BC4BE9" w:rsidRDefault="00BC4BE9" w:rsidP="001E23AC">
      <w:pPr>
        <w:jc w:val="both"/>
        <w:rPr>
          <w:lang w:val="en-GB"/>
        </w:rPr>
      </w:pPr>
      <w:r w:rsidRPr="00BD0A88">
        <w:rPr>
          <w:lang w:val="en-GB"/>
        </w:rPr>
        <w:t xml:space="preserve">The following are definitions of key terms used in this </w:t>
      </w:r>
      <w:r w:rsidR="00B40A13" w:rsidRPr="00BD0A88">
        <w:rPr>
          <w:lang w:val="en-GB"/>
        </w:rPr>
        <w:t>S</w:t>
      </w:r>
      <w:r w:rsidRPr="00BD0A88">
        <w:rPr>
          <w:lang w:val="en-GB"/>
        </w:rPr>
        <w:t xml:space="preserve">ervice </w:t>
      </w:r>
      <w:r w:rsidR="00B40A13" w:rsidRPr="00BD0A88">
        <w:rPr>
          <w:lang w:val="en-GB"/>
        </w:rPr>
        <w:t>S</w:t>
      </w:r>
      <w:r w:rsidRPr="00BD0A88">
        <w:rPr>
          <w:lang w:val="en-GB"/>
        </w:rPr>
        <w:t>pecification</w:t>
      </w:r>
      <w:r w:rsidR="000E0CF0" w:rsidRPr="00BD0A88">
        <w:rPr>
          <w:lang w:val="en-GB"/>
        </w:rPr>
        <w:t>:</w:t>
      </w:r>
    </w:p>
    <w:p w:rsidR="00A26AF9" w:rsidRPr="00BD0A88" w:rsidRDefault="00A26AF9" w:rsidP="001E23AC">
      <w:pPr>
        <w:jc w:val="both"/>
        <w:rPr>
          <w:lang w:val="en-GB"/>
        </w:rPr>
      </w:pPr>
    </w:p>
    <w:tbl>
      <w:tblPr>
        <w:tblStyle w:val="TableGrid"/>
        <w:tblW w:w="0" w:type="auto"/>
        <w:tblLayout w:type="fixed"/>
        <w:tblCellMar>
          <w:top w:w="85" w:type="dxa"/>
          <w:bottom w:w="85" w:type="dxa"/>
        </w:tblCellMar>
        <w:tblLook w:val="04A0" w:firstRow="1" w:lastRow="0" w:firstColumn="1" w:lastColumn="0" w:noHBand="0" w:noVBand="1"/>
      </w:tblPr>
      <w:tblGrid>
        <w:gridCol w:w="2518"/>
        <w:gridCol w:w="6724"/>
      </w:tblGrid>
      <w:tr w:rsidR="00BC4BE9" w:rsidRPr="00A26AF9" w:rsidTr="00F10AC2">
        <w:trPr>
          <w:tblHeader/>
        </w:trPr>
        <w:tc>
          <w:tcPr>
            <w:tcW w:w="2518" w:type="dxa"/>
          </w:tcPr>
          <w:p w:rsidR="00BC4BE9" w:rsidRPr="00A26AF9" w:rsidRDefault="00BC4BE9" w:rsidP="001E23AC">
            <w:pPr>
              <w:pStyle w:val="BodyTextIndent3"/>
              <w:spacing w:after="0"/>
              <w:ind w:left="0" w:right="335"/>
              <w:rPr>
                <w:rFonts w:ascii="Arial" w:hAnsi="Arial" w:cs="Arial"/>
                <w:b/>
                <w:sz w:val="22"/>
                <w:szCs w:val="22"/>
              </w:rPr>
            </w:pPr>
            <w:bookmarkStart w:id="1" w:name="Table1"/>
            <w:r w:rsidRPr="00A26AF9">
              <w:rPr>
                <w:rFonts w:ascii="Arial" w:hAnsi="Arial" w:cs="Arial"/>
                <w:b/>
                <w:sz w:val="22"/>
                <w:szCs w:val="22"/>
              </w:rPr>
              <w:t>Term</w:t>
            </w:r>
          </w:p>
        </w:tc>
        <w:tc>
          <w:tcPr>
            <w:tcW w:w="6724" w:type="dxa"/>
          </w:tcPr>
          <w:p w:rsidR="00BC4BE9" w:rsidRPr="00A26AF9" w:rsidRDefault="00BC4BE9" w:rsidP="001E23AC">
            <w:pPr>
              <w:pStyle w:val="BodyTextIndent3"/>
              <w:spacing w:after="0"/>
              <w:ind w:left="0" w:right="335"/>
              <w:rPr>
                <w:rFonts w:ascii="Arial" w:hAnsi="Arial" w:cs="Arial"/>
                <w:b/>
                <w:sz w:val="22"/>
                <w:szCs w:val="22"/>
              </w:rPr>
            </w:pPr>
            <w:r w:rsidRPr="00A26AF9">
              <w:rPr>
                <w:rFonts w:ascii="Arial" w:hAnsi="Arial" w:cs="Arial"/>
                <w:b/>
                <w:sz w:val="22"/>
                <w:szCs w:val="22"/>
              </w:rPr>
              <w:t>Definition</w:t>
            </w:r>
          </w:p>
        </w:tc>
      </w:tr>
      <w:tr w:rsidR="003C4870" w:rsidRPr="00187DB0" w:rsidTr="00BD0A88">
        <w:tc>
          <w:tcPr>
            <w:tcW w:w="2518" w:type="dxa"/>
          </w:tcPr>
          <w:p w:rsidR="003C4870" w:rsidRPr="003C4870" w:rsidRDefault="003C4870" w:rsidP="001E23AC">
            <w:pPr>
              <w:pStyle w:val="BodyTextIndent3"/>
              <w:spacing w:after="0"/>
              <w:ind w:left="0" w:right="335"/>
              <w:rPr>
                <w:rFonts w:ascii="Arial" w:hAnsi="Arial" w:cs="Arial"/>
                <w:sz w:val="20"/>
                <w:szCs w:val="20"/>
              </w:rPr>
            </w:pPr>
            <w:r>
              <w:rPr>
                <w:rFonts w:ascii="Arial" w:hAnsi="Arial" w:cs="Arial"/>
                <w:sz w:val="20"/>
                <w:szCs w:val="20"/>
              </w:rPr>
              <w:t>Action Plan</w:t>
            </w:r>
          </w:p>
        </w:tc>
        <w:tc>
          <w:tcPr>
            <w:tcW w:w="6724" w:type="dxa"/>
          </w:tcPr>
          <w:p w:rsidR="003C4870" w:rsidRPr="003C4870" w:rsidRDefault="003C4870" w:rsidP="00C96BFA">
            <w:pPr>
              <w:pStyle w:val="BodyTextIndent3"/>
              <w:spacing w:after="0"/>
              <w:ind w:left="0" w:right="335"/>
              <w:rPr>
                <w:rFonts w:ascii="Arial" w:hAnsi="Arial" w:cs="Arial"/>
                <w:sz w:val="20"/>
                <w:szCs w:val="20"/>
              </w:rPr>
            </w:pPr>
            <w:r>
              <w:rPr>
                <w:rFonts w:ascii="Arial" w:hAnsi="Arial" w:cs="Arial"/>
                <w:sz w:val="20"/>
                <w:szCs w:val="20"/>
              </w:rPr>
              <w:t xml:space="preserve">Plan developed as part of the Enabling Good Lives Organisational Self Review process (detailed in 9.1 of this </w:t>
            </w:r>
            <w:r w:rsidR="00C96BFA">
              <w:rPr>
                <w:rFonts w:ascii="Arial" w:hAnsi="Arial" w:cs="Arial"/>
                <w:sz w:val="20"/>
                <w:szCs w:val="20"/>
              </w:rPr>
              <w:t>Service S</w:t>
            </w:r>
            <w:r>
              <w:rPr>
                <w:rFonts w:ascii="Arial" w:hAnsi="Arial" w:cs="Arial"/>
                <w:sz w:val="20"/>
                <w:szCs w:val="20"/>
              </w:rPr>
              <w:t xml:space="preserve">pecification). The Action </w:t>
            </w:r>
            <w:r w:rsidR="00DF23F3">
              <w:rPr>
                <w:rFonts w:ascii="Arial" w:hAnsi="Arial" w:cs="Arial"/>
                <w:sz w:val="20"/>
                <w:szCs w:val="20"/>
              </w:rPr>
              <w:t xml:space="preserve">Plan </w:t>
            </w:r>
            <w:r>
              <w:rPr>
                <w:rFonts w:ascii="Arial" w:hAnsi="Arial" w:cs="Arial"/>
                <w:sz w:val="20"/>
                <w:szCs w:val="20"/>
              </w:rPr>
              <w:t>will identify areas where the Provider requires development.</w:t>
            </w:r>
          </w:p>
        </w:tc>
      </w:tr>
      <w:tr w:rsidR="004115A8" w:rsidRPr="00187DB0" w:rsidTr="00BD0A88">
        <w:tc>
          <w:tcPr>
            <w:tcW w:w="2518" w:type="dxa"/>
          </w:tcPr>
          <w:p w:rsidR="004115A8" w:rsidRPr="00187DB0" w:rsidRDefault="004115A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Budget Period</w:t>
            </w:r>
          </w:p>
        </w:tc>
        <w:tc>
          <w:tcPr>
            <w:tcW w:w="6724" w:type="dxa"/>
          </w:tcPr>
          <w:p w:rsidR="004115A8" w:rsidRPr="00187DB0" w:rsidRDefault="004115A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The Funding Manager will give a Person a start date and a review date </w:t>
            </w:r>
            <w:r w:rsidRPr="00187DB0">
              <w:rPr>
                <w:rFonts w:ascii="Arial" w:hAnsi="Arial" w:cs="Arial"/>
              </w:rPr>
              <w:lastRenderedPageBreak/>
              <w:t>for the Person</w:t>
            </w:r>
            <w:r w:rsidR="00CC0DAE" w:rsidRPr="00187DB0">
              <w:rPr>
                <w:rFonts w:ascii="Arial" w:hAnsi="Arial" w:cs="Arial"/>
              </w:rPr>
              <w:t>’</w:t>
            </w:r>
            <w:r w:rsidRPr="00187DB0">
              <w:rPr>
                <w:rFonts w:ascii="Arial" w:hAnsi="Arial" w:cs="Arial"/>
              </w:rPr>
              <w:t>s Personal Budget. This time frame is known as the Budget Period.</w:t>
            </w:r>
          </w:p>
        </w:tc>
      </w:tr>
      <w:tr w:rsidR="00951143" w:rsidRPr="00187DB0" w:rsidTr="00152B26">
        <w:tc>
          <w:tcPr>
            <w:tcW w:w="2518" w:type="dxa"/>
          </w:tcPr>
          <w:p w:rsidR="00951143" w:rsidRPr="00187DB0" w:rsidRDefault="00951143" w:rsidP="00152B2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lastRenderedPageBreak/>
              <w:t>Demonstration</w:t>
            </w:r>
          </w:p>
        </w:tc>
        <w:tc>
          <w:tcPr>
            <w:tcW w:w="6724" w:type="dxa"/>
          </w:tcPr>
          <w:p w:rsidR="00951143" w:rsidRPr="00187DB0" w:rsidRDefault="00951143" w:rsidP="00152B26">
            <w:pPr>
              <w:spacing w:line="276" w:lineRule="auto"/>
              <w:rPr>
                <w:rFonts w:ascii="Arial" w:hAnsi="Arial" w:cs="Arial"/>
                <w:szCs w:val="24"/>
                <w:lang w:val="en-GB"/>
              </w:rPr>
            </w:pPr>
            <w:r w:rsidRPr="00187DB0">
              <w:rPr>
                <w:rFonts w:ascii="Arial" w:hAnsi="Arial" w:cs="Arial"/>
              </w:rPr>
              <w:t xml:space="preserve">Enabling Good Lives Demonstration. A demonstration that trials changes to the support frameworks and systems for people with a disability. </w:t>
            </w:r>
          </w:p>
          <w:p w:rsidR="00951143" w:rsidRPr="00187DB0" w:rsidRDefault="00951143" w:rsidP="00152B2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The </w:t>
            </w:r>
            <w:r>
              <w:rPr>
                <w:rFonts w:ascii="Arial" w:hAnsi="Arial" w:cs="Arial"/>
              </w:rPr>
              <w:t>D</w:t>
            </w:r>
            <w:r w:rsidRPr="00187DB0">
              <w:rPr>
                <w:rFonts w:ascii="Arial" w:hAnsi="Arial" w:cs="Arial"/>
              </w:rPr>
              <w:t>emonstration will recommend long term changes to Government that will transform the system.</w:t>
            </w:r>
          </w:p>
        </w:tc>
      </w:tr>
      <w:tr w:rsidR="004115A8" w:rsidRPr="00187DB0" w:rsidTr="00BD0A88">
        <w:tc>
          <w:tcPr>
            <w:tcW w:w="2518" w:type="dxa"/>
          </w:tcPr>
          <w:p w:rsidR="004115A8" w:rsidRPr="00187DB0" w:rsidRDefault="004115A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Demonstration Office</w:t>
            </w:r>
          </w:p>
        </w:tc>
        <w:tc>
          <w:tcPr>
            <w:tcW w:w="6724" w:type="dxa"/>
          </w:tcPr>
          <w:p w:rsidR="004115A8" w:rsidRPr="00187DB0" w:rsidRDefault="004115A8" w:rsidP="00DF23F3">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The Demonstration </w:t>
            </w:r>
            <w:r w:rsidR="00DF23F3">
              <w:rPr>
                <w:rFonts w:ascii="Arial" w:hAnsi="Arial" w:cs="Arial"/>
              </w:rPr>
              <w:t>O</w:t>
            </w:r>
            <w:r w:rsidR="00DF23F3" w:rsidRPr="00187DB0">
              <w:rPr>
                <w:rFonts w:ascii="Arial" w:hAnsi="Arial" w:cs="Arial"/>
              </w:rPr>
              <w:t xml:space="preserve">ffice </w:t>
            </w:r>
            <w:r w:rsidRPr="00187DB0">
              <w:rPr>
                <w:rFonts w:ascii="Arial" w:hAnsi="Arial" w:cs="Arial"/>
              </w:rPr>
              <w:t>responsible for managing the Enabling Good Lives Christchurch Demonstration</w:t>
            </w:r>
            <w:r w:rsidR="003B31AA" w:rsidRPr="0007414C">
              <w:rPr>
                <w:rFonts w:ascii="Arial" w:hAnsi="Arial" w:cs="Arial"/>
              </w:rPr>
              <w:t>.</w:t>
            </w:r>
          </w:p>
        </w:tc>
      </w:tr>
      <w:tr w:rsidR="00951143" w:rsidRPr="00B440AC" w:rsidTr="00152B26">
        <w:tc>
          <w:tcPr>
            <w:tcW w:w="2518" w:type="dxa"/>
          </w:tcPr>
          <w:p w:rsidR="00951143" w:rsidRPr="00951143" w:rsidRDefault="00951143" w:rsidP="00152B26">
            <w:pPr>
              <w:overflowPunct w:val="0"/>
              <w:autoSpaceDE w:val="0"/>
              <w:autoSpaceDN w:val="0"/>
              <w:adjustRightInd w:val="0"/>
              <w:rPr>
                <w:rFonts w:ascii="Arial" w:hAnsi="Arial" w:cs="Arial"/>
              </w:rPr>
            </w:pPr>
            <w:r w:rsidRPr="00951143">
              <w:rPr>
                <w:rFonts w:ascii="Arial" w:hAnsi="Arial" w:cs="Arial"/>
              </w:rPr>
              <w:t>Direct Fundholding</w:t>
            </w:r>
          </w:p>
        </w:tc>
        <w:tc>
          <w:tcPr>
            <w:tcW w:w="6724" w:type="dxa"/>
          </w:tcPr>
          <w:p w:rsidR="00951143" w:rsidRPr="00951143" w:rsidRDefault="00FB6F11" w:rsidP="00152999">
            <w:pPr>
              <w:overflowPunct w:val="0"/>
              <w:autoSpaceDE w:val="0"/>
              <w:autoSpaceDN w:val="0"/>
              <w:adjustRightInd w:val="0"/>
              <w:rPr>
                <w:rFonts w:ascii="Arial" w:hAnsi="Arial" w:cs="Arial"/>
              </w:rPr>
            </w:pPr>
            <w:r>
              <w:rPr>
                <w:rFonts w:ascii="Arial" w:hAnsi="Arial" w:cs="Arial"/>
              </w:rPr>
              <w:t>Management, by provision of Host Services, of some (or all) of the support that People buy directly themselves</w:t>
            </w:r>
            <w:r w:rsidR="00152999">
              <w:rPr>
                <w:rFonts w:ascii="Arial" w:hAnsi="Arial" w:cs="Arial"/>
              </w:rPr>
              <w:t xml:space="preserve"> (when the Person is Self-Managing)</w:t>
            </w:r>
            <w:r>
              <w:rPr>
                <w:rFonts w:ascii="Arial" w:hAnsi="Arial" w:cs="Arial"/>
              </w:rPr>
              <w:t xml:space="preserve">.  </w:t>
            </w:r>
            <w:r w:rsidR="00951143">
              <w:rPr>
                <w:rFonts w:ascii="Arial" w:hAnsi="Arial" w:cs="Arial"/>
              </w:rPr>
              <w:t>Th</w:t>
            </w:r>
            <w:r>
              <w:rPr>
                <w:rFonts w:ascii="Arial" w:hAnsi="Arial" w:cs="Arial"/>
              </w:rPr>
              <w:t>e</w:t>
            </w:r>
            <w:r w:rsidR="00951143">
              <w:rPr>
                <w:rFonts w:ascii="Arial" w:hAnsi="Arial" w:cs="Arial"/>
              </w:rPr>
              <w:t xml:space="preserve">se Host Services </w:t>
            </w:r>
            <w:r>
              <w:rPr>
                <w:rFonts w:ascii="Arial" w:hAnsi="Arial" w:cs="Arial"/>
              </w:rPr>
              <w:t xml:space="preserve">are </w:t>
            </w:r>
            <w:r w:rsidR="00951143">
              <w:rPr>
                <w:rFonts w:ascii="Arial" w:hAnsi="Arial" w:cs="Arial"/>
              </w:rPr>
              <w:t xml:space="preserve">to be provided </w:t>
            </w:r>
            <w:r>
              <w:rPr>
                <w:rFonts w:ascii="Arial" w:hAnsi="Arial" w:cs="Arial"/>
              </w:rPr>
              <w:t xml:space="preserve">by the Provider </w:t>
            </w:r>
            <w:r w:rsidR="00951143">
              <w:rPr>
                <w:rFonts w:ascii="Arial" w:hAnsi="Arial" w:cs="Arial"/>
              </w:rPr>
              <w:t>on the terms set out in Appendix C, in the Service Specification and Guidelines for Hosted Funding</w:t>
            </w:r>
          </w:p>
        </w:tc>
      </w:tr>
      <w:tr w:rsidR="00951143" w:rsidRPr="00187DB0" w:rsidTr="00152B26">
        <w:tc>
          <w:tcPr>
            <w:tcW w:w="2518" w:type="dxa"/>
          </w:tcPr>
          <w:p w:rsidR="00951143" w:rsidRPr="00187DB0" w:rsidRDefault="00951143" w:rsidP="00152B2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Disability Supports</w:t>
            </w:r>
          </w:p>
        </w:tc>
        <w:tc>
          <w:tcPr>
            <w:tcW w:w="6724" w:type="dxa"/>
          </w:tcPr>
          <w:p w:rsidR="00951143" w:rsidRPr="00187DB0" w:rsidRDefault="00951143" w:rsidP="00152B2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Supports provided due to the additional cost of living with a disability.</w:t>
            </w:r>
          </w:p>
        </w:tc>
      </w:tr>
      <w:tr w:rsidR="00DF23F3" w:rsidRPr="00187DB0" w:rsidTr="00BD0A88">
        <w:tc>
          <w:tcPr>
            <w:tcW w:w="2518" w:type="dxa"/>
          </w:tcPr>
          <w:p w:rsidR="00DF23F3" w:rsidRPr="00F10AC2" w:rsidRDefault="00DF23F3">
            <w:pPr>
              <w:overflowPunct w:val="0"/>
              <w:autoSpaceDE w:val="0"/>
              <w:autoSpaceDN w:val="0"/>
              <w:adjustRightInd w:val="0"/>
              <w:rPr>
                <w:rFonts w:ascii="Arial" w:hAnsi="Arial" w:cs="Arial"/>
              </w:rPr>
            </w:pPr>
            <w:r w:rsidRPr="00DF23F3">
              <w:rPr>
                <w:rFonts w:ascii="Arial" w:hAnsi="Arial" w:cs="Arial"/>
              </w:rPr>
              <w:t>EGL</w:t>
            </w:r>
          </w:p>
        </w:tc>
        <w:tc>
          <w:tcPr>
            <w:tcW w:w="6724" w:type="dxa"/>
          </w:tcPr>
          <w:p w:rsidR="00DF23F3" w:rsidRPr="00F10AC2" w:rsidRDefault="00DF23F3">
            <w:pPr>
              <w:rPr>
                <w:rFonts w:ascii="Arial" w:hAnsi="Arial" w:cs="Arial"/>
              </w:rPr>
            </w:pPr>
            <w:r w:rsidRPr="00F10AC2">
              <w:rPr>
                <w:rFonts w:ascii="Arial" w:hAnsi="Arial" w:cs="Arial"/>
              </w:rPr>
              <w:t>Enabling Good Lives</w:t>
            </w:r>
            <w:r w:rsidR="00B929CD">
              <w:rPr>
                <w:rFonts w:ascii="Arial" w:hAnsi="Arial" w:cs="Arial"/>
              </w:rPr>
              <w:t>.</w:t>
            </w:r>
          </w:p>
        </w:tc>
      </w:tr>
      <w:tr w:rsidR="004115A8" w:rsidRPr="00187DB0" w:rsidTr="00BD0A88">
        <w:tc>
          <w:tcPr>
            <w:tcW w:w="2518" w:type="dxa"/>
          </w:tcPr>
          <w:p w:rsidR="004115A8" w:rsidRPr="00187DB0" w:rsidRDefault="004115A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Facilitated Buying</w:t>
            </w:r>
          </w:p>
        </w:tc>
        <w:tc>
          <w:tcPr>
            <w:tcW w:w="6724" w:type="dxa"/>
          </w:tcPr>
          <w:p w:rsidR="004115A8" w:rsidRPr="00187DB0" w:rsidRDefault="004115A8" w:rsidP="00250B1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Where an organisation purchases disability support from </w:t>
            </w:r>
            <w:r w:rsidR="001A08EC" w:rsidRPr="00187DB0">
              <w:rPr>
                <w:rFonts w:ascii="Arial" w:hAnsi="Arial" w:cs="Arial"/>
              </w:rPr>
              <w:t>a</w:t>
            </w:r>
            <w:r w:rsidRPr="00187DB0">
              <w:rPr>
                <w:rFonts w:ascii="Arial" w:hAnsi="Arial" w:cs="Arial"/>
              </w:rPr>
              <w:t xml:space="preserve"> </w:t>
            </w:r>
            <w:r w:rsidR="00250B16">
              <w:rPr>
                <w:rFonts w:ascii="Arial" w:hAnsi="Arial" w:cs="Arial"/>
              </w:rPr>
              <w:t>t</w:t>
            </w:r>
            <w:r w:rsidRPr="00187DB0">
              <w:rPr>
                <w:rFonts w:ascii="Arial" w:hAnsi="Arial" w:cs="Arial"/>
              </w:rPr>
              <w:t xml:space="preserve">hird </w:t>
            </w:r>
            <w:r w:rsidR="00250B16">
              <w:rPr>
                <w:rFonts w:ascii="Arial" w:hAnsi="Arial" w:cs="Arial"/>
              </w:rPr>
              <w:t>p</w:t>
            </w:r>
            <w:r w:rsidRPr="00187DB0">
              <w:rPr>
                <w:rFonts w:ascii="Arial" w:hAnsi="Arial" w:cs="Arial"/>
              </w:rPr>
              <w:t>arty Provider on behalf of the Person</w:t>
            </w:r>
            <w:r w:rsidR="003B31AA" w:rsidRPr="0007414C">
              <w:rPr>
                <w:rFonts w:ascii="Arial" w:hAnsi="Arial" w:cs="Arial"/>
              </w:rPr>
              <w:t>.</w:t>
            </w:r>
          </w:p>
        </w:tc>
      </w:tr>
      <w:tr w:rsidR="00152B26" w:rsidRPr="00187DB0" w:rsidTr="00BD0A88">
        <w:tc>
          <w:tcPr>
            <w:tcW w:w="2518" w:type="dxa"/>
          </w:tcPr>
          <w:p w:rsidR="00152B26" w:rsidRPr="002D62EB" w:rsidRDefault="00CA791D">
            <w:pPr>
              <w:overflowPunct w:val="0"/>
              <w:autoSpaceDE w:val="0"/>
              <w:autoSpaceDN w:val="0"/>
              <w:adjustRightInd w:val="0"/>
              <w:rPr>
                <w:rFonts w:ascii="Arial" w:hAnsi="Arial" w:cs="Arial"/>
              </w:rPr>
            </w:pPr>
            <w:r w:rsidRPr="00745A1D">
              <w:rPr>
                <w:rFonts w:ascii="Arial" w:hAnsi="Arial" w:cs="Arial"/>
              </w:rPr>
              <w:t>Flexible Support</w:t>
            </w:r>
          </w:p>
        </w:tc>
        <w:tc>
          <w:tcPr>
            <w:tcW w:w="6724" w:type="dxa"/>
          </w:tcPr>
          <w:p w:rsidR="00152B26" w:rsidRPr="00187DB0" w:rsidRDefault="00152B26" w:rsidP="00745A1D">
            <w:pPr>
              <w:overflowPunct w:val="0"/>
              <w:autoSpaceDE w:val="0"/>
              <w:autoSpaceDN w:val="0"/>
              <w:adjustRightInd w:val="0"/>
              <w:rPr>
                <w:rFonts w:cs="Arial"/>
              </w:rPr>
            </w:pPr>
            <w:r>
              <w:rPr>
                <w:rFonts w:ascii="Arial" w:hAnsi="Arial" w:cs="Arial"/>
              </w:rPr>
              <w:t xml:space="preserve">These are supports aligned to the EGL </w:t>
            </w:r>
            <w:r w:rsidR="00745A1D">
              <w:rPr>
                <w:rFonts w:ascii="Arial" w:hAnsi="Arial" w:cs="Arial"/>
              </w:rPr>
              <w:t>P</w:t>
            </w:r>
            <w:r>
              <w:rPr>
                <w:rFonts w:ascii="Arial" w:hAnsi="Arial" w:cs="Arial"/>
              </w:rPr>
              <w:t>urchasing Guidelines, and are provided directly by the Provider to the Person.</w:t>
            </w:r>
          </w:p>
        </w:tc>
      </w:tr>
      <w:tr w:rsidR="007F4F62" w:rsidRPr="00187DB0" w:rsidTr="00152B26">
        <w:tc>
          <w:tcPr>
            <w:tcW w:w="2518" w:type="dxa"/>
          </w:tcPr>
          <w:p w:rsidR="007F4F62" w:rsidRPr="00187DB0" w:rsidRDefault="007F4F62" w:rsidP="00152B2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Funder</w:t>
            </w:r>
            <w:r w:rsidR="00745A1D">
              <w:rPr>
                <w:rFonts w:ascii="Arial" w:hAnsi="Arial" w:cs="Arial"/>
              </w:rPr>
              <w:t>(s)</w:t>
            </w:r>
          </w:p>
        </w:tc>
        <w:tc>
          <w:tcPr>
            <w:tcW w:w="6724" w:type="dxa"/>
          </w:tcPr>
          <w:p w:rsidR="007F4F62" w:rsidRPr="00187DB0" w:rsidRDefault="007F4F62" w:rsidP="00152B2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Relevant Ministries </w:t>
            </w:r>
            <w:r>
              <w:rPr>
                <w:rFonts w:ascii="Arial" w:hAnsi="Arial" w:cs="Arial"/>
              </w:rPr>
              <w:t xml:space="preserve">who fund disability support and are </w:t>
            </w:r>
            <w:r w:rsidRPr="00187DB0">
              <w:rPr>
                <w:rFonts w:ascii="Arial" w:hAnsi="Arial" w:cs="Arial"/>
              </w:rPr>
              <w:t xml:space="preserve">participating in the </w:t>
            </w:r>
            <w:r>
              <w:rPr>
                <w:rFonts w:ascii="Arial" w:hAnsi="Arial" w:cs="Arial"/>
              </w:rPr>
              <w:t>D</w:t>
            </w:r>
            <w:r w:rsidRPr="00187DB0">
              <w:rPr>
                <w:rFonts w:ascii="Arial" w:hAnsi="Arial" w:cs="Arial"/>
              </w:rPr>
              <w:t xml:space="preserve">emonstration. Within </w:t>
            </w:r>
            <w:r>
              <w:rPr>
                <w:rFonts w:ascii="Arial" w:hAnsi="Arial" w:cs="Arial"/>
              </w:rPr>
              <w:t>the Christchurch Demonstration r</w:t>
            </w:r>
            <w:r w:rsidRPr="00187DB0">
              <w:rPr>
                <w:rFonts w:ascii="Arial" w:hAnsi="Arial" w:cs="Arial"/>
              </w:rPr>
              <w:t>elevant Ministries are the Ministries of Health, Education and Social Development.</w:t>
            </w:r>
          </w:p>
        </w:tc>
      </w:tr>
      <w:tr w:rsidR="004115A8" w:rsidRPr="00187DB0" w:rsidTr="00BD0A88">
        <w:tc>
          <w:tcPr>
            <w:tcW w:w="2518" w:type="dxa"/>
          </w:tcPr>
          <w:p w:rsidR="004115A8" w:rsidRPr="00187DB0" w:rsidRDefault="004115A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Funding Manager</w:t>
            </w:r>
          </w:p>
        </w:tc>
        <w:tc>
          <w:tcPr>
            <w:tcW w:w="6724" w:type="dxa"/>
          </w:tcPr>
          <w:p w:rsidR="004115A8" w:rsidRPr="00187DB0" w:rsidRDefault="004115A8" w:rsidP="00715C5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The organisation responsible for allocating funding.</w:t>
            </w:r>
            <w:r w:rsidR="00715C58" w:rsidRPr="00187DB0">
              <w:rPr>
                <w:rFonts w:ascii="Arial" w:hAnsi="Arial" w:cs="Arial"/>
              </w:rPr>
              <w:t xml:space="preserve"> Within the Christchurch Demonstration the Funding Manager is the Needs Assessment and Service Coordination organisation (NASC).</w:t>
            </w:r>
          </w:p>
        </w:tc>
      </w:tr>
      <w:tr w:rsidR="00EB5089" w:rsidRPr="00EB5089" w:rsidTr="00BD0A88">
        <w:tc>
          <w:tcPr>
            <w:tcW w:w="2518" w:type="dxa"/>
          </w:tcPr>
          <w:p w:rsidR="00EB5089" w:rsidRPr="00EB5089" w:rsidRDefault="00EB5089">
            <w:pPr>
              <w:overflowPunct w:val="0"/>
              <w:autoSpaceDE w:val="0"/>
              <w:autoSpaceDN w:val="0"/>
              <w:adjustRightInd w:val="0"/>
              <w:rPr>
                <w:rFonts w:ascii="Arial" w:hAnsi="Arial" w:cs="Arial"/>
              </w:rPr>
            </w:pPr>
            <w:r w:rsidRPr="00EB5089">
              <w:rPr>
                <w:rFonts w:ascii="Arial" w:hAnsi="Arial" w:cs="Arial"/>
              </w:rPr>
              <w:t>Goals</w:t>
            </w:r>
          </w:p>
        </w:tc>
        <w:tc>
          <w:tcPr>
            <w:tcW w:w="6724" w:type="dxa"/>
          </w:tcPr>
          <w:p w:rsidR="00EB5089" w:rsidRPr="00EB5089" w:rsidRDefault="00EB5089" w:rsidP="00EB5089">
            <w:pPr>
              <w:overflowPunct w:val="0"/>
              <w:autoSpaceDE w:val="0"/>
              <w:autoSpaceDN w:val="0"/>
              <w:adjustRightInd w:val="0"/>
              <w:rPr>
                <w:rFonts w:ascii="Arial" w:hAnsi="Arial" w:cs="Arial"/>
              </w:rPr>
            </w:pPr>
            <w:r w:rsidRPr="00EB5089">
              <w:rPr>
                <w:rFonts w:ascii="Arial" w:hAnsi="Arial" w:cs="Arial"/>
              </w:rPr>
              <w:t xml:space="preserve">See </w:t>
            </w:r>
            <w:r>
              <w:rPr>
                <w:rFonts w:ascii="Arial" w:hAnsi="Arial" w:cs="Arial"/>
              </w:rPr>
              <w:t>‘</w:t>
            </w:r>
            <w:r w:rsidRPr="00EB5089">
              <w:rPr>
                <w:rFonts w:ascii="Arial" w:hAnsi="Arial" w:cs="Arial"/>
              </w:rPr>
              <w:t>Outcomes</w:t>
            </w:r>
            <w:r>
              <w:rPr>
                <w:rFonts w:ascii="Arial" w:hAnsi="Arial" w:cs="Arial"/>
              </w:rPr>
              <w:t>’</w:t>
            </w:r>
          </w:p>
        </w:tc>
      </w:tr>
      <w:tr w:rsidR="004115A8" w:rsidRPr="00187DB0" w:rsidTr="00BD0A88">
        <w:tc>
          <w:tcPr>
            <w:tcW w:w="2518" w:type="dxa"/>
          </w:tcPr>
          <w:p w:rsidR="004115A8" w:rsidRPr="00187DB0" w:rsidRDefault="004115A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Host</w:t>
            </w:r>
          </w:p>
        </w:tc>
        <w:tc>
          <w:tcPr>
            <w:tcW w:w="6724" w:type="dxa"/>
          </w:tcPr>
          <w:p w:rsidR="004115A8" w:rsidRPr="00187DB0" w:rsidRDefault="00DF23F3" w:rsidP="00745A1D">
            <w:pPr>
              <w:overflowPunct w:val="0"/>
              <w:autoSpaceDE w:val="0"/>
              <w:autoSpaceDN w:val="0"/>
              <w:adjustRightInd w:val="0"/>
              <w:spacing w:line="276" w:lineRule="auto"/>
              <w:rPr>
                <w:rFonts w:ascii="Arial" w:hAnsi="Arial" w:cs="Arial"/>
                <w:sz w:val="24"/>
                <w:szCs w:val="24"/>
                <w:lang w:val="en-GB" w:eastAsia="en-US"/>
              </w:rPr>
            </w:pPr>
            <w:r>
              <w:rPr>
                <w:rFonts w:ascii="Arial" w:hAnsi="Arial" w:cs="Arial"/>
              </w:rPr>
              <w:t>EGL</w:t>
            </w:r>
            <w:r w:rsidR="004115A8" w:rsidRPr="00187DB0">
              <w:rPr>
                <w:rFonts w:ascii="Arial" w:hAnsi="Arial" w:cs="Arial"/>
              </w:rPr>
              <w:t xml:space="preserve"> Host Provider. A (contracted) Ministry of Health provider who </w:t>
            </w:r>
            <w:r>
              <w:rPr>
                <w:rFonts w:ascii="Arial" w:hAnsi="Arial" w:cs="Arial"/>
              </w:rPr>
              <w:t>provides</w:t>
            </w:r>
            <w:r w:rsidR="004115A8" w:rsidRPr="00187DB0">
              <w:rPr>
                <w:rFonts w:ascii="Arial" w:hAnsi="Arial" w:cs="Arial"/>
              </w:rPr>
              <w:t xml:space="preserve"> the </w:t>
            </w:r>
            <w:r>
              <w:rPr>
                <w:rFonts w:ascii="Arial" w:hAnsi="Arial" w:cs="Arial"/>
              </w:rPr>
              <w:t>EGL</w:t>
            </w:r>
            <w:r w:rsidR="004115A8" w:rsidRPr="00187DB0">
              <w:rPr>
                <w:rFonts w:ascii="Arial" w:hAnsi="Arial" w:cs="Arial"/>
              </w:rPr>
              <w:t xml:space="preserve"> Host Services to </w:t>
            </w:r>
            <w:r w:rsidR="0099371B">
              <w:rPr>
                <w:rFonts w:ascii="Arial" w:hAnsi="Arial" w:cs="Arial"/>
              </w:rPr>
              <w:t xml:space="preserve">a </w:t>
            </w:r>
            <w:r w:rsidR="004115A8" w:rsidRPr="00187DB0">
              <w:rPr>
                <w:rFonts w:ascii="Arial" w:hAnsi="Arial" w:cs="Arial"/>
              </w:rPr>
              <w:t>Person as a way to purchase and manage their supports.</w:t>
            </w:r>
          </w:p>
        </w:tc>
      </w:tr>
      <w:tr w:rsidR="0024777A" w:rsidRPr="00187DB0" w:rsidTr="00BD0A88">
        <w:tc>
          <w:tcPr>
            <w:tcW w:w="2518" w:type="dxa"/>
          </w:tcPr>
          <w:p w:rsidR="0024777A" w:rsidRPr="00187DB0" w:rsidRDefault="0024777A" w:rsidP="00187DB0">
            <w:pPr>
              <w:rPr>
                <w:rFonts w:ascii="Arial" w:hAnsi="Arial" w:cs="Arial"/>
              </w:rPr>
            </w:pPr>
            <w:r w:rsidRPr="00187DB0">
              <w:rPr>
                <w:rFonts w:ascii="Arial" w:hAnsi="Arial" w:cs="Arial"/>
              </w:rPr>
              <w:t>Host Services</w:t>
            </w:r>
          </w:p>
        </w:tc>
        <w:tc>
          <w:tcPr>
            <w:tcW w:w="6724" w:type="dxa"/>
          </w:tcPr>
          <w:p w:rsidR="0024777A" w:rsidRPr="00187DB0" w:rsidRDefault="00745A1D" w:rsidP="009C0610">
            <w:pPr>
              <w:overflowPunct w:val="0"/>
              <w:autoSpaceDE w:val="0"/>
              <w:autoSpaceDN w:val="0"/>
              <w:adjustRightInd w:val="0"/>
              <w:rPr>
                <w:rFonts w:ascii="Arial" w:hAnsi="Arial" w:cs="Arial"/>
              </w:rPr>
            </w:pPr>
            <w:r>
              <w:rPr>
                <w:rFonts w:ascii="Arial" w:hAnsi="Arial" w:cs="Arial"/>
              </w:rPr>
              <w:t xml:space="preserve">Providers who </w:t>
            </w:r>
            <w:r w:rsidR="009C0610">
              <w:rPr>
                <w:rFonts w:ascii="Arial" w:hAnsi="Arial" w:cs="Arial"/>
              </w:rPr>
              <w:t>offer</w:t>
            </w:r>
            <w:r>
              <w:rPr>
                <w:rFonts w:ascii="Arial" w:hAnsi="Arial" w:cs="Arial"/>
              </w:rPr>
              <w:t xml:space="preserve"> Direct Fundholding </w:t>
            </w:r>
            <w:r w:rsidR="00F40F1E">
              <w:rPr>
                <w:rFonts w:ascii="Arial" w:hAnsi="Arial" w:cs="Arial"/>
              </w:rPr>
              <w:t>have mandatory H</w:t>
            </w:r>
            <w:r w:rsidR="003C4870">
              <w:rPr>
                <w:rFonts w:ascii="Arial" w:hAnsi="Arial" w:cs="Arial"/>
              </w:rPr>
              <w:t xml:space="preserve">ost </w:t>
            </w:r>
            <w:r w:rsidR="00F40F1E">
              <w:rPr>
                <w:rFonts w:ascii="Arial" w:hAnsi="Arial" w:cs="Arial"/>
              </w:rPr>
              <w:t>S</w:t>
            </w:r>
            <w:r w:rsidR="003C4870">
              <w:rPr>
                <w:rFonts w:ascii="Arial" w:hAnsi="Arial" w:cs="Arial"/>
              </w:rPr>
              <w:t>ervices that must be provided. These are detailed in the Enabling Good Lives Hosted Personal Budgets Specification (Appendix C) and include coaching, an invoicing mechanism and an element of monitoring.</w:t>
            </w:r>
          </w:p>
        </w:tc>
      </w:tr>
      <w:tr w:rsidR="00FA0333" w:rsidRPr="00187DB0" w:rsidTr="00BD0A88">
        <w:tc>
          <w:tcPr>
            <w:tcW w:w="2518" w:type="dxa"/>
          </w:tcPr>
          <w:p w:rsidR="00FA0333" w:rsidRPr="00187DB0" w:rsidRDefault="00FA0333">
            <w:pPr>
              <w:overflowPunct w:val="0"/>
              <w:autoSpaceDE w:val="0"/>
              <w:autoSpaceDN w:val="0"/>
              <w:adjustRightInd w:val="0"/>
              <w:rPr>
                <w:rFonts w:ascii="Arial" w:hAnsi="Arial" w:cs="Arial"/>
              </w:rPr>
            </w:pPr>
            <w:r w:rsidRPr="00187DB0">
              <w:rPr>
                <w:rFonts w:ascii="Arial" w:hAnsi="Arial" w:cs="Arial"/>
              </w:rPr>
              <w:t xml:space="preserve">Ministry </w:t>
            </w:r>
          </w:p>
        </w:tc>
        <w:tc>
          <w:tcPr>
            <w:tcW w:w="6724" w:type="dxa"/>
          </w:tcPr>
          <w:p w:rsidR="00FA0333" w:rsidRPr="00187DB0" w:rsidRDefault="00FA0333" w:rsidP="00104E63">
            <w:pPr>
              <w:overflowPunct w:val="0"/>
              <w:autoSpaceDE w:val="0"/>
              <w:autoSpaceDN w:val="0"/>
              <w:adjustRightInd w:val="0"/>
              <w:rPr>
                <w:rFonts w:ascii="Arial" w:hAnsi="Arial" w:cs="Arial"/>
              </w:rPr>
            </w:pPr>
            <w:r w:rsidRPr="00187DB0">
              <w:rPr>
                <w:rFonts w:ascii="Arial" w:hAnsi="Arial" w:cs="Arial"/>
              </w:rPr>
              <w:t>The Ministry of Health (</w:t>
            </w:r>
            <w:r w:rsidR="003B31AA" w:rsidRPr="00187DB0">
              <w:rPr>
                <w:rFonts w:ascii="Arial" w:hAnsi="Arial" w:cs="Arial"/>
              </w:rPr>
              <w:t>F</w:t>
            </w:r>
            <w:r w:rsidRPr="00187DB0">
              <w:rPr>
                <w:rFonts w:ascii="Arial" w:hAnsi="Arial" w:cs="Arial"/>
              </w:rPr>
              <w:t>under</w:t>
            </w:r>
            <w:r w:rsidR="00104E63">
              <w:rPr>
                <w:rFonts w:ascii="Arial" w:hAnsi="Arial" w:cs="Arial"/>
              </w:rPr>
              <w:t>)</w:t>
            </w:r>
            <w:r w:rsidR="00F40F1E">
              <w:rPr>
                <w:rFonts w:ascii="Arial" w:hAnsi="Arial" w:cs="Arial"/>
              </w:rPr>
              <w:t>.</w:t>
            </w:r>
          </w:p>
        </w:tc>
      </w:tr>
      <w:tr w:rsidR="00FA0333" w:rsidRPr="00187DB0" w:rsidTr="00BD0A88">
        <w:tc>
          <w:tcPr>
            <w:tcW w:w="2518" w:type="dxa"/>
          </w:tcPr>
          <w:p w:rsidR="00FA0333" w:rsidRPr="00187DB0" w:rsidRDefault="00FA0333">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MOE</w:t>
            </w:r>
          </w:p>
        </w:tc>
        <w:tc>
          <w:tcPr>
            <w:tcW w:w="6724" w:type="dxa"/>
          </w:tcPr>
          <w:p w:rsidR="00FA0333" w:rsidRPr="00187DB0" w:rsidRDefault="00FA0333" w:rsidP="003B31AA">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The Ministry of Education (</w:t>
            </w:r>
            <w:r w:rsidR="003B31AA" w:rsidRPr="00187DB0">
              <w:rPr>
                <w:rFonts w:ascii="Arial" w:hAnsi="Arial" w:cs="Arial"/>
              </w:rPr>
              <w:t>F</w:t>
            </w:r>
            <w:r w:rsidRPr="00187DB0">
              <w:rPr>
                <w:rFonts w:ascii="Arial" w:hAnsi="Arial" w:cs="Arial"/>
              </w:rPr>
              <w:t>under)</w:t>
            </w:r>
            <w:r w:rsidR="00F40F1E">
              <w:rPr>
                <w:rFonts w:ascii="Arial" w:hAnsi="Arial" w:cs="Arial"/>
              </w:rPr>
              <w:t>.</w:t>
            </w:r>
          </w:p>
        </w:tc>
      </w:tr>
      <w:tr w:rsidR="00FA0333" w:rsidRPr="00187DB0" w:rsidTr="00BD0A88">
        <w:tc>
          <w:tcPr>
            <w:tcW w:w="2518" w:type="dxa"/>
          </w:tcPr>
          <w:p w:rsidR="00FA0333" w:rsidRPr="00187DB0" w:rsidRDefault="00FA0333">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MSD</w:t>
            </w:r>
          </w:p>
        </w:tc>
        <w:tc>
          <w:tcPr>
            <w:tcW w:w="6724" w:type="dxa"/>
          </w:tcPr>
          <w:p w:rsidR="00FA0333" w:rsidRPr="00187DB0" w:rsidRDefault="00FA0333" w:rsidP="003B31AA">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The Ministry of Social Development (</w:t>
            </w:r>
            <w:r w:rsidR="003B31AA" w:rsidRPr="00187DB0">
              <w:rPr>
                <w:rFonts w:ascii="Arial" w:hAnsi="Arial" w:cs="Arial"/>
              </w:rPr>
              <w:t>F</w:t>
            </w:r>
            <w:r w:rsidRPr="00187DB0">
              <w:rPr>
                <w:rFonts w:ascii="Arial" w:hAnsi="Arial" w:cs="Arial"/>
              </w:rPr>
              <w:t>under)</w:t>
            </w:r>
            <w:r w:rsidR="00F40F1E">
              <w:rPr>
                <w:rFonts w:ascii="Arial" w:hAnsi="Arial" w:cs="Arial"/>
              </w:rPr>
              <w:t>.</w:t>
            </w:r>
          </w:p>
        </w:tc>
      </w:tr>
      <w:tr w:rsidR="00104E63" w:rsidRPr="00187DB0" w:rsidTr="00152B26">
        <w:tc>
          <w:tcPr>
            <w:tcW w:w="2518" w:type="dxa"/>
          </w:tcPr>
          <w:p w:rsidR="00104E63" w:rsidRPr="00187DB0" w:rsidRDefault="00104E63" w:rsidP="00A974EB">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My Plan (also known as Personal Plan or Plan)</w:t>
            </w:r>
          </w:p>
        </w:tc>
        <w:tc>
          <w:tcPr>
            <w:tcW w:w="6724" w:type="dxa"/>
          </w:tcPr>
          <w:p w:rsidR="00104E63" w:rsidRPr="00187DB0" w:rsidRDefault="00104E63" w:rsidP="00152B26">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A Person’s plan that records their thinking and aspirations. It is record of </w:t>
            </w:r>
            <w:r>
              <w:rPr>
                <w:rFonts w:ascii="Arial" w:hAnsi="Arial" w:cs="Arial"/>
              </w:rPr>
              <w:t xml:space="preserve">the </w:t>
            </w:r>
            <w:r w:rsidRPr="00187DB0">
              <w:rPr>
                <w:rFonts w:ascii="Arial" w:hAnsi="Arial" w:cs="Arial"/>
              </w:rPr>
              <w:t xml:space="preserve">Person’s choices, dreams, aspirations and desired outcomes. </w:t>
            </w:r>
          </w:p>
        </w:tc>
      </w:tr>
      <w:tr w:rsidR="00FA0333" w:rsidRPr="00187DB0" w:rsidTr="00F40F1E">
        <w:trPr>
          <w:trHeight w:val="1450"/>
        </w:trPr>
        <w:tc>
          <w:tcPr>
            <w:tcW w:w="2518" w:type="dxa"/>
          </w:tcPr>
          <w:p w:rsidR="00FA0333" w:rsidRPr="00187DB0" w:rsidRDefault="00FA0333">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lastRenderedPageBreak/>
              <w:t xml:space="preserve">NASC </w:t>
            </w:r>
          </w:p>
        </w:tc>
        <w:tc>
          <w:tcPr>
            <w:tcW w:w="6724" w:type="dxa"/>
          </w:tcPr>
          <w:p w:rsidR="00F40F1E" w:rsidRPr="00187DB0" w:rsidRDefault="00FA0333" w:rsidP="003B31AA">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Needs Assessment and Service Co-ordination</w:t>
            </w:r>
            <w:r w:rsidR="005A64DD">
              <w:rPr>
                <w:rFonts w:ascii="Arial" w:hAnsi="Arial" w:cs="Arial"/>
              </w:rPr>
              <w:t xml:space="preserve"> (NASC)</w:t>
            </w:r>
            <w:r w:rsidRPr="00187DB0">
              <w:rPr>
                <w:rFonts w:ascii="Arial" w:hAnsi="Arial" w:cs="Arial"/>
              </w:rPr>
              <w:t xml:space="preserve"> organisations. These organisations are funded by the Ministry of Health for </w:t>
            </w:r>
            <w:r w:rsidR="00DF23F3">
              <w:rPr>
                <w:rFonts w:ascii="Arial" w:hAnsi="Arial" w:cs="Arial"/>
              </w:rPr>
              <w:t>p</w:t>
            </w:r>
            <w:r w:rsidR="00DF23F3" w:rsidRPr="00187DB0">
              <w:rPr>
                <w:rFonts w:ascii="Arial" w:hAnsi="Arial" w:cs="Arial"/>
              </w:rPr>
              <w:t xml:space="preserve">eople </w:t>
            </w:r>
            <w:r w:rsidRPr="00187DB0">
              <w:rPr>
                <w:rFonts w:ascii="Arial" w:hAnsi="Arial" w:cs="Arial"/>
              </w:rPr>
              <w:t xml:space="preserve">with a lifelong disability usually </w:t>
            </w:r>
            <w:proofErr w:type="gramStart"/>
            <w:r w:rsidRPr="00187DB0">
              <w:rPr>
                <w:rFonts w:ascii="Arial" w:hAnsi="Arial" w:cs="Arial"/>
              </w:rPr>
              <w:t>under</w:t>
            </w:r>
            <w:proofErr w:type="gramEnd"/>
            <w:r w:rsidRPr="00187DB0">
              <w:rPr>
                <w:rFonts w:ascii="Arial" w:hAnsi="Arial" w:cs="Arial"/>
              </w:rPr>
              <w:t xml:space="preserve"> 65 years of age. Their roles are first to assess the Person’s needs, and then to coordinate other services to meet these needs and allocate a Personal Budget.</w:t>
            </w:r>
          </w:p>
        </w:tc>
      </w:tr>
      <w:tr w:rsidR="00265ADD" w:rsidRPr="00187DB0" w:rsidTr="00BD0A88">
        <w:tc>
          <w:tcPr>
            <w:tcW w:w="2518" w:type="dxa"/>
          </w:tcPr>
          <w:p w:rsidR="00265ADD" w:rsidRPr="00187DB0" w:rsidRDefault="00265ADD">
            <w:pPr>
              <w:overflowPunct w:val="0"/>
              <w:autoSpaceDE w:val="0"/>
              <w:autoSpaceDN w:val="0"/>
              <w:adjustRightInd w:val="0"/>
              <w:rPr>
                <w:rFonts w:ascii="Arial" w:hAnsi="Arial" w:cs="Arial"/>
              </w:rPr>
            </w:pPr>
            <w:r w:rsidRPr="00187DB0">
              <w:rPr>
                <w:rFonts w:ascii="Arial" w:hAnsi="Arial" w:cs="Arial"/>
              </w:rPr>
              <w:t>Navigator</w:t>
            </w:r>
          </w:p>
        </w:tc>
        <w:tc>
          <w:tcPr>
            <w:tcW w:w="6724" w:type="dxa"/>
          </w:tcPr>
          <w:p w:rsidR="00265ADD" w:rsidRPr="00187DB0" w:rsidRDefault="00265ADD" w:rsidP="004E48BD">
            <w:pPr>
              <w:overflowPunct w:val="0"/>
              <w:autoSpaceDE w:val="0"/>
              <w:autoSpaceDN w:val="0"/>
              <w:adjustRightInd w:val="0"/>
              <w:rPr>
                <w:rFonts w:ascii="Arial" w:hAnsi="Arial" w:cs="Arial"/>
              </w:rPr>
            </w:pPr>
            <w:r w:rsidRPr="00187DB0">
              <w:rPr>
                <w:rFonts w:ascii="Arial" w:hAnsi="Arial" w:cs="Arial"/>
              </w:rPr>
              <w:t xml:space="preserve">A person who can assist </w:t>
            </w:r>
            <w:r w:rsidR="00B929CD">
              <w:rPr>
                <w:rFonts w:ascii="Arial" w:hAnsi="Arial" w:cs="Arial"/>
              </w:rPr>
              <w:t>People</w:t>
            </w:r>
            <w:r w:rsidRPr="00187DB0">
              <w:rPr>
                <w:rFonts w:ascii="Arial" w:hAnsi="Arial" w:cs="Arial"/>
              </w:rPr>
              <w:t xml:space="preserve"> and family/</w:t>
            </w:r>
            <w:r w:rsidR="0074701E">
              <w:rPr>
                <w:rFonts w:ascii="Arial" w:hAnsi="Arial" w:cs="Arial"/>
              </w:rPr>
              <w:t>whānau</w:t>
            </w:r>
            <w:r w:rsidRPr="00187DB0">
              <w:rPr>
                <w:rFonts w:ascii="Arial" w:hAnsi="Arial" w:cs="Arial"/>
              </w:rPr>
              <w:t xml:space="preserve"> to consider existing options and create new possibilities. The degree of involvement an individual or family has with a Navigator is negotiated between the parties.</w:t>
            </w:r>
            <w:r w:rsidR="00B440AC">
              <w:rPr>
                <w:rFonts w:ascii="Arial" w:hAnsi="Arial" w:cs="Arial"/>
              </w:rPr>
              <w:t xml:space="preserve">  This role is independent of </w:t>
            </w:r>
            <w:r w:rsidR="004E48BD">
              <w:rPr>
                <w:rFonts w:ascii="Arial" w:hAnsi="Arial" w:cs="Arial"/>
              </w:rPr>
              <w:t>a</w:t>
            </w:r>
            <w:r w:rsidR="00B440AC">
              <w:rPr>
                <w:rFonts w:ascii="Arial" w:hAnsi="Arial" w:cs="Arial"/>
              </w:rPr>
              <w:t xml:space="preserve"> Provider</w:t>
            </w:r>
            <w:r w:rsidR="004E48BD">
              <w:rPr>
                <w:rFonts w:ascii="Arial" w:hAnsi="Arial" w:cs="Arial"/>
              </w:rPr>
              <w:t>.</w:t>
            </w:r>
          </w:p>
        </w:tc>
      </w:tr>
      <w:tr w:rsidR="00FA0333" w:rsidRPr="00187DB0" w:rsidTr="00BD0A88">
        <w:tc>
          <w:tcPr>
            <w:tcW w:w="2518" w:type="dxa"/>
          </w:tcPr>
          <w:p w:rsidR="00FA0333" w:rsidRPr="00187DB0" w:rsidRDefault="00FA0333" w:rsidP="00DF23F3">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Nominated </w:t>
            </w:r>
            <w:r w:rsidR="00DF23F3">
              <w:rPr>
                <w:rFonts w:ascii="Arial" w:hAnsi="Arial" w:cs="Arial"/>
              </w:rPr>
              <w:t>A</w:t>
            </w:r>
            <w:r w:rsidR="00DF23F3" w:rsidRPr="00187DB0">
              <w:rPr>
                <w:rFonts w:ascii="Arial" w:hAnsi="Arial" w:cs="Arial"/>
              </w:rPr>
              <w:t>gent</w:t>
            </w:r>
          </w:p>
        </w:tc>
        <w:tc>
          <w:tcPr>
            <w:tcW w:w="6724" w:type="dxa"/>
          </w:tcPr>
          <w:p w:rsidR="00FA0333" w:rsidRPr="00187DB0" w:rsidRDefault="00FA0333" w:rsidP="00DF23F3">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An individual </w:t>
            </w:r>
            <w:r w:rsidR="00715C58" w:rsidRPr="00187DB0">
              <w:rPr>
                <w:rFonts w:ascii="Arial" w:hAnsi="Arial" w:cs="Arial"/>
              </w:rPr>
              <w:t xml:space="preserve">(nominated by the </w:t>
            </w:r>
            <w:r w:rsidR="00DF23F3">
              <w:rPr>
                <w:rFonts w:ascii="Arial" w:hAnsi="Arial" w:cs="Arial"/>
              </w:rPr>
              <w:t>P</w:t>
            </w:r>
            <w:r w:rsidR="00DF23F3" w:rsidRPr="00187DB0">
              <w:rPr>
                <w:rFonts w:ascii="Arial" w:hAnsi="Arial" w:cs="Arial"/>
              </w:rPr>
              <w:t>erson</w:t>
            </w:r>
            <w:r w:rsidR="00715C58" w:rsidRPr="00187DB0">
              <w:rPr>
                <w:rFonts w:ascii="Arial" w:hAnsi="Arial" w:cs="Arial"/>
              </w:rPr>
              <w:t xml:space="preserve">) </w:t>
            </w:r>
            <w:r w:rsidRPr="00187DB0">
              <w:rPr>
                <w:rFonts w:ascii="Arial" w:hAnsi="Arial" w:cs="Arial"/>
              </w:rPr>
              <w:t>who is able to make decisions on behalf of the Person that relate to the management of the Person’s supports</w:t>
            </w:r>
            <w:r w:rsidR="00DF23F3">
              <w:rPr>
                <w:rFonts w:ascii="Arial" w:hAnsi="Arial" w:cs="Arial"/>
              </w:rPr>
              <w:t xml:space="preserve">. </w:t>
            </w:r>
            <w:r w:rsidR="00715C58" w:rsidRPr="00187DB0">
              <w:rPr>
                <w:rFonts w:ascii="Arial" w:hAnsi="Arial" w:cs="Arial"/>
              </w:rPr>
              <w:t xml:space="preserve">This </w:t>
            </w:r>
            <w:r w:rsidR="00DF23F3">
              <w:rPr>
                <w:rFonts w:ascii="Arial" w:hAnsi="Arial" w:cs="Arial"/>
              </w:rPr>
              <w:t>individual</w:t>
            </w:r>
            <w:r w:rsidR="00DF23F3" w:rsidRPr="00187DB0">
              <w:rPr>
                <w:rFonts w:ascii="Arial" w:hAnsi="Arial" w:cs="Arial"/>
              </w:rPr>
              <w:t xml:space="preserve"> </w:t>
            </w:r>
            <w:r w:rsidR="00715C58" w:rsidRPr="00187DB0">
              <w:rPr>
                <w:rFonts w:ascii="Arial" w:hAnsi="Arial" w:cs="Arial"/>
              </w:rPr>
              <w:t>will be identified through the assessment process.</w:t>
            </w:r>
          </w:p>
        </w:tc>
      </w:tr>
      <w:tr w:rsidR="00C96BFA" w:rsidRPr="00C96BFA" w:rsidTr="00BD0A88">
        <w:tc>
          <w:tcPr>
            <w:tcW w:w="2518" w:type="dxa"/>
          </w:tcPr>
          <w:p w:rsidR="00C96BFA" w:rsidRPr="00C96BFA" w:rsidRDefault="00C96BFA">
            <w:pPr>
              <w:overflowPunct w:val="0"/>
              <w:autoSpaceDE w:val="0"/>
              <w:autoSpaceDN w:val="0"/>
              <w:adjustRightInd w:val="0"/>
              <w:rPr>
                <w:rFonts w:ascii="Arial" w:hAnsi="Arial" w:cs="Arial"/>
              </w:rPr>
            </w:pPr>
            <w:r>
              <w:rPr>
                <w:rFonts w:ascii="Arial" w:hAnsi="Arial" w:cs="Arial"/>
              </w:rPr>
              <w:t>Outcome Agreement</w:t>
            </w:r>
          </w:p>
        </w:tc>
        <w:tc>
          <w:tcPr>
            <w:tcW w:w="6724" w:type="dxa"/>
          </w:tcPr>
          <w:p w:rsidR="00C96BFA" w:rsidRPr="00C96BFA" w:rsidRDefault="00C96BFA">
            <w:pPr>
              <w:overflowPunct w:val="0"/>
              <w:autoSpaceDE w:val="0"/>
              <w:autoSpaceDN w:val="0"/>
              <w:adjustRightInd w:val="0"/>
              <w:rPr>
                <w:rFonts w:ascii="Arial" w:hAnsi="Arial" w:cs="Arial"/>
              </w:rPr>
            </w:pPr>
            <w:r>
              <w:rPr>
                <w:rFonts w:ascii="Arial" w:hAnsi="Arial" w:cs="Arial"/>
              </w:rPr>
              <w:t>The Agreement terms entered between the Purchasing Agency and the Provider which incorporate this Tier Two Service Specification.</w:t>
            </w:r>
          </w:p>
        </w:tc>
      </w:tr>
      <w:tr w:rsidR="00715C58" w:rsidRPr="00187DB0" w:rsidTr="00BD0A88">
        <w:tc>
          <w:tcPr>
            <w:tcW w:w="2518" w:type="dxa"/>
          </w:tcPr>
          <w:p w:rsidR="00715C58" w:rsidRPr="00187DB0" w:rsidRDefault="00715C58">
            <w:pPr>
              <w:overflowPunct w:val="0"/>
              <w:autoSpaceDE w:val="0"/>
              <w:autoSpaceDN w:val="0"/>
              <w:adjustRightInd w:val="0"/>
              <w:rPr>
                <w:rFonts w:ascii="Arial" w:hAnsi="Arial" w:cs="Arial"/>
              </w:rPr>
            </w:pPr>
            <w:r w:rsidRPr="00187DB0">
              <w:rPr>
                <w:rFonts w:ascii="Arial" w:hAnsi="Arial" w:cs="Arial"/>
              </w:rPr>
              <w:t>Outcome</w:t>
            </w:r>
            <w:r w:rsidR="002D62EB">
              <w:rPr>
                <w:rFonts w:ascii="Arial" w:hAnsi="Arial" w:cs="Arial"/>
              </w:rPr>
              <w:t xml:space="preserve"> (goal)</w:t>
            </w:r>
          </w:p>
        </w:tc>
        <w:tc>
          <w:tcPr>
            <w:tcW w:w="6724" w:type="dxa"/>
          </w:tcPr>
          <w:p w:rsidR="00715C58" w:rsidRPr="00187DB0" w:rsidRDefault="00715C58">
            <w:pPr>
              <w:overflowPunct w:val="0"/>
              <w:autoSpaceDE w:val="0"/>
              <w:autoSpaceDN w:val="0"/>
              <w:adjustRightInd w:val="0"/>
              <w:rPr>
                <w:rFonts w:ascii="Arial" w:hAnsi="Arial" w:cs="Arial"/>
              </w:rPr>
            </w:pPr>
            <w:r w:rsidRPr="00187DB0">
              <w:rPr>
                <w:rFonts w:ascii="Arial" w:hAnsi="Arial" w:cs="Arial"/>
              </w:rPr>
              <w:t xml:space="preserve">An aspiration, target, objective or future condition that the Person wishes to achieve in relation to them leading an everyday life.  </w:t>
            </w:r>
          </w:p>
        </w:tc>
      </w:tr>
      <w:tr w:rsidR="00715C58" w:rsidRPr="00187DB0" w:rsidTr="00BD0A88">
        <w:tc>
          <w:tcPr>
            <w:tcW w:w="2518" w:type="dxa"/>
          </w:tcPr>
          <w:p w:rsidR="00715C58" w:rsidRPr="00187DB0" w:rsidRDefault="00715C5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Person/People</w:t>
            </w:r>
          </w:p>
        </w:tc>
        <w:tc>
          <w:tcPr>
            <w:tcW w:w="6724" w:type="dxa"/>
          </w:tcPr>
          <w:p w:rsidR="00715C58" w:rsidRPr="00187DB0" w:rsidRDefault="00715C58" w:rsidP="002D62EB">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An EGL </w:t>
            </w:r>
            <w:r w:rsidR="007F4F62">
              <w:rPr>
                <w:rFonts w:ascii="Arial" w:hAnsi="Arial" w:cs="Arial"/>
              </w:rPr>
              <w:t>p</w:t>
            </w:r>
            <w:r w:rsidRPr="00187DB0">
              <w:rPr>
                <w:rFonts w:ascii="Arial" w:hAnsi="Arial" w:cs="Arial"/>
              </w:rPr>
              <w:t xml:space="preserve">articipant who is eligible for inclusion in the Demonstration. </w:t>
            </w:r>
            <w:r w:rsidR="00B440AC">
              <w:rPr>
                <w:rFonts w:ascii="Arial" w:hAnsi="Arial" w:cs="Arial"/>
              </w:rPr>
              <w:t xml:space="preserve"> Eligibility of a Person </w:t>
            </w:r>
            <w:r w:rsidR="002D62EB">
              <w:rPr>
                <w:rFonts w:ascii="Arial" w:hAnsi="Arial" w:cs="Arial"/>
              </w:rPr>
              <w:t xml:space="preserve">to participate in the Demonstration </w:t>
            </w:r>
            <w:r w:rsidR="00B440AC">
              <w:rPr>
                <w:rFonts w:ascii="Arial" w:hAnsi="Arial" w:cs="Arial"/>
              </w:rPr>
              <w:t xml:space="preserve">is determined by the Demonstration Office in accordance with Funder policy from time to time.  </w:t>
            </w:r>
            <w:r w:rsidRPr="00187DB0">
              <w:rPr>
                <w:rFonts w:ascii="Arial" w:hAnsi="Arial" w:cs="Arial"/>
              </w:rPr>
              <w:t xml:space="preserve">This may also include the family/whānau at the Person’s request or their </w:t>
            </w:r>
            <w:r w:rsidR="00DF23F3">
              <w:rPr>
                <w:rFonts w:ascii="Arial" w:hAnsi="Arial" w:cs="Arial"/>
              </w:rPr>
              <w:t>N</w:t>
            </w:r>
            <w:r w:rsidR="00DF23F3" w:rsidRPr="00187DB0">
              <w:rPr>
                <w:rFonts w:ascii="Arial" w:hAnsi="Arial" w:cs="Arial"/>
              </w:rPr>
              <w:t xml:space="preserve">ominated </w:t>
            </w:r>
            <w:r w:rsidR="00DF23F3">
              <w:rPr>
                <w:rFonts w:ascii="Arial" w:hAnsi="Arial" w:cs="Arial"/>
              </w:rPr>
              <w:t>A</w:t>
            </w:r>
            <w:r w:rsidR="00DF23F3" w:rsidRPr="00187DB0">
              <w:rPr>
                <w:rFonts w:ascii="Arial" w:hAnsi="Arial" w:cs="Arial"/>
              </w:rPr>
              <w:t>gent</w:t>
            </w:r>
            <w:r w:rsidR="009D4812">
              <w:rPr>
                <w:rFonts w:ascii="Arial" w:hAnsi="Arial" w:cs="Arial"/>
              </w:rPr>
              <w:t>,</w:t>
            </w:r>
            <w:r w:rsidR="00743FEC">
              <w:rPr>
                <w:rFonts w:ascii="Arial" w:hAnsi="Arial" w:cs="Arial"/>
              </w:rPr>
              <w:t xml:space="preserve"> as the </w:t>
            </w:r>
            <w:r w:rsidR="00743FEC" w:rsidRPr="00993243">
              <w:rPr>
                <w:rFonts w:ascii="Arial" w:hAnsi="Arial" w:cs="Arial"/>
              </w:rPr>
              <w:t>representative</w:t>
            </w:r>
            <w:r w:rsidR="00743FEC">
              <w:rPr>
                <w:rFonts w:ascii="Arial" w:hAnsi="Arial" w:cs="Arial"/>
              </w:rPr>
              <w:t xml:space="preserve"> of the Person</w:t>
            </w:r>
            <w:r w:rsidRPr="00187DB0">
              <w:rPr>
                <w:rFonts w:ascii="Arial" w:hAnsi="Arial" w:cs="Arial"/>
              </w:rPr>
              <w:t>.</w:t>
            </w:r>
          </w:p>
        </w:tc>
      </w:tr>
      <w:tr w:rsidR="00715C58" w:rsidRPr="00187DB0" w:rsidTr="00BD0A88">
        <w:tc>
          <w:tcPr>
            <w:tcW w:w="2518" w:type="dxa"/>
          </w:tcPr>
          <w:p w:rsidR="00715C58" w:rsidRPr="00187DB0" w:rsidRDefault="00715C5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Personal Budget</w:t>
            </w:r>
          </w:p>
        </w:tc>
        <w:tc>
          <w:tcPr>
            <w:tcW w:w="6724" w:type="dxa"/>
          </w:tcPr>
          <w:p w:rsidR="00715C58" w:rsidRPr="00187DB0" w:rsidRDefault="00715C58" w:rsidP="002D62EB">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 xml:space="preserve">The amount of funding a Person is allocated by the </w:t>
            </w:r>
            <w:r w:rsidR="00001544">
              <w:rPr>
                <w:rFonts w:ascii="Arial" w:hAnsi="Arial" w:cs="Arial"/>
              </w:rPr>
              <w:t>Funding Manager</w:t>
            </w:r>
            <w:r w:rsidR="002D62EB">
              <w:rPr>
                <w:rFonts w:ascii="Arial" w:hAnsi="Arial" w:cs="Arial"/>
              </w:rPr>
              <w:t xml:space="preserve"> to enable them to purchase Disability Supports</w:t>
            </w:r>
            <w:r w:rsidRPr="00187DB0">
              <w:rPr>
                <w:rFonts w:ascii="Arial" w:hAnsi="Arial" w:cs="Arial"/>
              </w:rPr>
              <w:t>.</w:t>
            </w:r>
            <w:r w:rsidR="002C6B5D" w:rsidRPr="00187DB0">
              <w:rPr>
                <w:rFonts w:ascii="Arial" w:hAnsi="Arial" w:cs="Arial"/>
              </w:rPr>
              <w:t xml:space="preserve"> </w:t>
            </w:r>
            <w:r w:rsidRPr="00187DB0">
              <w:rPr>
                <w:rFonts w:ascii="Arial" w:hAnsi="Arial" w:cs="Arial"/>
              </w:rPr>
              <w:t xml:space="preserve">This can comprise of MOE, MOH and/or MSD contributions. </w:t>
            </w:r>
            <w:r w:rsidR="002C6B5D" w:rsidRPr="00187DB0">
              <w:rPr>
                <w:rFonts w:ascii="Arial" w:hAnsi="Arial" w:cs="Arial"/>
              </w:rPr>
              <w:t>A Personal Budget has a start date</w:t>
            </w:r>
            <w:r w:rsidR="00DF23F3">
              <w:rPr>
                <w:rFonts w:ascii="Arial" w:hAnsi="Arial" w:cs="Arial"/>
              </w:rPr>
              <w:t>,</w:t>
            </w:r>
            <w:r w:rsidR="002C6B5D" w:rsidRPr="00187DB0">
              <w:rPr>
                <w:rFonts w:ascii="Arial" w:hAnsi="Arial" w:cs="Arial"/>
              </w:rPr>
              <w:t xml:space="preserve"> an end date and is usually a year long.</w:t>
            </w:r>
            <w:r w:rsidRPr="00187DB0">
              <w:rPr>
                <w:rFonts w:ascii="Arial" w:hAnsi="Arial" w:cs="Arial"/>
              </w:rPr>
              <w:t xml:space="preserve"> </w:t>
            </w:r>
          </w:p>
        </w:tc>
      </w:tr>
      <w:tr w:rsidR="0081460B" w:rsidRPr="0081460B" w:rsidTr="00152B26">
        <w:tc>
          <w:tcPr>
            <w:tcW w:w="2518" w:type="dxa"/>
          </w:tcPr>
          <w:p w:rsidR="0081460B" w:rsidRPr="00602F10" w:rsidRDefault="0081460B" w:rsidP="00152B26">
            <w:pPr>
              <w:overflowPunct w:val="0"/>
              <w:autoSpaceDE w:val="0"/>
              <w:autoSpaceDN w:val="0"/>
              <w:adjustRightInd w:val="0"/>
              <w:rPr>
                <w:rFonts w:ascii="Arial" w:hAnsi="Arial" w:cs="Arial"/>
              </w:rPr>
            </w:pPr>
            <w:r w:rsidRPr="00602F10">
              <w:rPr>
                <w:rFonts w:ascii="Arial" w:hAnsi="Arial" w:cs="Arial"/>
              </w:rPr>
              <w:t>Purchasing Agency</w:t>
            </w:r>
          </w:p>
        </w:tc>
        <w:tc>
          <w:tcPr>
            <w:tcW w:w="6724" w:type="dxa"/>
          </w:tcPr>
          <w:p w:rsidR="0081460B" w:rsidRPr="00602F10" w:rsidRDefault="0081460B" w:rsidP="00152B26">
            <w:pPr>
              <w:overflowPunct w:val="0"/>
              <w:autoSpaceDE w:val="0"/>
              <w:autoSpaceDN w:val="0"/>
              <w:adjustRightInd w:val="0"/>
              <w:rPr>
                <w:rFonts w:ascii="Arial" w:hAnsi="Arial" w:cs="Arial"/>
              </w:rPr>
            </w:pPr>
            <w:r>
              <w:rPr>
                <w:rFonts w:ascii="Arial" w:hAnsi="Arial" w:cs="Arial"/>
              </w:rPr>
              <w:t>The Ministry of Health</w:t>
            </w:r>
          </w:p>
        </w:tc>
      </w:tr>
      <w:tr w:rsidR="00715C58" w:rsidRPr="00187DB0" w:rsidTr="003D7797">
        <w:tc>
          <w:tcPr>
            <w:tcW w:w="2518" w:type="dxa"/>
          </w:tcPr>
          <w:p w:rsidR="00715C58" w:rsidRPr="00187DB0" w:rsidRDefault="00715C58" w:rsidP="002C6B5D">
            <w:pPr>
              <w:overflowPunct w:val="0"/>
              <w:autoSpaceDE w:val="0"/>
              <w:autoSpaceDN w:val="0"/>
              <w:adjustRightInd w:val="0"/>
              <w:spacing w:line="276" w:lineRule="auto"/>
              <w:jc w:val="left"/>
              <w:rPr>
                <w:rFonts w:ascii="Arial" w:hAnsi="Arial" w:cs="Arial"/>
                <w:sz w:val="24"/>
                <w:szCs w:val="24"/>
                <w:lang w:val="en-GB" w:eastAsia="en-US"/>
              </w:rPr>
            </w:pPr>
            <w:r w:rsidRPr="00187DB0">
              <w:rPr>
                <w:rFonts w:ascii="Arial" w:hAnsi="Arial" w:cs="Arial"/>
              </w:rPr>
              <w:t>Purchasing Guidelines</w:t>
            </w:r>
            <w:r w:rsidR="0081460B">
              <w:rPr>
                <w:rFonts w:ascii="Arial" w:hAnsi="Arial" w:cs="Arial"/>
              </w:rPr>
              <w:t xml:space="preserve"> or EGL Purchasing Guidelines</w:t>
            </w:r>
          </w:p>
        </w:tc>
        <w:tc>
          <w:tcPr>
            <w:tcW w:w="6724" w:type="dxa"/>
          </w:tcPr>
          <w:p w:rsidR="00715C58" w:rsidRPr="00187DB0" w:rsidRDefault="00715C58" w:rsidP="002D62EB">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The Purchasing Guidelines set out what people can buy with the funding they have been allocated by the EGL Funding Manager</w:t>
            </w:r>
            <w:r w:rsidR="00AA40A2">
              <w:rPr>
                <w:rFonts w:ascii="Arial" w:hAnsi="Arial" w:cs="Arial"/>
              </w:rPr>
              <w:t xml:space="preserve"> or the NASC</w:t>
            </w:r>
            <w:r w:rsidRPr="00187DB0">
              <w:rPr>
                <w:rFonts w:ascii="Arial" w:hAnsi="Arial" w:cs="Arial"/>
              </w:rPr>
              <w:t>.</w:t>
            </w:r>
            <w:r w:rsidR="00FB6F11">
              <w:rPr>
                <w:rFonts w:ascii="Arial" w:hAnsi="Arial" w:cs="Arial"/>
              </w:rPr>
              <w:t xml:space="preserve">  The </w:t>
            </w:r>
            <w:r w:rsidR="00B440AC">
              <w:rPr>
                <w:rFonts w:ascii="Arial" w:hAnsi="Arial" w:cs="Arial"/>
              </w:rPr>
              <w:t xml:space="preserve">Purchasing </w:t>
            </w:r>
            <w:r w:rsidR="00FB6F11">
              <w:rPr>
                <w:rFonts w:ascii="Arial" w:hAnsi="Arial" w:cs="Arial"/>
              </w:rPr>
              <w:t xml:space="preserve">Guidelines are contained in Appendix A of this </w:t>
            </w:r>
            <w:r w:rsidR="00D410B4">
              <w:rPr>
                <w:rFonts w:ascii="Arial" w:hAnsi="Arial" w:cs="Arial"/>
              </w:rPr>
              <w:t xml:space="preserve">Service </w:t>
            </w:r>
            <w:r w:rsidR="00FB6F11">
              <w:rPr>
                <w:rFonts w:ascii="Arial" w:hAnsi="Arial" w:cs="Arial"/>
              </w:rPr>
              <w:t>Specification</w:t>
            </w:r>
            <w:r w:rsidR="00634F96">
              <w:rPr>
                <w:rFonts w:ascii="Arial" w:hAnsi="Arial" w:cs="Arial"/>
              </w:rPr>
              <w:t>, and if they are updated by the Ministry at any time that updated version will apply</w:t>
            </w:r>
            <w:r w:rsidR="00FB6F11">
              <w:rPr>
                <w:rFonts w:ascii="Arial" w:hAnsi="Arial" w:cs="Arial"/>
              </w:rPr>
              <w:t>.</w:t>
            </w:r>
          </w:p>
        </w:tc>
      </w:tr>
      <w:tr w:rsidR="00715C58" w:rsidRPr="00187DB0" w:rsidTr="00BD0A88">
        <w:tc>
          <w:tcPr>
            <w:tcW w:w="2518" w:type="dxa"/>
          </w:tcPr>
          <w:p w:rsidR="00715C58" w:rsidRPr="00187DB0" w:rsidRDefault="00715C5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Self-Managing</w:t>
            </w:r>
          </w:p>
        </w:tc>
        <w:tc>
          <w:tcPr>
            <w:tcW w:w="6724" w:type="dxa"/>
          </w:tcPr>
          <w:p w:rsidR="00715C58" w:rsidRPr="00187DB0" w:rsidRDefault="00715C5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t>Where the Person dir</w:t>
            </w:r>
            <w:r w:rsidR="00F40F1E">
              <w:rPr>
                <w:rFonts w:ascii="Arial" w:hAnsi="Arial" w:cs="Arial"/>
              </w:rPr>
              <w:t xml:space="preserve">ectly employs and handles </w:t>
            </w:r>
            <w:proofErr w:type="gramStart"/>
            <w:r w:rsidR="00F40F1E">
              <w:rPr>
                <w:rFonts w:ascii="Arial" w:hAnsi="Arial" w:cs="Arial"/>
              </w:rPr>
              <w:t xml:space="preserve">their </w:t>
            </w:r>
            <w:r w:rsidRPr="00187DB0">
              <w:rPr>
                <w:rFonts w:ascii="Arial" w:hAnsi="Arial" w:cs="Arial"/>
              </w:rPr>
              <w:t>own</w:t>
            </w:r>
            <w:proofErr w:type="gramEnd"/>
            <w:r w:rsidRPr="00187DB0">
              <w:rPr>
                <w:rFonts w:ascii="Arial" w:hAnsi="Arial" w:cs="Arial"/>
              </w:rPr>
              <w:t xml:space="preserve"> payroll and other obligations. Funding will </w:t>
            </w:r>
            <w:r w:rsidR="00F40F1E">
              <w:rPr>
                <w:rFonts w:ascii="Arial" w:hAnsi="Arial" w:cs="Arial"/>
              </w:rPr>
              <w:t xml:space="preserve">be </w:t>
            </w:r>
            <w:r w:rsidRPr="00187DB0">
              <w:rPr>
                <w:rFonts w:ascii="Arial" w:hAnsi="Arial" w:cs="Arial"/>
              </w:rPr>
              <w:t>placed directly in a Person</w:t>
            </w:r>
            <w:r w:rsidR="00B4514D">
              <w:rPr>
                <w:rFonts w:ascii="Arial" w:hAnsi="Arial" w:cs="Arial"/>
              </w:rPr>
              <w:t>’</w:t>
            </w:r>
            <w:r w:rsidRPr="00187DB0">
              <w:rPr>
                <w:rFonts w:ascii="Arial" w:hAnsi="Arial" w:cs="Arial"/>
              </w:rPr>
              <w:t xml:space="preserve">s bank account when the Host receives validation that support services have been purchased or received. The Person will then be able to pay for </w:t>
            </w:r>
            <w:proofErr w:type="gramStart"/>
            <w:r w:rsidRPr="00187DB0">
              <w:rPr>
                <w:rFonts w:ascii="Arial" w:hAnsi="Arial" w:cs="Arial"/>
              </w:rPr>
              <w:t>their own</w:t>
            </w:r>
            <w:proofErr w:type="gramEnd"/>
            <w:r w:rsidRPr="00187DB0">
              <w:rPr>
                <w:rFonts w:ascii="Arial" w:hAnsi="Arial" w:cs="Arial"/>
              </w:rPr>
              <w:t xml:space="preserve"> supports.</w:t>
            </w:r>
          </w:p>
        </w:tc>
      </w:tr>
      <w:tr w:rsidR="00D410B4" w:rsidRPr="00634F96" w:rsidDel="007F4F62" w:rsidTr="00D0319E">
        <w:tc>
          <w:tcPr>
            <w:tcW w:w="2518" w:type="dxa"/>
          </w:tcPr>
          <w:p w:rsidR="00D410B4" w:rsidRPr="00634F96" w:rsidDel="007F4F62" w:rsidRDefault="00D410B4" w:rsidP="00D0319E">
            <w:pPr>
              <w:overflowPunct w:val="0"/>
              <w:autoSpaceDE w:val="0"/>
              <w:autoSpaceDN w:val="0"/>
              <w:adjustRightInd w:val="0"/>
              <w:rPr>
                <w:rFonts w:ascii="Arial" w:hAnsi="Arial" w:cs="Arial"/>
              </w:rPr>
            </w:pPr>
            <w:r>
              <w:rPr>
                <w:rFonts w:ascii="Arial" w:hAnsi="Arial" w:cs="Arial"/>
              </w:rPr>
              <w:t xml:space="preserve">Service </w:t>
            </w:r>
            <w:r w:rsidRPr="00634F96">
              <w:rPr>
                <w:rFonts w:ascii="Arial" w:hAnsi="Arial" w:cs="Arial"/>
              </w:rPr>
              <w:t>Specification</w:t>
            </w:r>
          </w:p>
        </w:tc>
        <w:tc>
          <w:tcPr>
            <w:tcW w:w="6724" w:type="dxa"/>
          </w:tcPr>
          <w:p w:rsidR="00D410B4" w:rsidRPr="00634F96" w:rsidDel="007F4F62" w:rsidRDefault="00D410B4" w:rsidP="00D0319E">
            <w:pPr>
              <w:rPr>
                <w:rFonts w:ascii="Arial" w:hAnsi="Arial" w:cs="Arial"/>
              </w:rPr>
            </w:pPr>
            <w:r>
              <w:rPr>
                <w:rFonts w:ascii="Arial" w:hAnsi="Arial" w:cs="Arial"/>
              </w:rPr>
              <w:t>This Specification for Flexible Disability Supports – Enabling Good Lives, incorporating all Appendices</w:t>
            </w:r>
          </w:p>
        </w:tc>
      </w:tr>
      <w:tr w:rsidR="007F4F62" w:rsidRPr="00187DB0" w:rsidTr="00152B26">
        <w:tc>
          <w:tcPr>
            <w:tcW w:w="2518" w:type="dxa"/>
          </w:tcPr>
          <w:p w:rsidR="007F4F62" w:rsidRPr="00187DB0" w:rsidRDefault="007F4F62" w:rsidP="00152B26">
            <w:pPr>
              <w:overflowPunct w:val="0"/>
              <w:autoSpaceDE w:val="0"/>
              <w:autoSpaceDN w:val="0"/>
              <w:adjustRightInd w:val="0"/>
              <w:rPr>
                <w:rFonts w:ascii="Arial" w:hAnsi="Arial" w:cs="Arial"/>
              </w:rPr>
            </w:pPr>
            <w:r w:rsidRPr="00187DB0">
              <w:rPr>
                <w:rFonts w:ascii="Arial" w:hAnsi="Arial" w:cs="Arial"/>
              </w:rPr>
              <w:t>Stakeholders</w:t>
            </w:r>
          </w:p>
        </w:tc>
        <w:tc>
          <w:tcPr>
            <w:tcW w:w="6724" w:type="dxa"/>
          </w:tcPr>
          <w:p w:rsidR="007F4F62" w:rsidRPr="00187DB0" w:rsidRDefault="007F4F62" w:rsidP="00152B26">
            <w:pPr>
              <w:rPr>
                <w:rFonts w:ascii="Arial" w:hAnsi="Arial" w:cs="Arial"/>
              </w:rPr>
            </w:pPr>
            <w:r w:rsidRPr="00187DB0">
              <w:rPr>
                <w:rFonts w:ascii="Arial" w:hAnsi="Arial" w:cs="Arial"/>
              </w:rPr>
              <w:t xml:space="preserve">Stakeholders are people/organisations who support the Person.  This may include a Navigator employed </w:t>
            </w:r>
            <w:r>
              <w:rPr>
                <w:rFonts w:ascii="Arial" w:hAnsi="Arial" w:cs="Arial"/>
              </w:rPr>
              <w:t>within</w:t>
            </w:r>
            <w:r w:rsidRPr="00187DB0">
              <w:rPr>
                <w:rFonts w:ascii="Arial" w:hAnsi="Arial" w:cs="Arial"/>
              </w:rPr>
              <w:t xml:space="preserve"> the Demonstration. </w:t>
            </w:r>
          </w:p>
        </w:tc>
      </w:tr>
      <w:tr w:rsidR="00715C58" w:rsidRPr="00187DB0" w:rsidTr="00BD0A88">
        <w:tc>
          <w:tcPr>
            <w:tcW w:w="2518" w:type="dxa"/>
          </w:tcPr>
          <w:p w:rsidR="00715C58" w:rsidRPr="00187DB0" w:rsidRDefault="00715C58" w:rsidP="00FA0333">
            <w:pPr>
              <w:overflowPunct w:val="0"/>
              <w:autoSpaceDE w:val="0"/>
              <w:autoSpaceDN w:val="0"/>
              <w:adjustRightInd w:val="0"/>
              <w:rPr>
                <w:rFonts w:ascii="Arial" w:hAnsi="Arial" w:cs="Arial"/>
              </w:rPr>
            </w:pPr>
            <w:r w:rsidRPr="00187DB0">
              <w:rPr>
                <w:rFonts w:ascii="Arial" w:hAnsi="Arial" w:cs="Arial"/>
              </w:rPr>
              <w:t>Support Agreement</w:t>
            </w:r>
          </w:p>
        </w:tc>
        <w:tc>
          <w:tcPr>
            <w:tcW w:w="6724" w:type="dxa"/>
          </w:tcPr>
          <w:p w:rsidR="00715C58" w:rsidRPr="00187DB0" w:rsidRDefault="00715C58" w:rsidP="002D62EB">
            <w:pPr>
              <w:overflowPunct w:val="0"/>
              <w:autoSpaceDE w:val="0"/>
              <w:autoSpaceDN w:val="0"/>
              <w:adjustRightInd w:val="0"/>
              <w:rPr>
                <w:rFonts w:ascii="Arial" w:hAnsi="Arial" w:cs="Arial"/>
              </w:rPr>
            </w:pPr>
            <w:r w:rsidRPr="00187DB0">
              <w:rPr>
                <w:rFonts w:ascii="Arial" w:hAnsi="Arial" w:cs="Arial"/>
              </w:rPr>
              <w:t xml:space="preserve">A Support Agreement is between a </w:t>
            </w:r>
            <w:r w:rsidR="00EC5ABE" w:rsidRPr="00187DB0">
              <w:rPr>
                <w:rFonts w:ascii="Arial" w:hAnsi="Arial" w:cs="Arial"/>
              </w:rPr>
              <w:t>P</w:t>
            </w:r>
            <w:r w:rsidRPr="00187DB0">
              <w:rPr>
                <w:rFonts w:ascii="Arial" w:hAnsi="Arial" w:cs="Arial"/>
              </w:rPr>
              <w:t>erson</w:t>
            </w:r>
            <w:r w:rsidR="00EC5ABE" w:rsidRPr="00187DB0">
              <w:rPr>
                <w:rFonts w:ascii="Arial" w:hAnsi="Arial" w:cs="Arial"/>
              </w:rPr>
              <w:t xml:space="preserve"> </w:t>
            </w:r>
            <w:r w:rsidR="00AA40A2">
              <w:rPr>
                <w:rFonts w:ascii="Arial" w:hAnsi="Arial" w:cs="Arial"/>
              </w:rPr>
              <w:t>and</w:t>
            </w:r>
            <w:r w:rsidR="00AA40A2" w:rsidRPr="00187DB0">
              <w:rPr>
                <w:rFonts w:ascii="Arial" w:hAnsi="Arial" w:cs="Arial"/>
              </w:rPr>
              <w:t xml:space="preserve"> </w:t>
            </w:r>
            <w:r w:rsidR="00152999">
              <w:rPr>
                <w:rFonts w:ascii="Arial" w:hAnsi="Arial" w:cs="Arial"/>
              </w:rPr>
              <w:t xml:space="preserve">their chosen Provider.  It will </w:t>
            </w:r>
            <w:r w:rsidR="00152999" w:rsidRPr="00187DB0">
              <w:rPr>
                <w:rFonts w:ascii="Arial" w:hAnsi="Arial" w:cs="Arial"/>
              </w:rPr>
              <w:t xml:space="preserve">document what </w:t>
            </w:r>
            <w:r w:rsidR="00152999">
              <w:rPr>
                <w:rFonts w:ascii="Arial" w:hAnsi="Arial" w:cs="Arial"/>
              </w:rPr>
              <w:t>Flexible Disability S</w:t>
            </w:r>
            <w:r w:rsidR="00152999" w:rsidRPr="00187DB0">
              <w:rPr>
                <w:rFonts w:ascii="Arial" w:hAnsi="Arial" w:cs="Arial"/>
              </w:rPr>
              <w:t>upport</w:t>
            </w:r>
            <w:r w:rsidR="004E48BD">
              <w:rPr>
                <w:rFonts w:ascii="Arial" w:hAnsi="Arial" w:cs="Arial"/>
              </w:rPr>
              <w:t>s</w:t>
            </w:r>
            <w:r w:rsidR="00152999" w:rsidRPr="00187DB0">
              <w:rPr>
                <w:rFonts w:ascii="Arial" w:hAnsi="Arial" w:cs="Arial"/>
              </w:rPr>
              <w:t xml:space="preserve"> </w:t>
            </w:r>
            <w:r w:rsidR="004E48BD">
              <w:rPr>
                <w:rFonts w:ascii="Arial" w:hAnsi="Arial" w:cs="Arial"/>
              </w:rPr>
              <w:t>are</w:t>
            </w:r>
            <w:r w:rsidR="00152999" w:rsidRPr="00187DB0">
              <w:rPr>
                <w:rFonts w:ascii="Arial" w:hAnsi="Arial" w:cs="Arial"/>
              </w:rPr>
              <w:t xml:space="preserve"> delivered</w:t>
            </w:r>
            <w:r w:rsidR="00152999">
              <w:rPr>
                <w:rFonts w:ascii="Arial" w:hAnsi="Arial" w:cs="Arial"/>
              </w:rPr>
              <w:t>,</w:t>
            </w:r>
            <w:r w:rsidR="00152999" w:rsidRPr="00187DB0">
              <w:rPr>
                <w:rFonts w:ascii="Arial" w:hAnsi="Arial" w:cs="Arial"/>
              </w:rPr>
              <w:t xml:space="preserve"> and how </w:t>
            </w:r>
            <w:r w:rsidR="004E48BD">
              <w:rPr>
                <w:rFonts w:ascii="Arial" w:hAnsi="Arial" w:cs="Arial"/>
              </w:rPr>
              <w:lastRenderedPageBreak/>
              <w:t xml:space="preserve">they are </w:t>
            </w:r>
            <w:r w:rsidR="00152999">
              <w:rPr>
                <w:rFonts w:ascii="Arial" w:hAnsi="Arial" w:cs="Arial"/>
              </w:rPr>
              <w:t xml:space="preserve">to be </w:t>
            </w:r>
            <w:r w:rsidR="00152999" w:rsidRPr="00187DB0">
              <w:rPr>
                <w:rFonts w:ascii="Arial" w:hAnsi="Arial" w:cs="Arial"/>
              </w:rPr>
              <w:t>delivered</w:t>
            </w:r>
            <w:r w:rsidR="00152999">
              <w:rPr>
                <w:rFonts w:ascii="Arial" w:hAnsi="Arial" w:cs="Arial"/>
              </w:rPr>
              <w:t xml:space="preserve"> and is further described in clause 6.3</w:t>
            </w:r>
            <w:r w:rsidR="002D62EB">
              <w:rPr>
                <w:rFonts w:ascii="Arial" w:hAnsi="Arial" w:cs="Arial"/>
              </w:rPr>
              <w:t xml:space="preserve">. </w:t>
            </w:r>
            <w:r w:rsidRPr="00187DB0">
              <w:rPr>
                <w:rFonts w:ascii="Arial" w:hAnsi="Arial" w:cs="Arial"/>
              </w:rPr>
              <w:t xml:space="preserve">This </w:t>
            </w:r>
            <w:r w:rsidR="00152999">
              <w:rPr>
                <w:rFonts w:ascii="Arial" w:hAnsi="Arial" w:cs="Arial"/>
              </w:rPr>
              <w:t xml:space="preserve">Support Agreement </w:t>
            </w:r>
            <w:r w:rsidRPr="00187DB0">
              <w:rPr>
                <w:rFonts w:ascii="Arial" w:hAnsi="Arial" w:cs="Arial"/>
              </w:rPr>
              <w:t xml:space="preserve">replaces the Individual Service Plan </w:t>
            </w:r>
            <w:r w:rsidR="00152999">
              <w:rPr>
                <w:rFonts w:ascii="Arial" w:hAnsi="Arial" w:cs="Arial"/>
              </w:rPr>
              <w:t>in the case of Direct Fundholding.</w:t>
            </w:r>
          </w:p>
        </w:tc>
      </w:tr>
      <w:tr w:rsidR="00715C58" w:rsidRPr="00187DB0" w:rsidTr="00BD0A88">
        <w:tc>
          <w:tcPr>
            <w:tcW w:w="2518" w:type="dxa"/>
          </w:tcPr>
          <w:p w:rsidR="00715C58" w:rsidRPr="00187DB0" w:rsidRDefault="00715C58">
            <w:pPr>
              <w:overflowPunct w:val="0"/>
              <w:autoSpaceDE w:val="0"/>
              <w:autoSpaceDN w:val="0"/>
              <w:adjustRightInd w:val="0"/>
              <w:spacing w:line="276" w:lineRule="auto"/>
              <w:rPr>
                <w:rFonts w:ascii="Arial" w:hAnsi="Arial" w:cs="Arial"/>
                <w:sz w:val="24"/>
                <w:szCs w:val="24"/>
                <w:lang w:val="en-GB" w:eastAsia="en-US"/>
              </w:rPr>
            </w:pPr>
            <w:r w:rsidRPr="00187DB0">
              <w:rPr>
                <w:rFonts w:ascii="Arial" w:hAnsi="Arial" w:cs="Arial"/>
              </w:rPr>
              <w:lastRenderedPageBreak/>
              <w:t>Support Worker</w:t>
            </w:r>
          </w:p>
        </w:tc>
        <w:tc>
          <w:tcPr>
            <w:tcW w:w="6724" w:type="dxa"/>
          </w:tcPr>
          <w:p w:rsidR="00715C58" w:rsidRPr="00187DB0" w:rsidRDefault="00715C58">
            <w:pPr>
              <w:spacing w:line="276" w:lineRule="auto"/>
              <w:rPr>
                <w:rFonts w:ascii="Arial" w:hAnsi="Arial" w:cs="Arial"/>
                <w:szCs w:val="24"/>
                <w:lang w:val="en-GB"/>
              </w:rPr>
            </w:pPr>
            <w:r w:rsidRPr="00187DB0">
              <w:rPr>
                <w:rFonts w:ascii="Arial" w:hAnsi="Arial" w:cs="Arial"/>
              </w:rPr>
              <w:t>An individual who is responsible for delivering support services and includes the provision of direct care or support service to the Person and covers all staff who are:</w:t>
            </w:r>
          </w:p>
          <w:p w:rsidR="00715C58" w:rsidRPr="00187DB0" w:rsidRDefault="00715C58" w:rsidP="00C566A6">
            <w:pPr>
              <w:pStyle w:val="ListParagraph"/>
              <w:numPr>
                <w:ilvl w:val="0"/>
                <w:numId w:val="13"/>
              </w:numPr>
              <w:overflowPunct w:val="0"/>
              <w:autoSpaceDE w:val="0"/>
              <w:autoSpaceDN w:val="0"/>
              <w:adjustRightInd w:val="0"/>
              <w:spacing w:line="276" w:lineRule="auto"/>
              <w:rPr>
                <w:rFonts w:ascii="Arial" w:hAnsi="Arial"/>
              </w:rPr>
            </w:pPr>
            <w:r w:rsidRPr="00187DB0">
              <w:rPr>
                <w:rFonts w:ascii="Arial" w:hAnsi="Arial"/>
              </w:rPr>
              <w:t>Employed</w:t>
            </w:r>
          </w:p>
          <w:p w:rsidR="00715C58" w:rsidRPr="00187DB0" w:rsidRDefault="00715C58" w:rsidP="00C566A6">
            <w:pPr>
              <w:pStyle w:val="ListParagraph"/>
              <w:numPr>
                <w:ilvl w:val="0"/>
                <w:numId w:val="13"/>
              </w:numPr>
              <w:overflowPunct w:val="0"/>
              <w:autoSpaceDE w:val="0"/>
              <w:autoSpaceDN w:val="0"/>
              <w:adjustRightInd w:val="0"/>
              <w:spacing w:line="276" w:lineRule="auto"/>
              <w:rPr>
                <w:rFonts w:ascii="Arial" w:hAnsi="Arial"/>
              </w:rPr>
            </w:pPr>
            <w:r w:rsidRPr="00187DB0">
              <w:rPr>
                <w:rFonts w:ascii="Arial" w:hAnsi="Arial"/>
              </w:rPr>
              <w:t>Contracted</w:t>
            </w:r>
          </w:p>
          <w:p w:rsidR="00715C58" w:rsidRPr="00F40F1E" w:rsidRDefault="00715C58" w:rsidP="00DF23F3">
            <w:pPr>
              <w:pStyle w:val="ListParagraph"/>
              <w:numPr>
                <w:ilvl w:val="0"/>
                <w:numId w:val="13"/>
              </w:numPr>
              <w:overflowPunct w:val="0"/>
              <w:autoSpaceDE w:val="0"/>
              <w:autoSpaceDN w:val="0"/>
              <w:adjustRightInd w:val="0"/>
              <w:spacing w:line="276" w:lineRule="auto"/>
              <w:rPr>
                <w:rFonts w:ascii="Arial" w:hAnsi="Arial"/>
              </w:rPr>
            </w:pPr>
            <w:r w:rsidRPr="00187DB0">
              <w:rPr>
                <w:rFonts w:ascii="Arial" w:hAnsi="Arial"/>
              </w:rPr>
              <w:t xml:space="preserve">Volunteer Support Workers accountable to the </w:t>
            </w:r>
            <w:r w:rsidR="00DF23F3">
              <w:rPr>
                <w:rFonts w:ascii="Arial" w:hAnsi="Arial"/>
              </w:rPr>
              <w:t>Provider</w:t>
            </w:r>
            <w:r w:rsidRPr="00187DB0">
              <w:rPr>
                <w:rFonts w:ascii="Arial" w:hAnsi="Arial"/>
              </w:rPr>
              <w:t>.</w:t>
            </w:r>
          </w:p>
        </w:tc>
      </w:tr>
    </w:tbl>
    <w:bookmarkEnd w:id="1"/>
    <w:p w:rsidR="00BC4BE9" w:rsidRPr="00BD0A88" w:rsidRDefault="00BC4BE9" w:rsidP="00E4436A">
      <w:pPr>
        <w:pStyle w:val="Heading2"/>
      </w:pPr>
      <w:r w:rsidRPr="00BD0A88">
        <w:t>Service Objectives</w:t>
      </w:r>
    </w:p>
    <w:p w:rsidR="00822CF6" w:rsidRDefault="008632B3" w:rsidP="001E23AC">
      <w:pPr>
        <w:jc w:val="both"/>
      </w:pPr>
      <w:r w:rsidRPr="00BD0A88">
        <w:t xml:space="preserve">The </w:t>
      </w:r>
      <w:r w:rsidR="00A71776" w:rsidRPr="00BD0A88">
        <w:t xml:space="preserve">Person </w:t>
      </w:r>
      <w:r w:rsidRPr="00BD0A88">
        <w:t xml:space="preserve">receives </w:t>
      </w:r>
      <w:r w:rsidR="00822CF6">
        <w:t xml:space="preserve">Flexible </w:t>
      </w:r>
      <w:r w:rsidR="006F092A">
        <w:t>Disability Support</w:t>
      </w:r>
      <w:r w:rsidR="00EC5ABE">
        <w:t>s</w:t>
      </w:r>
      <w:r w:rsidRPr="00BD0A88">
        <w:t xml:space="preserve"> to </w:t>
      </w:r>
      <w:r w:rsidR="00AA40A2">
        <w:t>support</w:t>
      </w:r>
      <w:r w:rsidR="00AA40A2" w:rsidRPr="00BD0A88">
        <w:t xml:space="preserve"> </w:t>
      </w:r>
      <w:r w:rsidRPr="00BD0A88">
        <w:t xml:space="preserve">them </w:t>
      </w:r>
      <w:r w:rsidR="00AA40A2">
        <w:t>in</w:t>
      </w:r>
      <w:r w:rsidR="00AA40A2" w:rsidRPr="00BD0A88">
        <w:t xml:space="preserve"> </w:t>
      </w:r>
      <w:r w:rsidR="00AA40A2">
        <w:t>living</w:t>
      </w:r>
      <w:r w:rsidR="00AA40A2" w:rsidRPr="00BD0A88">
        <w:t xml:space="preserve"> </w:t>
      </w:r>
      <w:r w:rsidR="006F092A">
        <w:t>the</w:t>
      </w:r>
      <w:r w:rsidRPr="00BD0A88">
        <w:t xml:space="preserve"> everyday life</w:t>
      </w:r>
      <w:r w:rsidR="006F092A">
        <w:t xml:space="preserve"> that they choose</w:t>
      </w:r>
      <w:r w:rsidRPr="00BD0A88">
        <w:t xml:space="preserve">. </w:t>
      </w:r>
    </w:p>
    <w:p w:rsidR="001E23AC" w:rsidRDefault="001E23AC" w:rsidP="001E23AC">
      <w:pPr>
        <w:pStyle w:val="Sub-number"/>
        <w:numPr>
          <w:ilvl w:val="0"/>
          <w:numId w:val="0"/>
        </w:numPr>
        <w:spacing w:before="0"/>
        <w:jc w:val="both"/>
      </w:pPr>
      <w:r>
        <w:t>Flexible Disability Support</w:t>
      </w:r>
      <w:r w:rsidR="00D771F8">
        <w:t>s</w:t>
      </w:r>
      <w:r w:rsidRPr="001E23AC">
        <w:t xml:space="preserve"> </w:t>
      </w:r>
      <w:r w:rsidR="00D771F8">
        <w:t>are</w:t>
      </w:r>
      <w:r w:rsidR="00D771F8" w:rsidRPr="001E23AC">
        <w:t xml:space="preserve"> </w:t>
      </w:r>
      <w:r w:rsidRPr="001E23AC">
        <w:t>not intended to be an option that supports people to continue to live in residential services</w:t>
      </w:r>
      <w:r>
        <w:t>.</w:t>
      </w:r>
    </w:p>
    <w:p w:rsidR="00EA3312" w:rsidRPr="001E23AC" w:rsidRDefault="00EA3312" w:rsidP="001E23AC">
      <w:pPr>
        <w:pStyle w:val="Sub-number"/>
        <w:numPr>
          <w:ilvl w:val="0"/>
          <w:numId w:val="0"/>
        </w:numPr>
        <w:spacing w:before="0"/>
        <w:jc w:val="both"/>
        <w:rPr>
          <w:rFonts w:cs="Arial"/>
          <w:szCs w:val="24"/>
          <w:lang w:eastAsia="ko-KR"/>
        </w:rPr>
      </w:pPr>
    </w:p>
    <w:p w:rsidR="0036437E" w:rsidRDefault="00EC5ABE" w:rsidP="001E23AC">
      <w:pPr>
        <w:jc w:val="both"/>
      </w:pPr>
      <w:r>
        <w:t xml:space="preserve">The </w:t>
      </w:r>
      <w:r w:rsidR="00DF23F3">
        <w:t>EGL</w:t>
      </w:r>
      <w:r>
        <w:t xml:space="preserve"> Prin</w:t>
      </w:r>
      <w:r w:rsidR="00D771F8">
        <w:t xml:space="preserve">ciples are the foundation of </w:t>
      </w:r>
      <w:r w:rsidR="00822CF6">
        <w:t>Flexible Disability Support</w:t>
      </w:r>
      <w:r w:rsidR="00D771F8">
        <w:t>s and are summarised in the table below.</w:t>
      </w:r>
      <w:r w:rsidR="00822CF6">
        <w:t xml:space="preserve"> </w:t>
      </w:r>
    </w:p>
    <w:tbl>
      <w:tblPr>
        <w:tblW w:w="9198" w:type="dxa"/>
        <w:tblInd w:w="90" w:type="dxa"/>
        <w:tblBorders>
          <w:bottom w:val="single" w:sz="6" w:space="0" w:color="330033"/>
          <w:right w:val="single" w:sz="6" w:space="0" w:color="330033"/>
        </w:tblBorders>
        <w:tblCellMar>
          <w:left w:w="0" w:type="dxa"/>
          <w:right w:w="0" w:type="dxa"/>
        </w:tblCellMar>
        <w:tblLook w:val="04A0" w:firstRow="1" w:lastRow="0" w:firstColumn="1" w:lastColumn="0" w:noHBand="0" w:noVBand="1"/>
      </w:tblPr>
      <w:tblGrid>
        <w:gridCol w:w="1874"/>
        <w:gridCol w:w="7324"/>
      </w:tblGrid>
      <w:tr w:rsidR="0036437E" w:rsidRPr="0036437E" w:rsidTr="00A26AF9">
        <w:trPr>
          <w:trHeight w:val="649"/>
        </w:trPr>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r w:rsidRPr="00A26AF9">
              <w:rPr>
                <w:b/>
                <w:bCs/>
                <w:sz w:val="22"/>
              </w:rPr>
              <w:t>Self-determination</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1E23AC">
            <w:pPr>
              <w:spacing w:after="0"/>
              <w:jc w:val="both"/>
              <w:rPr>
                <w:sz w:val="22"/>
              </w:rPr>
            </w:pPr>
            <w:r w:rsidRPr="00A26AF9">
              <w:rPr>
                <w:sz w:val="22"/>
              </w:rPr>
              <w:t>Disabled people are in control of their lives.</w:t>
            </w:r>
          </w:p>
        </w:tc>
      </w:tr>
      <w:tr w:rsidR="0036437E" w:rsidRPr="0036437E" w:rsidTr="00A26AF9">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r w:rsidRPr="00A26AF9">
              <w:rPr>
                <w:b/>
                <w:bCs/>
                <w:sz w:val="22"/>
              </w:rPr>
              <w:t>Beginning early</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1E23AC">
            <w:pPr>
              <w:spacing w:after="0"/>
              <w:jc w:val="both"/>
              <w:rPr>
                <w:sz w:val="22"/>
              </w:rPr>
            </w:pPr>
            <w:r w:rsidRPr="00A26AF9">
              <w:rPr>
                <w:sz w:val="22"/>
              </w:rPr>
              <w:t>Invest early in families and whānau to support them; to be aspirational for their disabled child; to build community and natural supports; and to support disabled children to become independent, rather than waiting for a crisis before support is available.</w:t>
            </w:r>
          </w:p>
        </w:tc>
      </w:tr>
      <w:tr w:rsidR="0036437E" w:rsidRPr="0036437E" w:rsidTr="00A26AF9">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r w:rsidRPr="00A26AF9">
              <w:rPr>
                <w:b/>
                <w:bCs/>
                <w:sz w:val="22"/>
              </w:rPr>
              <w:t>Person-centred</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B440AC">
            <w:pPr>
              <w:spacing w:after="0"/>
              <w:jc w:val="both"/>
              <w:rPr>
                <w:sz w:val="22"/>
              </w:rPr>
            </w:pPr>
            <w:r w:rsidRPr="00A26AF9">
              <w:rPr>
                <w:sz w:val="22"/>
              </w:rPr>
              <w:t>Disabled people have supports that are tailored to their individual needs and goals, and that take a whole life approach rather than being split across programmes.</w:t>
            </w:r>
          </w:p>
        </w:tc>
      </w:tr>
      <w:tr w:rsidR="0036437E" w:rsidRPr="0036437E" w:rsidTr="00A26AF9">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r w:rsidRPr="00A26AF9">
              <w:rPr>
                <w:b/>
                <w:bCs/>
                <w:sz w:val="22"/>
              </w:rPr>
              <w:t>Ordinary life outcomes</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1E23AC">
            <w:pPr>
              <w:spacing w:after="0"/>
              <w:jc w:val="both"/>
              <w:rPr>
                <w:sz w:val="22"/>
              </w:rPr>
            </w:pPr>
            <w:r w:rsidRPr="00A26AF9">
              <w:rPr>
                <w:sz w:val="22"/>
              </w:rPr>
              <w:t>Disabled people are supported to live an everyday life in everyday places. They are regarded as citizens with opportunities for learning, employment, having a home and family, and social participation - like others at similar stages of life.</w:t>
            </w:r>
          </w:p>
        </w:tc>
      </w:tr>
      <w:tr w:rsidR="0036437E" w:rsidRPr="0036437E" w:rsidTr="00A26AF9">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r w:rsidRPr="00A26AF9">
              <w:rPr>
                <w:b/>
                <w:bCs/>
                <w:sz w:val="22"/>
              </w:rPr>
              <w:t>Mainstream first</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1E23AC">
            <w:pPr>
              <w:spacing w:after="0"/>
              <w:jc w:val="both"/>
              <w:rPr>
                <w:sz w:val="22"/>
              </w:rPr>
            </w:pPr>
            <w:r w:rsidRPr="00A26AF9">
              <w:rPr>
                <w:sz w:val="22"/>
              </w:rPr>
              <w:t>Disabled people are supported to access mainstream services before specialist disability services.</w:t>
            </w:r>
          </w:p>
        </w:tc>
      </w:tr>
      <w:tr w:rsidR="0036437E" w:rsidRPr="0036437E" w:rsidTr="00A26AF9">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proofErr w:type="spellStart"/>
            <w:r w:rsidRPr="00A26AF9">
              <w:rPr>
                <w:b/>
                <w:bCs/>
                <w:sz w:val="22"/>
              </w:rPr>
              <w:t>Mana</w:t>
            </w:r>
            <w:proofErr w:type="spellEnd"/>
            <w:r w:rsidRPr="00A26AF9">
              <w:rPr>
                <w:b/>
                <w:bCs/>
                <w:sz w:val="22"/>
              </w:rPr>
              <w:t xml:space="preserve"> enhancing</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1E23AC">
            <w:pPr>
              <w:spacing w:after="0"/>
              <w:jc w:val="both"/>
              <w:rPr>
                <w:sz w:val="22"/>
              </w:rPr>
            </w:pPr>
            <w:r w:rsidRPr="00A26AF9">
              <w:rPr>
                <w:sz w:val="22"/>
              </w:rPr>
              <w:t>The abilities and contributions of disabled people and their families are recognised and respected.</w:t>
            </w:r>
          </w:p>
        </w:tc>
      </w:tr>
      <w:tr w:rsidR="0036437E" w:rsidRPr="0036437E" w:rsidTr="00A26AF9">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r w:rsidRPr="00A26AF9">
              <w:rPr>
                <w:b/>
                <w:bCs/>
                <w:sz w:val="22"/>
              </w:rPr>
              <w:t>Easy to use</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1E23AC">
            <w:pPr>
              <w:spacing w:after="0"/>
              <w:jc w:val="both"/>
              <w:rPr>
                <w:sz w:val="22"/>
              </w:rPr>
            </w:pPr>
            <w:r w:rsidRPr="00A26AF9">
              <w:rPr>
                <w:sz w:val="22"/>
              </w:rPr>
              <w:t>Disabled people have supports that are simple to use and flexible.</w:t>
            </w:r>
          </w:p>
        </w:tc>
      </w:tr>
      <w:tr w:rsidR="0036437E" w:rsidRPr="0036437E" w:rsidTr="00A26AF9">
        <w:trPr>
          <w:trHeight w:val="524"/>
        </w:trPr>
        <w:tc>
          <w:tcPr>
            <w:tcW w:w="0" w:type="auto"/>
            <w:tcBorders>
              <w:top w:val="single" w:sz="6" w:space="0" w:color="330033"/>
              <w:left w:val="single" w:sz="6" w:space="0" w:color="330033"/>
            </w:tcBorders>
            <w:shd w:val="clear" w:color="auto" w:fill="DCD3DC"/>
            <w:tcMar>
              <w:top w:w="45" w:type="dxa"/>
              <w:left w:w="90" w:type="dxa"/>
              <w:bottom w:w="90" w:type="dxa"/>
              <w:right w:w="90" w:type="dxa"/>
            </w:tcMar>
            <w:hideMark/>
          </w:tcPr>
          <w:p w:rsidR="0036437E" w:rsidRPr="00A26AF9" w:rsidRDefault="0036437E" w:rsidP="00E66C9D">
            <w:pPr>
              <w:spacing w:after="0"/>
              <w:rPr>
                <w:b/>
                <w:bCs/>
                <w:sz w:val="22"/>
              </w:rPr>
            </w:pPr>
            <w:r w:rsidRPr="00A26AF9">
              <w:rPr>
                <w:b/>
                <w:bCs/>
                <w:sz w:val="22"/>
              </w:rPr>
              <w:t>Relationship building</w:t>
            </w:r>
          </w:p>
        </w:tc>
        <w:tc>
          <w:tcPr>
            <w:tcW w:w="0" w:type="auto"/>
            <w:tcBorders>
              <w:top w:val="single" w:sz="6" w:space="0" w:color="330033"/>
              <w:left w:val="single" w:sz="6" w:space="0" w:color="330033"/>
            </w:tcBorders>
            <w:shd w:val="clear" w:color="auto" w:fill="FFFFFF"/>
            <w:tcMar>
              <w:top w:w="45" w:type="dxa"/>
              <w:left w:w="90" w:type="dxa"/>
              <w:bottom w:w="90" w:type="dxa"/>
              <w:right w:w="90" w:type="dxa"/>
            </w:tcMar>
            <w:hideMark/>
          </w:tcPr>
          <w:p w:rsidR="0036437E" w:rsidRPr="00A26AF9" w:rsidRDefault="0036437E" w:rsidP="001E23AC">
            <w:pPr>
              <w:spacing w:after="0"/>
              <w:jc w:val="both"/>
              <w:rPr>
                <w:sz w:val="22"/>
              </w:rPr>
            </w:pPr>
            <w:r w:rsidRPr="00A26AF9">
              <w:rPr>
                <w:sz w:val="22"/>
              </w:rPr>
              <w:t>Supports build and strengthen relationships between disabled people, their whānau and community.</w:t>
            </w:r>
          </w:p>
        </w:tc>
      </w:tr>
    </w:tbl>
    <w:p w:rsidR="0036437E" w:rsidRDefault="0036437E" w:rsidP="00E4436A">
      <w:pPr>
        <w:spacing w:after="0"/>
        <w:jc w:val="both"/>
      </w:pPr>
    </w:p>
    <w:p w:rsidR="008632B3" w:rsidRDefault="008632B3" w:rsidP="001E23AC">
      <w:pPr>
        <w:pStyle w:val="Sub-number"/>
        <w:numPr>
          <w:ilvl w:val="0"/>
          <w:numId w:val="0"/>
        </w:numPr>
        <w:spacing w:before="0"/>
        <w:jc w:val="both"/>
        <w:rPr>
          <w:rFonts w:cs="Arial"/>
          <w:szCs w:val="24"/>
          <w:lang w:eastAsia="ko-KR"/>
        </w:rPr>
      </w:pPr>
      <w:r w:rsidRPr="00BD0A88">
        <w:rPr>
          <w:rFonts w:cs="Arial"/>
          <w:szCs w:val="24"/>
          <w:lang w:eastAsia="ko-KR"/>
        </w:rPr>
        <w:lastRenderedPageBreak/>
        <w:t xml:space="preserve">Successful </w:t>
      </w:r>
      <w:r w:rsidR="006F092A">
        <w:rPr>
          <w:rFonts w:cs="Arial"/>
          <w:szCs w:val="24"/>
          <w:lang w:eastAsia="ko-KR"/>
        </w:rPr>
        <w:t>Flexible Disability Support</w:t>
      </w:r>
      <w:r w:rsidR="00D771F8">
        <w:rPr>
          <w:rFonts w:cs="Arial"/>
          <w:szCs w:val="24"/>
          <w:lang w:eastAsia="ko-KR"/>
        </w:rPr>
        <w:t>s</w:t>
      </w:r>
      <w:r w:rsidRPr="00BD0A88">
        <w:rPr>
          <w:rFonts w:cs="Arial"/>
          <w:szCs w:val="24"/>
          <w:lang w:eastAsia="ko-KR"/>
        </w:rPr>
        <w:t xml:space="preserve"> occur</w:t>
      </w:r>
      <w:r w:rsidR="0036437E">
        <w:rPr>
          <w:rFonts w:cs="Arial"/>
          <w:szCs w:val="24"/>
          <w:lang w:eastAsia="ko-KR"/>
        </w:rPr>
        <w:t xml:space="preserve"> when the </w:t>
      </w:r>
      <w:r w:rsidR="00DF23F3">
        <w:rPr>
          <w:rFonts w:cs="Arial"/>
          <w:szCs w:val="24"/>
          <w:lang w:eastAsia="ko-KR"/>
        </w:rPr>
        <w:t>EGL</w:t>
      </w:r>
      <w:r w:rsidR="0036437E">
        <w:rPr>
          <w:rFonts w:cs="Arial"/>
          <w:szCs w:val="24"/>
          <w:lang w:eastAsia="ko-KR"/>
        </w:rPr>
        <w:t xml:space="preserve"> Principles have been</w:t>
      </w:r>
      <w:r w:rsidR="00A02F5E">
        <w:rPr>
          <w:rFonts w:cs="Arial"/>
          <w:szCs w:val="24"/>
          <w:lang w:eastAsia="ko-KR"/>
        </w:rPr>
        <w:t xml:space="preserve"> embedded in Provider practice</w:t>
      </w:r>
      <w:r w:rsidR="0036437E">
        <w:rPr>
          <w:rFonts w:cs="Arial"/>
          <w:szCs w:val="24"/>
          <w:lang w:eastAsia="ko-KR"/>
        </w:rPr>
        <w:t>.</w:t>
      </w:r>
    </w:p>
    <w:p w:rsidR="0036437E" w:rsidRDefault="0036437E" w:rsidP="001E23AC">
      <w:pPr>
        <w:pStyle w:val="Sub-number"/>
        <w:numPr>
          <w:ilvl w:val="0"/>
          <w:numId w:val="0"/>
        </w:numPr>
        <w:spacing w:before="0"/>
        <w:jc w:val="both"/>
        <w:rPr>
          <w:rFonts w:cs="Arial"/>
          <w:szCs w:val="24"/>
          <w:lang w:eastAsia="ko-KR"/>
        </w:rPr>
      </w:pPr>
    </w:p>
    <w:p w:rsidR="0099371B" w:rsidRDefault="0099371B" w:rsidP="0099371B">
      <w:pPr>
        <w:jc w:val="both"/>
      </w:pPr>
      <w:r w:rsidRPr="0099371B">
        <w:t>Flexible Disability Supports are designed to assist the Person to achieve outcomes set out in a Person’s ‘My Plan’ and must do so in ways that are consistent with the EGL Purchasing Guidelines.  The support that is delivered within Flexible Disability Supports will be agreed in a Support Agreement between the Person and the Provider.</w:t>
      </w:r>
    </w:p>
    <w:p w:rsidR="0036437E" w:rsidRDefault="0036437E" w:rsidP="001E23AC">
      <w:pPr>
        <w:pStyle w:val="Sub-number"/>
        <w:numPr>
          <w:ilvl w:val="0"/>
          <w:numId w:val="0"/>
        </w:numPr>
        <w:spacing w:before="0"/>
        <w:jc w:val="both"/>
        <w:rPr>
          <w:rFonts w:cs="Arial"/>
          <w:szCs w:val="24"/>
          <w:lang w:eastAsia="ko-KR"/>
        </w:rPr>
      </w:pPr>
      <w:r>
        <w:rPr>
          <w:rFonts w:cs="Arial"/>
          <w:szCs w:val="24"/>
          <w:lang w:eastAsia="ko-KR"/>
        </w:rPr>
        <w:t>The Person needs to be satisfied that:</w:t>
      </w:r>
    </w:p>
    <w:p w:rsidR="00B4514D" w:rsidRDefault="00B4514D" w:rsidP="001E23AC">
      <w:pPr>
        <w:pStyle w:val="Sub-number"/>
        <w:numPr>
          <w:ilvl w:val="0"/>
          <w:numId w:val="0"/>
        </w:numPr>
        <w:spacing w:before="0"/>
        <w:jc w:val="both"/>
        <w:rPr>
          <w:rFonts w:cs="Arial"/>
          <w:szCs w:val="24"/>
          <w:lang w:eastAsia="ko-KR"/>
        </w:rPr>
      </w:pPr>
    </w:p>
    <w:p w:rsidR="0036437E" w:rsidRDefault="0036437E" w:rsidP="00C566A6">
      <w:pPr>
        <w:pStyle w:val="Sub-number"/>
        <w:numPr>
          <w:ilvl w:val="0"/>
          <w:numId w:val="3"/>
        </w:numPr>
        <w:spacing w:before="0"/>
        <w:jc w:val="both"/>
        <w:rPr>
          <w:rFonts w:cs="Arial"/>
          <w:szCs w:val="24"/>
          <w:lang w:eastAsia="ko-KR"/>
        </w:rPr>
      </w:pPr>
      <w:r>
        <w:rPr>
          <w:rFonts w:cs="Arial"/>
          <w:szCs w:val="24"/>
          <w:lang w:eastAsia="ko-KR"/>
        </w:rPr>
        <w:t>they have been able to choose the support, who supports them and how they are supported</w:t>
      </w:r>
    </w:p>
    <w:p w:rsidR="0036437E" w:rsidRDefault="0036437E" w:rsidP="00C566A6">
      <w:pPr>
        <w:pStyle w:val="Sub-number"/>
        <w:numPr>
          <w:ilvl w:val="0"/>
          <w:numId w:val="3"/>
        </w:numPr>
        <w:spacing w:before="0"/>
        <w:jc w:val="both"/>
        <w:rPr>
          <w:rFonts w:cs="Arial"/>
          <w:szCs w:val="24"/>
          <w:lang w:eastAsia="ko-KR"/>
        </w:rPr>
      </w:pPr>
      <w:r>
        <w:rPr>
          <w:rFonts w:cs="Arial"/>
          <w:szCs w:val="24"/>
          <w:lang w:eastAsia="ko-KR"/>
        </w:rPr>
        <w:t>they are respected as an individual</w:t>
      </w:r>
    </w:p>
    <w:p w:rsidR="0036437E" w:rsidRDefault="0036437E" w:rsidP="00C566A6">
      <w:pPr>
        <w:pStyle w:val="Sub-number"/>
        <w:numPr>
          <w:ilvl w:val="0"/>
          <w:numId w:val="3"/>
        </w:numPr>
        <w:spacing w:before="0"/>
        <w:jc w:val="both"/>
        <w:rPr>
          <w:rFonts w:cs="Arial"/>
          <w:szCs w:val="24"/>
          <w:lang w:eastAsia="ko-KR"/>
        </w:rPr>
      </w:pPr>
      <w:r>
        <w:rPr>
          <w:rFonts w:cs="Arial"/>
          <w:szCs w:val="24"/>
          <w:lang w:eastAsia="ko-KR"/>
        </w:rPr>
        <w:t>Flexible Disability Support</w:t>
      </w:r>
      <w:r w:rsidR="00AA40A2">
        <w:rPr>
          <w:rFonts w:cs="Arial"/>
          <w:szCs w:val="24"/>
          <w:lang w:eastAsia="ko-KR"/>
        </w:rPr>
        <w:t>s</w:t>
      </w:r>
      <w:r>
        <w:rPr>
          <w:rFonts w:cs="Arial"/>
          <w:szCs w:val="24"/>
          <w:lang w:eastAsia="ko-KR"/>
        </w:rPr>
        <w:t xml:space="preserve"> </w:t>
      </w:r>
      <w:r w:rsidR="00AA40A2">
        <w:rPr>
          <w:rFonts w:cs="Arial"/>
          <w:szCs w:val="24"/>
          <w:lang w:eastAsia="ko-KR"/>
        </w:rPr>
        <w:t xml:space="preserve">are </w:t>
      </w:r>
      <w:r w:rsidR="00A02F5E">
        <w:rPr>
          <w:rFonts w:cs="Arial"/>
          <w:szCs w:val="24"/>
          <w:lang w:eastAsia="ko-KR"/>
        </w:rPr>
        <w:t>assist</w:t>
      </w:r>
      <w:r>
        <w:rPr>
          <w:rFonts w:cs="Arial"/>
          <w:szCs w:val="24"/>
          <w:lang w:eastAsia="ko-KR"/>
        </w:rPr>
        <w:t>ing them progress towards their</w:t>
      </w:r>
      <w:r w:rsidR="00A02F5E">
        <w:rPr>
          <w:rFonts w:cs="Arial"/>
          <w:szCs w:val="24"/>
          <w:lang w:eastAsia="ko-KR"/>
        </w:rPr>
        <w:t xml:space="preserve"> desired outcomes</w:t>
      </w:r>
    </w:p>
    <w:p w:rsidR="0036437E" w:rsidRDefault="0036437E" w:rsidP="00C566A6">
      <w:pPr>
        <w:pStyle w:val="Sub-number"/>
        <w:numPr>
          <w:ilvl w:val="0"/>
          <w:numId w:val="3"/>
        </w:numPr>
        <w:spacing w:before="0"/>
        <w:jc w:val="both"/>
        <w:rPr>
          <w:rFonts w:cs="Arial"/>
          <w:szCs w:val="24"/>
          <w:lang w:eastAsia="ko-KR"/>
        </w:rPr>
      </w:pPr>
      <w:proofErr w:type="gramStart"/>
      <w:r>
        <w:rPr>
          <w:rFonts w:cs="Arial"/>
          <w:szCs w:val="24"/>
          <w:lang w:eastAsia="ko-KR"/>
        </w:rPr>
        <w:t>they</w:t>
      </w:r>
      <w:proofErr w:type="gramEnd"/>
      <w:r>
        <w:rPr>
          <w:rFonts w:cs="Arial"/>
          <w:szCs w:val="24"/>
          <w:lang w:eastAsia="ko-KR"/>
        </w:rPr>
        <w:t xml:space="preserve"> have the support that they require to be able to exercise the level of self-determination and management they wish over their supports</w:t>
      </w:r>
      <w:r w:rsidR="00493BF9">
        <w:rPr>
          <w:rFonts w:cs="Arial"/>
          <w:szCs w:val="24"/>
          <w:lang w:eastAsia="ko-KR"/>
        </w:rPr>
        <w:t>.</w:t>
      </w:r>
    </w:p>
    <w:p w:rsidR="0036437E" w:rsidRDefault="0036437E" w:rsidP="001E23AC">
      <w:pPr>
        <w:pStyle w:val="Sub-number"/>
        <w:numPr>
          <w:ilvl w:val="0"/>
          <w:numId w:val="0"/>
        </w:numPr>
        <w:spacing w:before="0"/>
        <w:jc w:val="both"/>
        <w:rPr>
          <w:rFonts w:cs="Arial"/>
          <w:szCs w:val="24"/>
          <w:lang w:eastAsia="ko-KR"/>
        </w:rPr>
      </w:pPr>
    </w:p>
    <w:p w:rsidR="007353B1" w:rsidRPr="00E4436A" w:rsidRDefault="00D70710" w:rsidP="00E4436A">
      <w:pPr>
        <w:pStyle w:val="Heading2"/>
      </w:pPr>
      <w:r w:rsidRPr="00E4436A">
        <w:t xml:space="preserve">Service Performance </w:t>
      </w:r>
      <w:r w:rsidR="0085371D" w:rsidRPr="00E4436A">
        <w:t>Measures</w:t>
      </w:r>
    </w:p>
    <w:p w:rsidR="001C0325" w:rsidRPr="00BD0A88" w:rsidRDefault="001C0325" w:rsidP="001E23AC">
      <w:pPr>
        <w:jc w:val="both"/>
      </w:pPr>
      <w:r w:rsidRPr="00BD0A88">
        <w:t xml:space="preserve">Performance Measures form part of the Results Based Accountability (RBA) Framework. The Performance Measures in the table below represent key service areas the Purchasing Agency and the Provider will monitor to help assess service delivery. Full Reporting </w:t>
      </w:r>
      <w:r w:rsidR="00B4514D">
        <w:t>r</w:t>
      </w:r>
      <w:r w:rsidRPr="00BD0A88">
        <w:t>equirements regarding these measures are detailed in Appendix 3 of the Outcome Agreement</w:t>
      </w:r>
      <w:r w:rsidR="00D1316C">
        <w:t xml:space="preserve">, except that the frequency of reporting shall be quarterly in accordance with clause 12 of this </w:t>
      </w:r>
      <w:r w:rsidR="00D410B4">
        <w:t xml:space="preserve">Service </w:t>
      </w:r>
      <w:r w:rsidR="00D1316C">
        <w:t>Specification</w:t>
      </w:r>
      <w:r w:rsidRPr="00BD0A88">
        <w:t>. It is anticipated the Performance Measures will evolve over time to reflect Ministry</w:t>
      </w:r>
      <w:r w:rsidR="00DF23F3">
        <w:t xml:space="preserve"> </w:t>
      </w:r>
      <w:r w:rsidRPr="00BD0A88">
        <w:t xml:space="preserve">priorities. </w:t>
      </w:r>
    </w:p>
    <w:p w:rsidR="001C0325" w:rsidRPr="00BD0A88" w:rsidRDefault="001C0325" w:rsidP="001E23AC">
      <w:pPr>
        <w:jc w:val="both"/>
        <w:rPr>
          <w:rFonts w:cs="Arial"/>
          <w:szCs w:val="24"/>
        </w:rPr>
      </w:pPr>
      <w:r w:rsidRPr="00BD0A88">
        <w:rPr>
          <w:rFonts w:cs="Arial"/>
          <w:szCs w:val="24"/>
        </w:rPr>
        <w:t xml:space="preserve">The “How much”, “How well” and “Better off” headings relate to different types of RBA </w:t>
      </w:r>
      <w:r w:rsidR="00B929CD">
        <w:rPr>
          <w:rFonts w:cs="Arial"/>
          <w:szCs w:val="24"/>
        </w:rPr>
        <w:t>P</w:t>
      </w:r>
      <w:r w:rsidRPr="00BD0A88">
        <w:rPr>
          <w:rFonts w:cs="Arial"/>
          <w:szCs w:val="24"/>
        </w:rPr>
        <w:t xml:space="preserve">erformance </w:t>
      </w:r>
      <w:r w:rsidR="00B929CD">
        <w:rPr>
          <w:rFonts w:cs="Arial"/>
          <w:szCs w:val="24"/>
        </w:rPr>
        <w:t>M</w:t>
      </w:r>
      <w:r w:rsidRPr="00BD0A88">
        <w:rPr>
          <w:rFonts w:cs="Arial"/>
          <w:szCs w:val="24"/>
        </w:rPr>
        <w:t>easures.</w:t>
      </w:r>
    </w:p>
    <w:p w:rsidR="00F00CC6" w:rsidRPr="00BD0A88" w:rsidRDefault="001C0325" w:rsidP="001E23AC">
      <w:pPr>
        <w:jc w:val="both"/>
        <w:rPr>
          <w:rFonts w:cs="Arial"/>
          <w:szCs w:val="24"/>
        </w:rPr>
      </w:pPr>
      <w:r w:rsidRPr="00BD0A88">
        <w:rPr>
          <w:rFonts w:cs="Arial"/>
          <w:szCs w:val="24"/>
        </w:rPr>
        <w:t>Measures below are detailed in the Data Dictionary, which defines what the Ministry means by certain key phrases.</w:t>
      </w:r>
    </w:p>
    <w:tbl>
      <w:tblPr>
        <w:tblStyle w:val="TableGrid"/>
        <w:tblW w:w="4978" w:type="pct"/>
        <w:tblLayout w:type="fixed"/>
        <w:tblCellMar>
          <w:top w:w="85" w:type="dxa"/>
          <w:bottom w:w="85" w:type="dxa"/>
        </w:tblCellMar>
        <w:tblLook w:val="04A0" w:firstRow="1" w:lastRow="0" w:firstColumn="1" w:lastColumn="0" w:noHBand="0" w:noVBand="1"/>
      </w:tblPr>
      <w:tblGrid>
        <w:gridCol w:w="336"/>
        <w:gridCol w:w="2736"/>
        <w:gridCol w:w="2964"/>
        <w:gridCol w:w="3187"/>
      </w:tblGrid>
      <w:tr w:rsidR="001C0325" w:rsidRPr="00A26AF9" w:rsidTr="0098429C">
        <w:trPr>
          <w:trHeight w:val="163"/>
          <w:tblHeader/>
        </w:trPr>
        <w:tc>
          <w:tcPr>
            <w:tcW w:w="182" w:type="pct"/>
            <w:tcBorders>
              <w:bottom w:val="single" w:sz="4" w:space="0" w:color="auto"/>
            </w:tcBorders>
            <w:shd w:val="clear" w:color="auto" w:fill="auto"/>
            <w:vAlign w:val="center"/>
          </w:tcPr>
          <w:p w:rsidR="001C0325" w:rsidRPr="00A26AF9" w:rsidRDefault="001C0325" w:rsidP="001E23AC">
            <w:pPr>
              <w:pStyle w:val="ListParagraph"/>
              <w:rPr>
                <w:sz w:val="22"/>
                <w:szCs w:val="22"/>
              </w:rPr>
            </w:pPr>
          </w:p>
        </w:tc>
        <w:tc>
          <w:tcPr>
            <w:tcW w:w="1483" w:type="pct"/>
            <w:tcBorders>
              <w:bottom w:val="single" w:sz="4" w:space="0" w:color="auto"/>
            </w:tcBorders>
            <w:shd w:val="clear" w:color="auto" w:fill="auto"/>
            <w:vAlign w:val="center"/>
          </w:tcPr>
          <w:p w:rsidR="001C0325" w:rsidRPr="00A26AF9" w:rsidRDefault="001C0325" w:rsidP="001E23AC">
            <w:pPr>
              <w:rPr>
                <w:rFonts w:ascii="Arial" w:hAnsi="Arial" w:cs="Arial"/>
                <w:b/>
                <w:color w:val="000000" w:themeColor="text1"/>
                <w:sz w:val="22"/>
                <w:szCs w:val="22"/>
              </w:rPr>
            </w:pPr>
            <w:r w:rsidRPr="00A26AF9">
              <w:rPr>
                <w:rFonts w:ascii="Arial" w:hAnsi="Arial" w:cs="Arial"/>
                <w:b/>
                <w:color w:val="000000" w:themeColor="text1"/>
                <w:sz w:val="22"/>
                <w:szCs w:val="22"/>
              </w:rPr>
              <w:t>How much</w:t>
            </w:r>
          </w:p>
        </w:tc>
        <w:tc>
          <w:tcPr>
            <w:tcW w:w="1607" w:type="pct"/>
            <w:tcBorders>
              <w:bottom w:val="single" w:sz="4" w:space="0" w:color="auto"/>
            </w:tcBorders>
            <w:shd w:val="clear" w:color="auto" w:fill="auto"/>
            <w:vAlign w:val="center"/>
          </w:tcPr>
          <w:p w:rsidR="001C0325" w:rsidRPr="00A26AF9" w:rsidRDefault="001C0325" w:rsidP="001E23AC">
            <w:pPr>
              <w:rPr>
                <w:rFonts w:ascii="Arial" w:hAnsi="Arial" w:cs="Arial"/>
                <w:b/>
                <w:color w:val="000000" w:themeColor="text1"/>
                <w:sz w:val="22"/>
                <w:szCs w:val="22"/>
              </w:rPr>
            </w:pPr>
            <w:r w:rsidRPr="00A26AF9">
              <w:rPr>
                <w:rFonts w:ascii="Arial" w:hAnsi="Arial" w:cs="Arial"/>
                <w:b/>
                <w:color w:val="000000" w:themeColor="text1"/>
                <w:sz w:val="22"/>
                <w:szCs w:val="22"/>
              </w:rPr>
              <w:t>How well</w:t>
            </w:r>
          </w:p>
        </w:tc>
        <w:tc>
          <w:tcPr>
            <w:tcW w:w="1728" w:type="pct"/>
            <w:tcBorders>
              <w:bottom w:val="single" w:sz="4" w:space="0" w:color="auto"/>
            </w:tcBorders>
            <w:shd w:val="clear" w:color="auto" w:fill="auto"/>
            <w:vAlign w:val="center"/>
          </w:tcPr>
          <w:p w:rsidR="001C0325" w:rsidRPr="00A26AF9" w:rsidRDefault="001C0325" w:rsidP="001E23AC">
            <w:pPr>
              <w:rPr>
                <w:rFonts w:ascii="Arial" w:hAnsi="Arial" w:cs="Arial"/>
                <w:b/>
                <w:color w:val="000000" w:themeColor="text1"/>
                <w:sz w:val="22"/>
                <w:szCs w:val="22"/>
              </w:rPr>
            </w:pPr>
            <w:r w:rsidRPr="00A26AF9">
              <w:rPr>
                <w:rFonts w:ascii="Arial" w:hAnsi="Arial" w:cs="Arial"/>
                <w:b/>
                <w:color w:val="000000" w:themeColor="text1"/>
                <w:sz w:val="22"/>
                <w:szCs w:val="22"/>
              </w:rPr>
              <w:t>Better off</w:t>
            </w:r>
          </w:p>
        </w:tc>
      </w:tr>
      <w:tr w:rsidR="001C0325" w:rsidRPr="00BD0A88" w:rsidTr="0098429C">
        <w:trPr>
          <w:trHeight w:val="709"/>
        </w:trPr>
        <w:tc>
          <w:tcPr>
            <w:tcW w:w="182" w:type="pct"/>
            <w:tcBorders>
              <w:top w:val="single" w:sz="4" w:space="0" w:color="auto"/>
              <w:left w:val="single" w:sz="4" w:space="0" w:color="auto"/>
              <w:bottom w:val="single" w:sz="4" w:space="0" w:color="auto"/>
              <w:right w:val="single" w:sz="4" w:space="0" w:color="auto"/>
            </w:tcBorders>
            <w:shd w:val="clear" w:color="auto" w:fill="auto"/>
          </w:tcPr>
          <w:p w:rsidR="001C0325" w:rsidRPr="00BD0A88" w:rsidRDefault="001C0325" w:rsidP="00E66C9D">
            <w:pPr>
              <w:pStyle w:val="ListParagraph"/>
              <w:numPr>
                <w:ilvl w:val="0"/>
                <w:numId w:val="4"/>
              </w:numPr>
              <w:jc w:val="left"/>
            </w:pP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12327E" w:rsidRPr="00F40F1E" w:rsidRDefault="0012327E" w:rsidP="00E66C9D">
            <w:pPr>
              <w:spacing w:before="40" w:after="40"/>
              <w:jc w:val="left"/>
              <w:rPr>
                <w:rFonts w:ascii="Arial" w:hAnsi="Arial" w:cs="Arial"/>
              </w:rPr>
            </w:pPr>
            <w:r w:rsidRPr="00F40F1E">
              <w:rPr>
                <w:rFonts w:ascii="Arial" w:hAnsi="Arial" w:cs="Arial"/>
              </w:rPr>
              <w:t># of Support Agreements set up</w:t>
            </w:r>
            <w:r w:rsidR="00DF23F3">
              <w:rPr>
                <w:rFonts w:ascii="Arial" w:hAnsi="Arial" w:cs="Arial"/>
              </w:rPr>
              <w:t>.</w:t>
            </w:r>
          </w:p>
        </w:tc>
        <w:tc>
          <w:tcPr>
            <w:tcW w:w="1607" w:type="pct"/>
            <w:tcBorders>
              <w:top w:val="single" w:sz="4" w:space="0" w:color="auto"/>
              <w:left w:val="single" w:sz="4" w:space="0" w:color="auto"/>
              <w:bottom w:val="single" w:sz="4" w:space="0" w:color="auto"/>
              <w:right w:val="single" w:sz="4" w:space="0" w:color="auto"/>
            </w:tcBorders>
            <w:shd w:val="clear" w:color="auto" w:fill="auto"/>
          </w:tcPr>
          <w:p w:rsidR="001C0325" w:rsidRPr="00F40F1E" w:rsidRDefault="001C0325" w:rsidP="00E66C9D">
            <w:pPr>
              <w:spacing w:before="40" w:after="40"/>
              <w:jc w:val="left"/>
              <w:rPr>
                <w:rFonts w:ascii="Arial" w:hAnsi="Arial" w:cs="Arial"/>
              </w:rPr>
            </w:pPr>
          </w:p>
        </w:tc>
        <w:tc>
          <w:tcPr>
            <w:tcW w:w="1728" w:type="pct"/>
            <w:tcBorders>
              <w:top w:val="single" w:sz="4" w:space="0" w:color="auto"/>
              <w:left w:val="single" w:sz="4" w:space="0" w:color="auto"/>
              <w:bottom w:val="single" w:sz="4" w:space="0" w:color="auto"/>
              <w:right w:val="single" w:sz="4" w:space="0" w:color="auto"/>
            </w:tcBorders>
            <w:shd w:val="clear" w:color="auto" w:fill="auto"/>
          </w:tcPr>
          <w:p w:rsidR="001C0325" w:rsidRPr="00F40F1E" w:rsidRDefault="00B644E6" w:rsidP="00EE4D22">
            <w:pPr>
              <w:jc w:val="left"/>
              <w:rPr>
                <w:rFonts w:ascii="Arial" w:hAnsi="Arial" w:cs="Arial"/>
              </w:rPr>
            </w:pPr>
            <w:r w:rsidRPr="00F40F1E">
              <w:rPr>
                <w:rFonts w:ascii="Arial" w:hAnsi="Arial" w:cs="Arial"/>
              </w:rPr>
              <w:t xml:space="preserve"># of People who reported that they had support as agreed in their Support Agreement. </w:t>
            </w:r>
          </w:p>
        </w:tc>
      </w:tr>
      <w:tr w:rsidR="001C0325" w:rsidRPr="00BD0A88" w:rsidTr="0098429C">
        <w:trPr>
          <w:trHeight w:val="1499"/>
        </w:trPr>
        <w:tc>
          <w:tcPr>
            <w:tcW w:w="182" w:type="pct"/>
            <w:shd w:val="clear" w:color="auto" w:fill="FFFFFF" w:themeFill="background1"/>
          </w:tcPr>
          <w:p w:rsidR="001C0325" w:rsidRPr="00BD0A88" w:rsidRDefault="001C0325" w:rsidP="00E66C9D">
            <w:pPr>
              <w:pStyle w:val="ListParagraph"/>
              <w:numPr>
                <w:ilvl w:val="0"/>
                <w:numId w:val="4"/>
              </w:numPr>
              <w:jc w:val="left"/>
            </w:pPr>
          </w:p>
        </w:tc>
        <w:tc>
          <w:tcPr>
            <w:tcW w:w="1483" w:type="pct"/>
            <w:shd w:val="clear" w:color="auto" w:fill="FFFFFF" w:themeFill="background1"/>
          </w:tcPr>
          <w:p w:rsidR="001C0325" w:rsidRPr="00F40F1E" w:rsidRDefault="0012327E" w:rsidP="00E66C9D">
            <w:pPr>
              <w:spacing w:before="40" w:after="40"/>
              <w:jc w:val="left"/>
              <w:rPr>
                <w:rFonts w:ascii="Arial" w:hAnsi="Arial" w:cs="Arial"/>
              </w:rPr>
            </w:pPr>
            <w:r w:rsidRPr="00F40F1E">
              <w:rPr>
                <w:rFonts w:ascii="Arial" w:hAnsi="Arial" w:cs="Arial"/>
              </w:rPr>
              <w:t># of Support Agreements reviewed</w:t>
            </w:r>
            <w:r w:rsidR="00DF23F3">
              <w:rPr>
                <w:rFonts w:ascii="Arial" w:hAnsi="Arial" w:cs="Arial"/>
              </w:rPr>
              <w:t>.</w:t>
            </w:r>
          </w:p>
        </w:tc>
        <w:tc>
          <w:tcPr>
            <w:tcW w:w="1607" w:type="pct"/>
            <w:shd w:val="clear" w:color="auto" w:fill="FFFFFF" w:themeFill="background1"/>
          </w:tcPr>
          <w:p w:rsidR="00CC1010" w:rsidRPr="00F40F1E" w:rsidRDefault="00CC1010" w:rsidP="00E66C9D">
            <w:pPr>
              <w:spacing w:before="40" w:after="40"/>
              <w:jc w:val="left"/>
              <w:rPr>
                <w:rFonts w:ascii="Arial" w:hAnsi="Arial" w:cs="Arial"/>
              </w:rPr>
            </w:pPr>
            <w:r w:rsidRPr="00F40F1E">
              <w:rPr>
                <w:rFonts w:ascii="Arial" w:hAnsi="Arial" w:cs="Arial"/>
              </w:rPr>
              <w:t xml:space="preserve">% of Support Agreements reviewed within 3 months of their </w:t>
            </w:r>
            <w:r w:rsidR="00DF23F3" w:rsidRPr="00F40F1E">
              <w:rPr>
                <w:rFonts w:ascii="Arial" w:hAnsi="Arial" w:cs="Arial"/>
              </w:rPr>
              <w:t>start</w:t>
            </w:r>
            <w:r w:rsidR="00DF23F3">
              <w:rPr>
                <w:rFonts w:ascii="Arial" w:hAnsi="Arial" w:cs="Arial"/>
              </w:rPr>
              <w:t>.</w:t>
            </w:r>
          </w:p>
          <w:p w:rsidR="001C0325" w:rsidRPr="00F40F1E" w:rsidRDefault="00B644E6" w:rsidP="00E66C9D">
            <w:pPr>
              <w:spacing w:before="40" w:after="40"/>
              <w:jc w:val="left"/>
              <w:rPr>
                <w:rFonts w:ascii="Arial" w:hAnsi="Arial" w:cs="Arial"/>
              </w:rPr>
            </w:pPr>
            <w:r w:rsidRPr="00F40F1E">
              <w:rPr>
                <w:rFonts w:ascii="Arial" w:hAnsi="Arial" w:cs="Arial"/>
              </w:rPr>
              <w:t>% of Support Agreements reviewed within 12 months of their last review.</w:t>
            </w:r>
          </w:p>
        </w:tc>
        <w:tc>
          <w:tcPr>
            <w:tcW w:w="1728" w:type="pct"/>
            <w:shd w:val="clear" w:color="auto" w:fill="FFFFFF" w:themeFill="background1"/>
          </w:tcPr>
          <w:p w:rsidR="001C0325" w:rsidRPr="00F40F1E" w:rsidRDefault="001C0325" w:rsidP="00E66C9D">
            <w:pPr>
              <w:spacing w:before="40" w:after="40"/>
              <w:jc w:val="left"/>
              <w:rPr>
                <w:rFonts w:ascii="Arial" w:hAnsi="Arial" w:cs="Arial"/>
              </w:rPr>
            </w:pPr>
          </w:p>
        </w:tc>
      </w:tr>
      <w:tr w:rsidR="001C0325" w:rsidRPr="00BD0A88" w:rsidTr="0098429C">
        <w:trPr>
          <w:trHeight w:val="540"/>
        </w:trPr>
        <w:tc>
          <w:tcPr>
            <w:tcW w:w="182" w:type="pct"/>
            <w:shd w:val="clear" w:color="auto" w:fill="FFFFFF" w:themeFill="background1"/>
          </w:tcPr>
          <w:p w:rsidR="001C0325" w:rsidRPr="00BD0A88" w:rsidRDefault="001C0325" w:rsidP="00E66C9D">
            <w:pPr>
              <w:pStyle w:val="ListParagraph"/>
              <w:numPr>
                <w:ilvl w:val="0"/>
                <w:numId w:val="4"/>
              </w:numPr>
              <w:jc w:val="left"/>
            </w:pPr>
          </w:p>
        </w:tc>
        <w:tc>
          <w:tcPr>
            <w:tcW w:w="1483" w:type="pct"/>
            <w:shd w:val="clear" w:color="auto" w:fill="FFFFFF" w:themeFill="background1"/>
          </w:tcPr>
          <w:p w:rsidR="001C0325" w:rsidRPr="00F40F1E" w:rsidRDefault="005F04A0" w:rsidP="00EE4D22">
            <w:pPr>
              <w:spacing w:before="40" w:after="40"/>
              <w:jc w:val="left"/>
              <w:rPr>
                <w:rFonts w:ascii="Arial" w:hAnsi="Arial" w:cs="Arial"/>
              </w:rPr>
            </w:pPr>
            <w:r w:rsidRPr="00F40F1E">
              <w:rPr>
                <w:rFonts w:ascii="Arial" w:hAnsi="Arial" w:cs="Arial"/>
              </w:rPr>
              <w:t xml:space="preserve"># </w:t>
            </w:r>
            <w:proofErr w:type="gramStart"/>
            <w:r w:rsidRPr="00F40F1E">
              <w:rPr>
                <w:rFonts w:ascii="Arial" w:hAnsi="Arial" w:cs="Arial"/>
              </w:rPr>
              <w:t>of</w:t>
            </w:r>
            <w:proofErr w:type="gramEnd"/>
            <w:r w:rsidRPr="00F40F1E">
              <w:rPr>
                <w:rFonts w:ascii="Arial" w:hAnsi="Arial" w:cs="Arial"/>
              </w:rPr>
              <w:t xml:space="preserve"> people accessing </w:t>
            </w:r>
            <w:r w:rsidR="00EE4D22">
              <w:rPr>
                <w:rFonts w:ascii="Arial" w:hAnsi="Arial" w:cs="Arial"/>
              </w:rPr>
              <w:t>D</w:t>
            </w:r>
            <w:r w:rsidRPr="00F40F1E">
              <w:rPr>
                <w:rFonts w:ascii="Arial" w:hAnsi="Arial" w:cs="Arial"/>
              </w:rPr>
              <w:t xml:space="preserve">irect </w:t>
            </w:r>
            <w:r w:rsidR="00EE4D22">
              <w:rPr>
                <w:rFonts w:ascii="Arial" w:hAnsi="Arial" w:cs="Arial"/>
              </w:rPr>
              <w:t>F</w:t>
            </w:r>
            <w:r w:rsidRPr="00F40F1E">
              <w:rPr>
                <w:rFonts w:ascii="Arial" w:hAnsi="Arial" w:cs="Arial"/>
              </w:rPr>
              <w:t>undholding</w:t>
            </w:r>
            <w:r w:rsidR="00DF23F3">
              <w:rPr>
                <w:rFonts w:ascii="Arial" w:hAnsi="Arial" w:cs="Arial"/>
              </w:rPr>
              <w:t>.</w:t>
            </w:r>
          </w:p>
        </w:tc>
        <w:tc>
          <w:tcPr>
            <w:tcW w:w="1607" w:type="pct"/>
            <w:shd w:val="clear" w:color="auto" w:fill="FFFFFF" w:themeFill="background1"/>
          </w:tcPr>
          <w:p w:rsidR="001C0325" w:rsidRPr="00F40F1E" w:rsidRDefault="001C0325" w:rsidP="00E66C9D">
            <w:pPr>
              <w:spacing w:before="40" w:after="40"/>
              <w:jc w:val="left"/>
              <w:rPr>
                <w:rFonts w:ascii="Arial" w:hAnsi="Arial" w:cs="Arial"/>
              </w:rPr>
            </w:pPr>
          </w:p>
        </w:tc>
        <w:tc>
          <w:tcPr>
            <w:tcW w:w="1728" w:type="pct"/>
            <w:shd w:val="clear" w:color="auto" w:fill="FFFFFF" w:themeFill="background1"/>
          </w:tcPr>
          <w:p w:rsidR="001C0325" w:rsidRPr="00F40F1E" w:rsidRDefault="001C0325" w:rsidP="00E66C9D">
            <w:pPr>
              <w:spacing w:before="40" w:after="40"/>
              <w:jc w:val="left"/>
              <w:rPr>
                <w:rFonts w:ascii="Arial" w:hAnsi="Arial" w:cs="Arial"/>
              </w:rPr>
            </w:pPr>
          </w:p>
        </w:tc>
      </w:tr>
      <w:tr w:rsidR="001C0325" w:rsidRPr="00BD0A88" w:rsidTr="0098429C">
        <w:trPr>
          <w:trHeight w:val="519"/>
        </w:trPr>
        <w:tc>
          <w:tcPr>
            <w:tcW w:w="182" w:type="pct"/>
            <w:shd w:val="clear" w:color="auto" w:fill="FFFFFF" w:themeFill="background1"/>
          </w:tcPr>
          <w:p w:rsidR="001C0325" w:rsidRPr="00BD0A88" w:rsidRDefault="001C0325" w:rsidP="00E66C9D">
            <w:pPr>
              <w:pStyle w:val="ListParagraph"/>
              <w:numPr>
                <w:ilvl w:val="0"/>
                <w:numId w:val="4"/>
              </w:numPr>
              <w:jc w:val="left"/>
            </w:pPr>
          </w:p>
        </w:tc>
        <w:tc>
          <w:tcPr>
            <w:tcW w:w="1483" w:type="pct"/>
            <w:shd w:val="clear" w:color="auto" w:fill="FFFFFF" w:themeFill="background1"/>
          </w:tcPr>
          <w:p w:rsidR="001C0325" w:rsidRPr="00F40F1E" w:rsidRDefault="005F04A0" w:rsidP="00EE4D22">
            <w:pPr>
              <w:spacing w:before="40" w:after="40"/>
              <w:jc w:val="left"/>
              <w:rPr>
                <w:rFonts w:ascii="Arial" w:hAnsi="Arial" w:cs="Arial"/>
              </w:rPr>
            </w:pPr>
            <w:r w:rsidRPr="00F40F1E">
              <w:rPr>
                <w:rFonts w:ascii="Arial" w:hAnsi="Arial" w:cs="Arial"/>
              </w:rPr>
              <w:t xml:space="preserve"># </w:t>
            </w:r>
            <w:proofErr w:type="gramStart"/>
            <w:r w:rsidRPr="00F40F1E">
              <w:rPr>
                <w:rFonts w:ascii="Arial" w:hAnsi="Arial" w:cs="Arial"/>
              </w:rPr>
              <w:t>of</w:t>
            </w:r>
            <w:proofErr w:type="gramEnd"/>
            <w:r w:rsidRPr="00F40F1E">
              <w:rPr>
                <w:rFonts w:ascii="Arial" w:hAnsi="Arial" w:cs="Arial"/>
              </w:rPr>
              <w:t xml:space="preserve"> people accessing </w:t>
            </w:r>
            <w:r w:rsidR="00EE4D22">
              <w:rPr>
                <w:rFonts w:ascii="Arial" w:hAnsi="Arial" w:cs="Arial"/>
              </w:rPr>
              <w:t>F</w:t>
            </w:r>
            <w:r w:rsidRPr="00F40F1E">
              <w:rPr>
                <w:rFonts w:ascii="Arial" w:hAnsi="Arial" w:cs="Arial"/>
              </w:rPr>
              <w:t xml:space="preserve">acilitated </w:t>
            </w:r>
            <w:r w:rsidR="00EE4D22">
              <w:rPr>
                <w:rFonts w:ascii="Arial" w:hAnsi="Arial" w:cs="Arial"/>
              </w:rPr>
              <w:t>B</w:t>
            </w:r>
            <w:r w:rsidRPr="00F40F1E">
              <w:rPr>
                <w:rFonts w:ascii="Arial" w:hAnsi="Arial" w:cs="Arial"/>
              </w:rPr>
              <w:t>uying</w:t>
            </w:r>
            <w:r w:rsidR="00DF23F3">
              <w:rPr>
                <w:rFonts w:ascii="Arial" w:hAnsi="Arial" w:cs="Arial"/>
              </w:rPr>
              <w:t>.</w:t>
            </w:r>
          </w:p>
        </w:tc>
        <w:tc>
          <w:tcPr>
            <w:tcW w:w="1607" w:type="pct"/>
            <w:shd w:val="clear" w:color="auto" w:fill="FFFFFF" w:themeFill="background1"/>
          </w:tcPr>
          <w:p w:rsidR="001C0325" w:rsidRPr="00F40F1E" w:rsidRDefault="001C0325" w:rsidP="00E66C9D">
            <w:pPr>
              <w:spacing w:before="40" w:after="40"/>
              <w:jc w:val="left"/>
              <w:rPr>
                <w:rFonts w:ascii="Arial" w:hAnsi="Arial" w:cs="Arial"/>
              </w:rPr>
            </w:pPr>
          </w:p>
        </w:tc>
        <w:tc>
          <w:tcPr>
            <w:tcW w:w="1728" w:type="pct"/>
            <w:shd w:val="clear" w:color="auto" w:fill="FFFFFF" w:themeFill="background1"/>
          </w:tcPr>
          <w:p w:rsidR="001C0325" w:rsidRPr="00F40F1E" w:rsidRDefault="001C0325" w:rsidP="00E66C9D">
            <w:pPr>
              <w:spacing w:before="40" w:after="40"/>
              <w:jc w:val="left"/>
              <w:rPr>
                <w:rFonts w:ascii="Arial" w:hAnsi="Arial" w:cs="Arial"/>
              </w:rPr>
            </w:pPr>
          </w:p>
        </w:tc>
      </w:tr>
      <w:tr w:rsidR="001C0325" w:rsidRPr="00BD0A88" w:rsidTr="0098429C">
        <w:trPr>
          <w:trHeight w:val="514"/>
        </w:trPr>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BD0A88" w:rsidRDefault="001C0325" w:rsidP="00E66C9D">
            <w:pPr>
              <w:pStyle w:val="ListParagraph"/>
              <w:numPr>
                <w:ilvl w:val="0"/>
                <w:numId w:val="4"/>
              </w:numPr>
              <w:jc w:val="left"/>
            </w:pPr>
          </w:p>
        </w:tc>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5F04A0" w:rsidP="00001544">
            <w:pPr>
              <w:spacing w:before="40" w:after="40"/>
              <w:jc w:val="left"/>
              <w:rPr>
                <w:rFonts w:ascii="Arial" w:hAnsi="Arial" w:cs="Arial"/>
              </w:rPr>
            </w:pPr>
            <w:r w:rsidRPr="00F40F1E">
              <w:rPr>
                <w:rFonts w:ascii="Arial" w:hAnsi="Arial" w:cs="Arial"/>
              </w:rPr>
              <w:t xml:space="preserve"># </w:t>
            </w:r>
            <w:proofErr w:type="gramStart"/>
            <w:r w:rsidRPr="00F40F1E">
              <w:rPr>
                <w:rFonts w:ascii="Arial" w:hAnsi="Arial" w:cs="Arial"/>
              </w:rPr>
              <w:t>of</w:t>
            </w:r>
            <w:proofErr w:type="gramEnd"/>
            <w:r w:rsidRPr="00F40F1E">
              <w:rPr>
                <w:rFonts w:ascii="Arial" w:hAnsi="Arial" w:cs="Arial"/>
              </w:rPr>
              <w:t xml:space="preserve"> people accessing </w:t>
            </w:r>
            <w:r w:rsidR="00EE4D22">
              <w:rPr>
                <w:rFonts w:ascii="Arial" w:hAnsi="Arial" w:cs="Arial"/>
              </w:rPr>
              <w:t>F</w:t>
            </w:r>
            <w:r w:rsidRPr="00F40F1E">
              <w:rPr>
                <w:rFonts w:ascii="Arial" w:hAnsi="Arial" w:cs="Arial"/>
              </w:rPr>
              <w:t xml:space="preserve">lexible </w:t>
            </w:r>
            <w:r w:rsidR="00EE4D22">
              <w:rPr>
                <w:rFonts w:ascii="Arial" w:hAnsi="Arial" w:cs="Arial"/>
              </w:rPr>
              <w:t>S</w:t>
            </w:r>
            <w:r w:rsidRPr="00F40F1E">
              <w:rPr>
                <w:rFonts w:ascii="Arial" w:hAnsi="Arial" w:cs="Arial"/>
              </w:rPr>
              <w:t>upport</w:t>
            </w:r>
            <w:r w:rsidR="00DF23F3">
              <w:rPr>
                <w:rFonts w:ascii="Arial" w:hAnsi="Arial" w:cs="Arial"/>
              </w:rPr>
              <w:t>.</w:t>
            </w:r>
          </w:p>
        </w:tc>
        <w:tc>
          <w:tcPr>
            <w:tcW w:w="1607"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1C0325" w:rsidP="00E66C9D">
            <w:pPr>
              <w:spacing w:before="40" w:after="40"/>
              <w:jc w:val="left"/>
              <w:rPr>
                <w:rFonts w:ascii="Arial" w:hAnsi="Arial" w:cs="Arial"/>
              </w:rPr>
            </w:pPr>
          </w:p>
        </w:tc>
        <w:tc>
          <w:tcPr>
            <w:tcW w:w="1728"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1C0325" w:rsidP="00E66C9D">
            <w:pPr>
              <w:spacing w:before="40" w:after="40"/>
              <w:jc w:val="left"/>
              <w:rPr>
                <w:rFonts w:ascii="Arial" w:hAnsi="Arial" w:cs="Arial"/>
              </w:rPr>
            </w:pPr>
          </w:p>
        </w:tc>
      </w:tr>
      <w:tr w:rsidR="001C0325" w:rsidRPr="00BD0A88" w:rsidTr="0098429C">
        <w:trPr>
          <w:trHeight w:val="1493"/>
        </w:trPr>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BD0A88" w:rsidRDefault="001C0325" w:rsidP="00E66C9D">
            <w:pPr>
              <w:pStyle w:val="ListParagraph"/>
              <w:numPr>
                <w:ilvl w:val="0"/>
                <w:numId w:val="4"/>
              </w:numPr>
              <w:jc w:val="left"/>
            </w:pPr>
          </w:p>
        </w:tc>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5F04A0" w:rsidP="007F4F62">
            <w:pPr>
              <w:spacing w:before="40" w:after="40"/>
              <w:jc w:val="left"/>
              <w:rPr>
                <w:rFonts w:ascii="Arial" w:hAnsi="Arial" w:cs="Arial"/>
              </w:rPr>
            </w:pPr>
            <w:r w:rsidRPr="00F40F1E">
              <w:rPr>
                <w:rFonts w:ascii="Arial" w:hAnsi="Arial" w:cs="Arial"/>
              </w:rPr>
              <w:t># of goals/outcomes achieved</w:t>
            </w:r>
            <w:r w:rsidR="00DF23F3">
              <w:rPr>
                <w:rFonts w:ascii="Arial" w:hAnsi="Arial" w:cs="Arial"/>
              </w:rPr>
              <w:t>.</w:t>
            </w:r>
          </w:p>
        </w:tc>
        <w:tc>
          <w:tcPr>
            <w:tcW w:w="1607"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1C0325" w:rsidP="00E66C9D">
            <w:pPr>
              <w:spacing w:before="40" w:after="40"/>
              <w:jc w:val="left"/>
              <w:rPr>
                <w:rFonts w:ascii="Arial" w:hAnsi="Arial" w:cs="Arial"/>
              </w:rPr>
            </w:pPr>
          </w:p>
        </w:tc>
        <w:tc>
          <w:tcPr>
            <w:tcW w:w="1728" w:type="pct"/>
            <w:tcBorders>
              <w:top w:val="single" w:sz="4" w:space="0" w:color="auto"/>
              <w:left w:val="single" w:sz="4" w:space="0" w:color="auto"/>
              <w:bottom w:val="single" w:sz="4" w:space="0" w:color="auto"/>
              <w:right w:val="single" w:sz="4" w:space="0" w:color="auto"/>
            </w:tcBorders>
            <w:shd w:val="clear" w:color="auto" w:fill="FFFFFF" w:themeFill="background1"/>
          </w:tcPr>
          <w:p w:rsidR="00B4514D" w:rsidRDefault="00CC1010" w:rsidP="00B4514D">
            <w:pPr>
              <w:spacing w:before="40" w:after="40"/>
              <w:jc w:val="left"/>
              <w:rPr>
                <w:rFonts w:ascii="Arial" w:hAnsi="Arial" w:cs="Arial"/>
              </w:rPr>
            </w:pPr>
            <w:r w:rsidRPr="00F40F1E">
              <w:rPr>
                <w:rFonts w:ascii="Arial" w:hAnsi="Arial" w:cs="Arial"/>
              </w:rPr>
              <w:t xml:space="preserve"># </w:t>
            </w:r>
            <w:proofErr w:type="gramStart"/>
            <w:r w:rsidRPr="00F40F1E">
              <w:rPr>
                <w:rFonts w:ascii="Arial" w:hAnsi="Arial" w:cs="Arial"/>
              </w:rPr>
              <w:t>of</w:t>
            </w:r>
            <w:proofErr w:type="gramEnd"/>
            <w:r w:rsidRPr="00F40F1E">
              <w:rPr>
                <w:rFonts w:ascii="Arial" w:hAnsi="Arial" w:cs="Arial"/>
              </w:rPr>
              <w:t xml:space="preserve"> People who report that they are making progress towards their </w:t>
            </w:r>
            <w:r w:rsidR="00C670A3" w:rsidRPr="00F40F1E">
              <w:rPr>
                <w:rFonts w:ascii="Arial" w:hAnsi="Arial" w:cs="Arial"/>
              </w:rPr>
              <w:t>outcomes</w:t>
            </w:r>
            <w:r w:rsidR="00F40F1E" w:rsidRPr="00F40F1E">
              <w:rPr>
                <w:rFonts w:ascii="Arial" w:hAnsi="Arial" w:cs="Arial"/>
              </w:rPr>
              <w:t>.</w:t>
            </w:r>
            <w:r w:rsidR="00B4514D">
              <w:rPr>
                <w:rFonts w:ascii="Arial" w:hAnsi="Arial" w:cs="Arial"/>
              </w:rPr>
              <w:t xml:space="preserve">     </w:t>
            </w:r>
          </w:p>
          <w:p w:rsidR="001C0325" w:rsidRPr="00F40F1E" w:rsidRDefault="00313BA8" w:rsidP="007F4F62">
            <w:pPr>
              <w:spacing w:before="40" w:after="40"/>
              <w:jc w:val="left"/>
              <w:rPr>
                <w:rFonts w:ascii="Arial" w:hAnsi="Arial" w:cs="Arial"/>
              </w:rPr>
            </w:pPr>
            <w:r w:rsidRPr="00F40F1E">
              <w:rPr>
                <w:rFonts w:ascii="Arial" w:hAnsi="Arial" w:cs="Arial"/>
              </w:rPr>
              <w:t xml:space="preserve"># </w:t>
            </w:r>
            <w:proofErr w:type="gramStart"/>
            <w:r w:rsidRPr="00F40F1E">
              <w:rPr>
                <w:rFonts w:ascii="Arial" w:hAnsi="Arial" w:cs="Arial"/>
              </w:rPr>
              <w:t>of</w:t>
            </w:r>
            <w:proofErr w:type="gramEnd"/>
            <w:r w:rsidRPr="00F40F1E">
              <w:rPr>
                <w:rFonts w:ascii="Arial" w:hAnsi="Arial" w:cs="Arial"/>
              </w:rPr>
              <w:t xml:space="preserve"> People who report that the achievement of their </w:t>
            </w:r>
            <w:r w:rsidR="007F4F62">
              <w:rPr>
                <w:rFonts w:ascii="Arial" w:hAnsi="Arial" w:cs="Arial"/>
              </w:rPr>
              <w:t xml:space="preserve">outcomes </w:t>
            </w:r>
            <w:r w:rsidRPr="00F40F1E">
              <w:rPr>
                <w:rFonts w:ascii="Arial" w:hAnsi="Arial" w:cs="Arial"/>
              </w:rPr>
              <w:t>is making a difference in their lives</w:t>
            </w:r>
            <w:r w:rsidR="00F40F1E" w:rsidRPr="00F40F1E">
              <w:rPr>
                <w:rFonts w:ascii="Arial" w:hAnsi="Arial" w:cs="Arial"/>
              </w:rPr>
              <w:t>.</w:t>
            </w:r>
          </w:p>
        </w:tc>
      </w:tr>
      <w:tr w:rsidR="001C0325" w:rsidRPr="00BD0A88" w:rsidTr="0098429C">
        <w:trPr>
          <w:trHeight w:val="459"/>
        </w:trPr>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BD0A88" w:rsidRDefault="001C0325" w:rsidP="00E66C9D">
            <w:pPr>
              <w:pStyle w:val="ListParagraph"/>
              <w:numPr>
                <w:ilvl w:val="0"/>
                <w:numId w:val="4"/>
              </w:numPr>
              <w:jc w:val="left"/>
            </w:pPr>
          </w:p>
        </w:tc>
        <w:tc>
          <w:tcPr>
            <w:tcW w:w="1483"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E47445" w:rsidP="00E66C9D">
            <w:pPr>
              <w:jc w:val="left"/>
              <w:rPr>
                <w:rFonts w:ascii="Arial" w:hAnsi="Arial" w:cs="Arial"/>
              </w:rPr>
            </w:pPr>
            <w:r w:rsidRPr="00F40F1E">
              <w:rPr>
                <w:rFonts w:ascii="Arial" w:hAnsi="Arial" w:cs="Arial"/>
              </w:rPr>
              <w:t xml:space="preserve"># </w:t>
            </w:r>
            <w:proofErr w:type="gramStart"/>
            <w:r w:rsidRPr="00F40F1E">
              <w:rPr>
                <w:rFonts w:ascii="Arial" w:hAnsi="Arial" w:cs="Arial"/>
              </w:rPr>
              <w:t>of</w:t>
            </w:r>
            <w:proofErr w:type="gramEnd"/>
            <w:r w:rsidRPr="00F40F1E">
              <w:rPr>
                <w:rFonts w:ascii="Arial" w:hAnsi="Arial" w:cs="Arial"/>
              </w:rPr>
              <w:t xml:space="preserve"> complaints that have been received</w:t>
            </w:r>
            <w:r w:rsidR="00DF23F3">
              <w:rPr>
                <w:rFonts w:ascii="Arial" w:hAnsi="Arial" w:cs="Arial"/>
              </w:rPr>
              <w:t>.</w:t>
            </w:r>
          </w:p>
        </w:tc>
        <w:tc>
          <w:tcPr>
            <w:tcW w:w="1607"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E47445" w:rsidP="00E66C9D">
            <w:pPr>
              <w:jc w:val="left"/>
              <w:rPr>
                <w:rFonts w:ascii="Arial" w:hAnsi="Arial" w:cs="Arial"/>
              </w:rPr>
            </w:pPr>
            <w:r w:rsidRPr="00F40F1E">
              <w:rPr>
                <w:rFonts w:ascii="Arial" w:hAnsi="Arial" w:cs="Arial"/>
              </w:rPr>
              <w:t>% of complaints that have been resolved</w:t>
            </w:r>
            <w:r w:rsidR="00DF23F3">
              <w:rPr>
                <w:rFonts w:ascii="Arial" w:hAnsi="Arial" w:cs="Arial"/>
              </w:rPr>
              <w:t>.</w:t>
            </w:r>
          </w:p>
        </w:tc>
        <w:tc>
          <w:tcPr>
            <w:tcW w:w="1728" w:type="pct"/>
            <w:tcBorders>
              <w:top w:val="single" w:sz="4" w:space="0" w:color="auto"/>
              <w:left w:val="single" w:sz="4" w:space="0" w:color="auto"/>
              <w:bottom w:val="single" w:sz="4" w:space="0" w:color="auto"/>
              <w:right w:val="single" w:sz="4" w:space="0" w:color="auto"/>
            </w:tcBorders>
            <w:shd w:val="clear" w:color="auto" w:fill="FFFFFF" w:themeFill="background1"/>
          </w:tcPr>
          <w:p w:rsidR="001C0325" w:rsidRPr="00F40F1E" w:rsidRDefault="001C0325" w:rsidP="00E66C9D">
            <w:pPr>
              <w:spacing w:before="40" w:after="40"/>
              <w:jc w:val="left"/>
              <w:rPr>
                <w:rFonts w:ascii="Arial" w:hAnsi="Arial" w:cs="Arial"/>
              </w:rPr>
            </w:pPr>
          </w:p>
        </w:tc>
      </w:tr>
      <w:tr w:rsidR="001C0325" w:rsidRPr="00BD0A88" w:rsidTr="0098429C">
        <w:trPr>
          <w:trHeight w:val="1229"/>
        </w:trPr>
        <w:tc>
          <w:tcPr>
            <w:tcW w:w="182" w:type="pct"/>
            <w:shd w:val="clear" w:color="auto" w:fill="FFFFFF" w:themeFill="background1"/>
          </w:tcPr>
          <w:p w:rsidR="001C0325" w:rsidRPr="00BD0A88" w:rsidRDefault="001C0325" w:rsidP="00E66C9D">
            <w:pPr>
              <w:pStyle w:val="ListParagraph"/>
              <w:numPr>
                <w:ilvl w:val="0"/>
                <w:numId w:val="4"/>
              </w:numPr>
              <w:jc w:val="left"/>
            </w:pPr>
          </w:p>
        </w:tc>
        <w:tc>
          <w:tcPr>
            <w:tcW w:w="1483" w:type="pct"/>
            <w:shd w:val="clear" w:color="auto" w:fill="FFFFFF" w:themeFill="background1"/>
          </w:tcPr>
          <w:p w:rsidR="001C0325" w:rsidRPr="00F40F1E" w:rsidRDefault="00C670A3" w:rsidP="00EB7DC7">
            <w:pPr>
              <w:spacing w:before="40" w:after="40"/>
              <w:jc w:val="left"/>
              <w:rPr>
                <w:rFonts w:ascii="Arial" w:hAnsi="Arial" w:cs="Arial"/>
              </w:rPr>
            </w:pPr>
            <w:r w:rsidRPr="00F40F1E">
              <w:rPr>
                <w:rFonts w:ascii="Arial" w:hAnsi="Arial" w:cs="Arial"/>
              </w:rPr>
              <w:t xml:space="preserve"># </w:t>
            </w:r>
            <w:proofErr w:type="gramStart"/>
            <w:r w:rsidRPr="00F40F1E">
              <w:rPr>
                <w:rFonts w:ascii="Arial" w:hAnsi="Arial" w:cs="Arial"/>
              </w:rPr>
              <w:t>of</w:t>
            </w:r>
            <w:proofErr w:type="gramEnd"/>
            <w:r w:rsidRPr="00F40F1E">
              <w:rPr>
                <w:rFonts w:ascii="Arial" w:hAnsi="Arial" w:cs="Arial"/>
              </w:rPr>
              <w:t xml:space="preserve"> actions to improve the organisation that have been identified as part of the EGL Organisational Self Review Tool </w:t>
            </w:r>
            <w:r w:rsidR="00EB7DC7">
              <w:rPr>
                <w:rFonts w:ascii="Arial" w:hAnsi="Arial" w:cs="Arial"/>
              </w:rPr>
              <w:t>A</w:t>
            </w:r>
            <w:r w:rsidR="00EB7DC7" w:rsidRPr="00F40F1E">
              <w:rPr>
                <w:rFonts w:ascii="Arial" w:hAnsi="Arial" w:cs="Arial"/>
              </w:rPr>
              <w:t xml:space="preserve">ction </w:t>
            </w:r>
            <w:r w:rsidR="00EB7DC7">
              <w:rPr>
                <w:rFonts w:ascii="Arial" w:hAnsi="Arial" w:cs="Arial"/>
              </w:rPr>
              <w:t>P</w:t>
            </w:r>
            <w:r w:rsidR="00EB7DC7" w:rsidRPr="00F40F1E">
              <w:rPr>
                <w:rFonts w:ascii="Arial" w:hAnsi="Arial" w:cs="Arial"/>
              </w:rPr>
              <w:t>lan</w:t>
            </w:r>
            <w:r w:rsidR="00DF23F3">
              <w:rPr>
                <w:rFonts w:ascii="Arial" w:hAnsi="Arial" w:cs="Arial"/>
              </w:rPr>
              <w:t>.</w:t>
            </w:r>
          </w:p>
        </w:tc>
        <w:tc>
          <w:tcPr>
            <w:tcW w:w="1607" w:type="pct"/>
            <w:shd w:val="clear" w:color="auto" w:fill="FFFFFF" w:themeFill="background1"/>
          </w:tcPr>
          <w:p w:rsidR="001C0325" w:rsidRPr="00F40F1E" w:rsidRDefault="00C670A3" w:rsidP="00E66C9D">
            <w:pPr>
              <w:spacing w:before="40" w:after="40"/>
              <w:jc w:val="left"/>
              <w:rPr>
                <w:rFonts w:ascii="Arial" w:hAnsi="Arial" w:cs="Arial"/>
              </w:rPr>
            </w:pPr>
            <w:r w:rsidRPr="00F40F1E">
              <w:rPr>
                <w:rFonts w:ascii="Arial" w:hAnsi="Arial" w:cs="Arial"/>
              </w:rPr>
              <w:t>% of actions completed in reporting period</w:t>
            </w:r>
            <w:r w:rsidR="00DF23F3">
              <w:rPr>
                <w:rFonts w:ascii="Arial" w:hAnsi="Arial" w:cs="Arial"/>
              </w:rPr>
              <w:t>.</w:t>
            </w:r>
          </w:p>
        </w:tc>
        <w:tc>
          <w:tcPr>
            <w:tcW w:w="1728" w:type="pct"/>
            <w:shd w:val="clear" w:color="auto" w:fill="FFFFFF" w:themeFill="background1"/>
          </w:tcPr>
          <w:p w:rsidR="001C0325" w:rsidRPr="00F40F1E" w:rsidRDefault="001C0325" w:rsidP="00E66C9D">
            <w:pPr>
              <w:spacing w:before="40" w:after="40"/>
              <w:jc w:val="left"/>
              <w:rPr>
                <w:rFonts w:ascii="Arial" w:hAnsi="Arial" w:cs="Arial"/>
              </w:rPr>
            </w:pPr>
          </w:p>
        </w:tc>
      </w:tr>
    </w:tbl>
    <w:p w:rsidR="00BC4BE9" w:rsidRPr="00BD0A88" w:rsidRDefault="00BC4BE9" w:rsidP="00E4436A">
      <w:pPr>
        <w:pStyle w:val="Heading2"/>
      </w:pPr>
      <w:r w:rsidRPr="00BD0A88">
        <w:t>Service Users</w:t>
      </w:r>
    </w:p>
    <w:p w:rsidR="007F4F62" w:rsidRDefault="00D1316C" w:rsidP="00E4436A">
      <w:pPr>
        <w:jc w:val="both"/>
      </w:pPr>
      <w:r>
        <w:t xml:space="preserve">A </w:t>
      </w:r>
      <w:r w:rsidR="00493BF9">
        <w:t>Pe</w:t>
      </w:r>
      <w:r>
        <w:t>rson</w:t>
      </w:r>
      <w:r w:rsidR="00493BF9">
        <w:t xml:space="preserve"> </w:t>
      </w:r>
      <w:r w:rsidR="00187DB0">
        <w:t>who</w:t>
      </w:r>
      <w:r w:rsidR="007F4F62">
        <w:t>:</w:t>
      </w:r>
    </w:p>
    <w:p w:rsidR="007F4F62" w:rsidRDefault="00187DB0" w:rsidP="007F4F62">
      <w:pPr>
        <w:pStyle w:val="ListParagraph"/>
        <w:numPr>
          <w:ilvl w:val="0"/>
          <w:numId w:val="25"/>
        </w:numPr>
      </w:pPr>
      <w:r>
        <w:t>ha</w:t>
      </w:r>
      <w:r w:rsidR="00D1316C">
        <w:t>s</w:t>
      </w:r>
      <w:r>
        <w:t xml:space="preserve"> been </w:t>
      </w:r>
      <w:r w:rsidR="007F4F62">
        <w:t xml:space="preserve">determined to be eligible to receive Flexible Disability </w:t>
      </w:r>
      <w:r w:rsidR="00D1316C">
        <w:t>S</w:t>
      </w:r>
      <w:r w:rsidR="007F4F62">
        <w:t xml:space="preserve">upports by </w:t>
      </w:r>
      <w:r w:rsidR="007F4F62" w:rsidRPr="007F4F62">
        <w:t xml:space="preserve">the </w:t>
      </w:r>
      <w:r w:rsidR="00001544">
        <w:t>Funding Manager</w:t>
      </w:r>
      <w:r w:rsidR="007F4F62" w:rsidRPr="007F4F62">
        <w:t xml:space="preserve"> in accordance with Funder policy from time to time</w:t>
      </w:r>
      <w:r w:rsidR="007F4F62">
        <w:t xml:space="preserve">; and </w:t>
      </w:r>
    </w:p>
    <w:p w:rsidR="007F4F62" w:rsidRDefault="007F4F62" w:rsidP="007F4F62">
      <w:pPr>
        <w:pStyle w:val="ListParagraph"/>
        <w:numPr>
          <w:ilvl w:val="0"/>
          <w:numId w:val="25"/>
        </w:numPr>
      </w:pPr>
      <w:r>
        <w:t>ha</w:t>
      </w:r>
      <w:r w:rsidR="00D1316C">
        <w:t>s</w:t>
      </w:r>
      <w:r>
        <w:t xml:space="preserve"> been </w:t>
      </w:r>
      <w:r w:rsidR="00187DB0">
        <w:t>given a flexible Personal Budget</w:t>
      </w:r>
      <w:r>
        <w:t>;</w:t>
      </w:r>
      <w:r w:rsidR="00AA40A2">
        <w:t xml:space="preserve"> and</w:t>
      </w:r>
      <w:r w:rsidR="00360BF4">
        <w:t xml:space="preserve"> </w:t>
      </w:r>
    </w:p>
    <w:p w:rsidR="001E23AC" w:rsidRDefault="00360BF4" w:rsidP="007F4F62">
      <w:pPr>
        <w:pStyle w:val="ListParagraph"/>
        <w:numPr>
          <w:ilvl w:val="0"/>
          <w:numId w:val="25"/>
        </w:numPr>
      </w:pPr>
      <w:proofErr w:type="gramStart"/>
      <w:r>
        <w:t>ha</w:t>
      </w:r>
      <w:r w:rsidR="00D1316C">
        <w:t>s</w:t>
      </w:r>
      <w:proofErr w:type="gramEnd"/>
      <w:r>
        <w:t xml:space="preserve"> chosen Flexible Disability Supports as a mechanism for managing their Personal Budget</w:t>
      </w:r>
      <w:r w:rsidR="00187DB0">
        <w:t>.</w:t>
      </w:r>
      <w:r w:rsidR="00493BF9">
        <w:t xml:space="preserve"> </w:t>
      </w:r>
    </w:p>
    <w:p w:rsidR="002E2465" w:rsidRPr="00BD0A88" w:rsidRDefault="001E23AC" w:rsidP="00E4436A">
      <w:pPr>
        <w:pStyle w:val="Heading2"/>
      </w:pPr>
      <w:r>
        <w:t>Process</w:t>
      </w:r>
    </w:p>
    <w:p w:rsidR="001E23AC" w:rsidRDefault="001E23AC" w:rsidP="00E4436A">
      <w:pPr>
        <w:pStyle w:val="Heading3"/>
      </w:pPr>
      <w:r>
        <w:t xml:space="preserve">Funding arrangement and </w:t>
      </w:r>
      <w:r w:rsidR="003D7797">
        <w:t>Person</w:t>
      </w:r>
      <w:r>
        <w:t>al Budget</w:t>
      </w:r>
    </w:p>
    <w:p w:rsidR="00275125" w:rsidRDefault="008D5E23" w:rsidP="00E66C9D">
      <w:pPr>
        <w:jc w:val="both"/>
        <w:rPr>
          <w:rFonts w:cs="Arial"/>
        </w:rPr>
      </w:pPr>
      <w:r>
        <w:rPr>
          <w:rFonts w:cs="Arial"/>
        </w:rPr>
        <w:t>The Person and the Funding Manager determine</w:t>
      </w:r>
      <w:r w:rsidR="00275125">
        <w:rPr>
          <w:rFonts w:cs="Arial"/>
        </w:rPr>
        <w:t>:</w:t>
      </w:r>
    </w:p>
    <w:p w:rsidR="00275125" w:rsidRDefault="008D5E23" w:rsidP="00275125">
      <w:pPr>
        <w:pStyle w:val="ListParagraph"/>
        <w:numPr>
          <w:ilvl w:val="0"/>
          <w:numId w:val="26"/>
        </w:numPr>
      </w:pPr>
      <w:r w:rsidRPr="00275125">
        <w:t xml:space="preserve">what outcomes a </w:t>
      </w:r>
      <w:r w:rsidR="0098429C" w:rsidRPr="00275125">
        <w:t>P</w:t>
      </w:r>
      <w:r w:rsidRPr="00275125">
        <w:t>erson is seeking to achieve through funding</w:t>
      </w:r>
      <w:r w:rsidR="00275125">
        <w:t>;</w:t>
      </w:r>
      <w:r w:rsidRPr="00275125">
        <w:t xml:space="preserve"> and </w:t>
      </w:r>
    </w:p>
    <w:p w:rsidR="00275125" w:rsidRDefault="008D5E23" w:rsidP="00275125">
      <w:pPr>
        <w:pStyle w:val="ListParagraph"/>
        <w:numPr>
          <w:ilvl w:val="0"/>
          <w:numId w:val="26"/>
        </w:numPr>
      </w:pPr>
      <w:r w:rsidRPr="00275125">
        <w:t xml:space="preserve">what </w:t>
      </w:r>
      <w:r>
        <w:t xml:space="preserve">disability supports that </w:t>
      </w:r>
      <w:r w:rsidR="00F609C6">
        <w:t>they</w:t>
      </w:r>
      <w:r>
        <w:t xml:space="preserve"> intend to purchase with the </w:t>
      </w:r>
      <w:r w:rsidR="007F4F62">
        <w:t xml:space="preserve">Personal Budget </w:t>
      </w:r>
      <w:r>
        <w:t>they have been allocated</w:t>
      </w:r>
      <w:r w:rsidR="007F4F62">
        <w:t xml:space="preserve"> by the Funding Manager</w:t>
      </w:r>
    </w:p>
    <w:p w:rsidR="00275125" w:rsidRDefault="00275125" w:rsidP="00275125">
      <w:pPr>
        <w:pStyle w:val="ListParagraph"/>
        <w:numPr>
          <w:ilvl w:val="0"/>
          <w:numId w:val="26"/>
        </w:numPr>
      </w:pPr>
      <w:r>
        <w:t xml:space="preserve">which purchasing options the Person wants to </w:t>
      </w:r>
      <w:r w:rsidR="00001544">
        <w:t xml:space="preserve">use </w:t>
      </w:r>
      <w:r w:rsidR="00F609C6">
        <w:t xml:space="preserve">to deliver their </w:t>
      </w:r>
      <w:r>
        <w:t>disability supports from:</w:t>
      </w:r>
    </w:p>
    <w:p w:rsidR="00275125" w:rsidRPr="00A26AF9" w:rsidRDefault="00275125" w:rsidP="00275125">
      <w:pPr>
        <w:pStyle w:val="Sub-number"/>
        <w:numPr>
          <w:ilvl w:val="2"/>
          <w:numId w:val="3"/>
        </w:numPr>
        <w:spacing w:before="0"/>
        <w:jc w:val="both"/>
        <w:rPr>
          <w:rFonts w:cs="Arial"/>
          <w:szCs w:val="24"/>
          <w:lang w:eastAsia="ko-KR"/>
        </w:rPr>
      </w:pPr>
      <w:r>
        <w:rPr>
          <w:rFonts w:cs="Arial"/>
          <w:szCs w:val="24"/>
          <w:lang w:eastAsia="ko-KR"/>
        </w:rPr>
        <w:t>C</w:t>
      </w:r>
      <w:r w:rsidRPr="00A26AF9">
        <w:rPr>
          <w:rFonts w:cs="Arial"/>
          <w:szCs w:val="24"/>
          <w:lang w:eastAsia="ko-KR"/>
        </w:rPr>
        <w:t>ontracted Support Services</w:t>
      </w:r>
    </w:p>
    <w:p w:rsidR="00275125" w:rsidRPr="00A26AF9" w:rsidRDefault="00275125" w:rsidP="00275125">
      <w:pPr>
        <w:pStyle w:val="Sub-number"/>
        <w:numPr>
          <w:ilvl w:val="2"/>
          <w:numId w:val="3"/>
        </w:numPr>
        <w:spacing w:before="0"/>
        <w:jc w:val="both"/>
        <w:rPr>
          <w:rFonts w:cs="Arial"/>
          <w:szCs w:val="24"/>
          <w:lang w:eastAsia="ko-KR"/>
        </w:rPr>
      </w:pPr>
      <w:r w:rsidRPr="00A26AF9">
        <w:rPr>
          <w:rFonts w:cs="Arial"/>
          <w:szCs w:val="24"/>
          <w:lang w:eastAsia="ko-KR"/>
        </w:rPr>
        <w:t>Hosted Services</w:t>
      </w:r>
    </w:p>
    <w:p w:rsidR="00275125" w:rsidRPr="00A26AF9" w:rsidRDefault="00275125" w:rsidP="00275125">
      <w:pPr>
        <w:pStyle w:val="Sub-number"/>
        <w:numPr>
          <w:ilvl w:val="2"/>
          <w:numId w:val="3"/>
        </w:numPr>
        <w:spacing w:before="0"/>
        <w:jc w:val="both"/>
        <w:rPr>
          <w:rFonts w:cs="Arial"/>
          <w:szCs w:val="24"/>
          <w:lang w:eastAsia="ko-KR"/>
        </w:rPr>
      </w:pPr>
      <w:r w:rsidRPr="00A26AF9">
        <w:rPr>
          <w:rFonts w:cs="Arial"/>
          <w:szCs w:val="24"/>
          <w:lang w:eastAsia="ko-KR"/>
        </w:rPr>
        <w:t>Flexible Disability Support</w:t>
      </w:r>
      <w:r>
        <w:rPr>
          <w:rFonts w:cs="Arial"/>
          <w:szCs w:val="24"/>
          <w:lang w:eastAsia="ko-KR"/>
        </w:rPr>
        <w:t>s</w:t>
      </w:r>
    </w:p>
    <w:p w:rsidR="00275125" w:rsidRDefault="00275125" w:rsidP="00275125">
      <w:pPr>
        <w:pStyle w:val="ListParagraph"/>
        <w:numPr>
          <w:ilvl w:val="0"/>
          <w:numId w:val="26"/>
        </w:numPr>
      </w:pPr>
      <w:r>
        <w:t>which provider</w:t>
      </w:r>
      <w:r w:rsidR="006350D2">
        <w:t xml:space="preserve"> (or providers)</w:t>
      </w:r>
      <w:r>
        <w:t xml:space="preserve"> will deliver the chosen </w:t>
      </w:r>
      <w:r w:rsidR="00001544">
        <w:t>disability supports</w:t>
      </w:r>
    </w:p>
    <w:p w:rsidR="008D5E23" w:rsidRDefault="008D5E23" w:rsidP="00275125">
      <w:pPr>
        <w:pStyle w:val="ListParagraph"/>
        <w:numPr>
          <w:ilvl w:val="0"/>
          <w:numId w:val="0"/>
        </w:numPr>
      </w:pPr>
    </w:p>
    <w:p w:rsidR="00275125" w:rsidRDefault="008D5E23" w:rsidP="00E66C9D">
      <w:pPr>
        <w:spacing w:before="240"/>
        <w:jc w:val="both"/>
        <w:rPr>
          <w:rFonts w:cs="Arial"/>
        </w:rPr>
      </w:pPr>
      <w:r>
        <w:rPr>
          <w:rFonts w:cs="Arial"/>
        </w:rPr>
        <w:t xml:space="preserve">The Person may </w:t>
      </w:r>
      <w:r w:rsidR="00306DB9">
        <w:rPr>
          <w:rFonts w:cs="Arial"/>
        </w:rPr>
        <w:t xml:space="preserve">also </w:t>
      </w:r>
      <w:r>
        <w:rPr>
          <w:rFonts w:cs="Arial"/>
        </w:rPr>
        <w:t xml:space="preserve">receive support from a Navigator, a </w:t>
      </w:r>
      <w:r w:rsidR="00F40F1E">
        <w:rPr>
          <w:rFonts w:cs="Arial"/>
        </w:rPr>
        <w:t>person from their network or a P</w:t>
      </w:r>
      <w:r>
        <w:rPr>
          <w:rFonts w:cs="Arial"/>
        </w:rPr>
        <w:t>rovider to identify how much of their Personal Budget they will use with each Provider.</w:t>
      </w:r>
    </w:p>
    <w:p w:rsidR="0068558A" w:rsidRPr="006B129D" w:rsidDel="00306DB9" w:rsidRDefault="00B91638" w:rsidP="00E66C9D">
      <w:pPr>
        <w:jc w:val="both"/>
        <w:rPr>
          <w:rFonts w:cs="Arial"/>
        </w:rPr>
      </w:pPr>
      <w:r w:rsidRPr="006B129D" w:rsidDel="00306DB9">
        <w:rPr>
          <w:rFonts w:cs="Arial"/>
        </w:rPr>
        <w:t xml:space="preserve">If the Personal Budget does not match what the </w:t>
      </w:r>
      <w:r w:rsidR="00E840D4" w:rsidRPr="006B129D" w:rsidDel="00306DB9">
        <w:rPr>
          <w:rFonts w:cs="Arial"/>
        </w:rPr>
        <w:t xml:space="preserve">Person </w:t>
      </w:r>
      <w:r w:rsidRPr="006B129D" w:rsidDel="00306DB9">
        <w:rPr>
          <w:rFonts w:cs="Arial"/>
        </w:rPr>
        <w:t xml:space="preserve">wishes to purchase (or receive) then the Person </w:t>
      </w:r>
      <w:r w:rsidR="00265ADD" w:rsidRPr="006B129D" w:rsidDel="00306DB9">
        <w:rPr>
          <w:rFonts w:cs="Arial"/>
        </w:rPr>
        <w:t>will need to discuss this with the Provider, family/</w:t>
      </w:r>
      <w:r w:rsidR="0074701E" w:rsidRPr="006B129D" w:rsidDel="00306DB9">
        <w:rPr>
          <w:rFonts w:cs="Arial"/>
        </w:rPr>
        <w:t>whānau</w:t>
      </w:r>
      <w:r w:rsidR="00265ADD" w:rsidRPr="006B129D" w:rsidDel="00306DB9">
        <w:rPr>
          <w:rFonts w:cs="Arial"/>
        </w:rPr>
        <w:t xml:space="preserve"> or other stakeholders. </w:t>
      </w:r>
    </w:p>
    <w:p w:rsidR="00B91638" w:rsidDel="006B129D" w:rsidRDefault="00265ADD" w:rsidP="00E66C9D">
      <w:pPr>
        <w:jc w:val="both"/>
        <w:rPr>
          <w:rFonts w:cs="Arial"/>
        </w:rPr>
      </w:pPr>
      <w:r w:rsidRPr="006B129D" w:rsidDel="006B129D">
        <w:rPr>
          <w:rFonts w:cs="Arial"/>
        </w:rPr>
        <w:t>A process for these discussions will be agreed between relevant stakeholders.</w:t>
      </w:r>
    </w:p>
    <w:p w:rsidR="001E23AC" w:rsidRDefault="001E23AC" w:rsidP="00E4436A">
      <w:pPr>
        <w:pStyle w:val="Heading3"/>
      </w:pPr>
      <w:r>
        <w:t>Referral</w:t>
      </w:r>
    </w:p>
    <w:p w:rsidR="006350D2" w:rsidRDefault="00A2396B" w:rsidP="00E66C9D">
      <w:pPr>
        <w:jc w:val="both"/>
        <w:rPr>
          <w:lang w:eastAsia="ko-KR"/>
        </w:rPr>
      </w:pPr>
      <w:r>
        <w:rPr>
          <w:lang w:eastAsia="ko-KR"/>
        </w:rPr>
        <w:t>If a</w:t>
      </w:r>
      <w:r w:rsidR="006350D2">
        <w:rPr>
          <w:lang w:eastAsia="ko-KR"/>
        </w:rPr>
        <w:t xml:space="preserve"> Person chooses Flexible Disability Supports, the Funding Manager will offer them a range of Providers who can offer Flexible Disability Supports. </w:t>
      </w:r>
    </w:p>
    <w:p w:rsidR="006D04EC" w:rsidRDefault="00306DB9" w:rsidP="00E66C9D">
      <w:pPr>
        <w:jc w:val="both"/>
        <w:rPr>
          <w:lang w:eastAsia="ko-KR"/>
        </w:rPr>
      </w:pPr>
      <w:r>
        <w:rPr>
          <w:lang w:eastAsia="ko-KR"/>
        </w:rPr>
        <w:t xml:space="preserve">When </w:t>
      </w:r>
      <w:r w:rsidR="00A2396B">
        <w:rPr>
          <w:lang w:eastAsia="ko-KR"/>
        </w:rPr>
        <w:t xml:space="preserve">the </w:t>
      </w:r>
      <w:r>
        <w:rPr>
          <w:lang w:eastAsia="ko-KR"/>
        </w:rPr>
        <w:t>Person cho</w:t>
      </w:r>
      <w:r w:rsidR="006350D2">
        <w:rPr>
          <w:lang w:eastAsia="ko-KR"/>
        </w:rPr>
        <w:t>o</w:t>
      </w:r>
      <w:r>
        <w:rPr>
          <w:lang w:eastAsia="ko-KR"/>
        </w:rPr>
        <w:t>se</w:t>
      </w:r>
      <w:r w:rsidR="006350D2">
        <w:rPr>
          <w:lang w:eastAsia="ko-KR"/>
        </w:rPr>
        <w:t>s</w:t>
      </w:r>
      <w:r>
        <w:rPr>
          <w:lang w:eastAsia="ko-KR"/>
        </w:rPr>
        <w:t xml:space="preserve"> a Provider</w:t>
      </w:r>
      <w:r w:rsidR="006350D2">
        <w:rPr>
          <w:lang w:eastAsia="ko-KR"/>
        </w:rPr>
        <w:t xml:space="preserve">, </w:t>
      </w:r>
      <w:r>
        <w:rPr>
          <w:lang w:eastAsia="ko-KR"/>
        </w:rPr>
        <w:t xml:space="preserve">the Funding Manager will make a referral to that Provider.  </w:t>
      </w:r>
      <w:r w:rsidR="006D04EC">
        <w:rPr>
          <w:lang w:eastAsia="ko-KR"/>
        </w:rPr>
        <w:t xml:space="preserve">The </w:t>
      </w:r>
      <w:r>
        <w:rPr>
          <w:lang w:eastAsia="ko-KR"/>
        </w:rPr>
        <w:t>r</w:t>
      </w:r>
      <w:r w:rsidR="006D04EC">
        <w:rPr>
          <w:lang w:eastAsia="ko-KR"/>
        </w:rPr>
        <w:t>eferral will include:</w:t>
      </w:r>
    </w:p>
    <w:p w:rsidR="001E23AC" w:rsidRDefault="006D04EC" w:rsidP="00360BF4">
      <w:pPr>
        <w:pStyle w:val="Sub-number"/>
        <w:numPr>
          <w:ilvl w:val="0"/>
          <w:numId w:val="3"/>
        </w:numPr>
        <w:spacing w:before="0"/>
        <w:ind w:left="426"/>
        <w:jc w:val="both"/>
        <w:rPr>
          <w:rFonts w:cs="Arial"/>
          <w:szCs w:val="24"/>
          <w:lang w:eastAsia="ko-KR"/>
        </w:rPr>
      </w:pPr>
      <w:r w:rsidRPr="00A26AF9">
        <w:rPr>
          <w:rFonts w:cs="Arial"/>
          <w:szCs w:val="24"/>
          <w:lang w:eastAsia="ko-KR"/>
        </w:rPr>
        <w:t xml:space="preserve">the agreed amount of funding to be used at the </w:t>
      </w:r>
      <w:r w:rsidR="003D7797" w:rsidRPr="00A26AF9">
        <w:rPr>
          <w:rFonts w:cs="Arial"/>
          <w:szCs w:val="24"/>
          <w:lang w:eastAsia="ko-KR"/>
        </w:rPr>
        <w:t>Provider</w:t>
      </w:r>
    </w:p>
    <w:p w:rsidR="00275125" w:rsidRPr="00A26AF9" w:rsidRDefault="00275125" w:rsidP="00360BF4">
      <w:pPr>
        <w:pStyle w:val="Sub-number"/>
        <w:numPr>
          <w:ilvl w:val="0"/>
          <w:numId w:val="3"/>
        </w:numPr>
        <w:spacing w:before="0"/>
        <w:ind w:left="426"/>
        <w:jc w:val="both"/>
        <w:rPr>
          <w:rFonts w:cs="Arial"/>
          <w:szCs w:val="24"/>
          <w:lang w:eastAsia="ko-KR"/>
        </w:rPr>
      </w:pPr>
      <w:r>
        <w:rPr>
          <w:rFonts w:cs="Arial"/>
          <w:szCs w:val="24"/>
          <w:lang w:eastAsia="ko-KR"/>
        </w:rPr>
        <w:t>the type and amount of supports to be purchased</w:t>
      </w:r>
    </w:p>
    <w:p w:rsidR="006D04EC" w:rsidRPr="00A26AF9" w:rsidRDefault="006D04EC" w:rsidP="00360BF4">
      <w:pPr>
        <w:pStyle w:val="Sub-number"/>
        <w:numPr>
          <w:ilvl w:val="0"/>
          <w:numId w:val="3"/>
        </w:numPr>
        <w:spacing w:before="0"/>
        <w:ind w:left="426"/>
        <w:jc w:val="both"/>
        <w:rPr>
          <w:rFonts w:cs="Arial"/>
          <w:szCs w:val="24"/>
          <w:lang w:eastAsia="ko-KR"/>
        </w:rPr>
      </w:pPr>
      <w:r w:rsidRPr="00A26AF9">
        <w:rPr>
          <w:rFonts w:cs="Arial"/>
          <w:szCs w:val="24"/>
          <w:lang w:eastAsia="ko-KR"/>
        </w:rPr>
        <w:t>the start date</w:t>
      </w:r>
    </w:p>
    <w:p w:rsidR="00A2396B" w:rsidRPr="00A2396B" w:rsidRDefault="006D04EC" w:rsidP="00895FD2">
      <w:pPr>
        <w:pStyle w:val="Sub-number"/>
        <w:numPr>
          <w:ilvl w:val="0"/>
          <w:numId w:val="3"/>
        </w:numPr>
        <w:spacing w:before="0"/>
        <w:ind w:left="426"/>
        <w:jc w:val="both"/>
        <w:rPr>
          <w:rFonts w:cs="Arial"/>
          <w:szCs w:val="24"/>
          <w:lang w:eastAsia="ko-KR"/>
        </w:rPr>
      </w:pPr>
      <w:proofErr w:type="gramStart"/>
      <w:r w:rsidRPr="00A26AF9">
        <w:rPr>
          <w:rFonts w:cs="Arial"/>
          <w:szCs w:val="24"/>
          <w:lang w:eastAsia="ko-KR"/>
        </w:rPr>
        <w:t>the</w:t>
      </w:r>
      <w:proofErr w:type="gramEnd"/>
      <w:r w:rsidRPr="00A26AF9">
        <w:rPr>
          <w:rFonts w:cs="Arial"/>
          <w:szCs w:val="24"/>
          <w:lang w:eastAsia="ko-KR"/>
        </w:rPr>
        <w:t xml:space="preserve"> end date</w:t>
      </w:r>
      <w:r w:rsidR="008E08B9">
        <w:rPr>
          <w:rFonts w:cs="Arial"/>
          <w:szCs w:val="24"/>
          <w:lang w:eastAsia="ko-KR"/>
        </w:rPr>
        <w:t>.</w:t>
      </w:r>
    </w:p>
    <w:p w:rsidR="00A2396B" w:rsidRPr="00895FD2" w:rsidRDefault="00A2396B" w:rsidP="00306DB9">
      <w:pPr>
        <w:pStyle w:val="Sub-number"/>
        <w:numPr>
          <w:ilvl w:val="0"/>
          <w:numId w:val="0"/>
        </w:numPr>
        <w:spacing w:before="240" w:after="240"/>
        <w:ind w:left="68"/>
        <w:jc w:val="both"/>
        <w:rPr>
          <w:rFonts w:cs="Arial"/>
          <w:szCs w:val="24"/>
          <w:lang w:eastAsia="ko-KR"/>
        </w:rPr>
      </w:pPr>
      <w:r w:rsidRPr="00895FD2">
        <w:rPr>
          <w:rFonts w:cs="Arial"/>
          <w:szCs w:val="24"/>
          <w:lang w:eastAsia="ko-KR"/>
        </w:rPr>
        <w:t>The Person</w:t>
      </w:r>
      <w:r w:rsidR="003E44B2">
        <w:rPr>
          <w:rFonts w:cs="Arial"/>
          <w:szCs w:val="24"/>
          <w:lang w:eastAsia="ko-KR"/>
        </w:rPr>
        <w:t xml:space="preserve"> may choose one or more providers to deliver Flexible Disability Supports.</w:t>
      </w:r>
    </w:p>
    <w:p w:rsidR="006D04EC" w:rsidRPr="00E4436A" w:rsidRDefault="00642CAD" w:rsidP="00E4436A">
      <w:pPr>
        <w:pStyle w:val="Heading3"/>
      </w:pPr>
      <w:r w:rsidRPr="00E4436A">
        <w:t>Support</w:t>
      </w:r>
      <w:r w:rsidR="006D04EC" w:rsidRPr="00E4436A">
        <w:t xml:space="preserve"> Agreement</w:t>
      </w:r>
    </w:p>
    <w:p w:rsidR="006D04EC" w:rsidRDefault="006D04EC" w:rsidP="00E66C9D">
      <w:pPr>
        <w:jc w:val="both"/>
      </w:pPr>
      <w:r>
        <w:t>T</w:t>
      </w:r>
      <w:r w:rsidRPr="001E23AC">
        <w:t xml:space="preserve">he </w:t>
      </w:r>
      <w:r w:rsidR="003D7797">
        <w:t>Person</w:t>
      </w:r>
      <w:r w:rsidRPr="001E23AC">
        <w:t xml:space="preserve"> </w:t>
      </w:r>
      <w:r>
        <w:t xml:space="preserve">and the </w:t>
      </w:r>
      <w:r w:rsidR="003D7797">
        <w:t>Provider</w:t>
      </w:r>
      <w:r>
        <w:t xml:space="preserve"> </w:t>
      </w:r>
      <w:r w:rsidRPr="001E23AC">
        <w:t xml:space="preserve">must develop </w:t>
      </w:r>
      <w:r w:rsidR="00360BF4">
        <w:t xml:space="preserve">and agree </w:t>
      </w:r>
      <w:r w:rsidRPr="001E23AC">
        <w:t>a</w:t>
      </w:r>
      <w:r>
        <w:t xml:space="preserve"> </w:t>
      </w:r>
      <w:r w:rsidR="00D368DD">
        <w:t xml:space="preserve">written </w:t>
      </w:r>
      <w:r w:rsidR="00FA0333">
        <w:t>Support</w:t>
      </w:r>
      <w:r>
        <w:t xml:space="preserve"> Agreement that details how the </w:t>
      </w:r>
      <w:r w:rsidR="003D7797">
        <w:t>Provider</w:t>
      </w:r>
      <w:r>
        <w:t xml:space="preserve"> will support them</w:t>
      </w:r>
      <w:r w:rsidR="00E4495E">
        <w:t xml:space="preserve"> and the relationship between the </w:t>
      </w:r>
      <w:r w:rsidR="00D771F8">
        <w:t xml:space="preserve">Person </w:t>
      </w:r>
      <w:r w:rsidR="00E4495E">
        <w:t>and the Provider</w:t>
      </w:r>
      <w:r w:rsidR="00731033">
        <w:t>, and each part</w:t>
      </w:r>
      <w:r w:rsidR="00743FEC">
        <w:t>y’</w:t>
      </w:r>
      <w:r w:rsidR="00731033">
        <w:t>s responsibilities</w:t>
      </w:r>
      <w:r w:rsidR="00E4495E">
        <w:t>.</w:t>
      </w:r>
      <w:r>
        <w:t xml:space="preserve"> </w:t>
      </w:r>
      <w:r w:rsidR="00E4495E">
        <w:t xml:space="preserve">The Support Agreement sets out particular types and levels of support that the </w:t>
      </w:r>
      <w:r w:rsidR="00E72982">
        <w:t>Provider</w:t>
      </w:r>
      <w:r w:rsidR="00E4495E">
        <w:t xml:space="preserve"> will deliver to the </w:t>
      </w:r>
      <w:r w:rsidR="00E72982">
        <w:t>P</w:t>
      </w:r>
      <w:r w:rsidR="00D771F8">
        <w:t>erson</w:t>
      </w:r>
      <w:r w:rsidR="00E4495E">
        <w:t xml:space="preserve"> and how much of the </w:t>
      </w:r>
      <w:r w:rsidR="00E72982">
        <w:t>P</w:t>
      </w:r>
      <w:r w:rsidR="00E4495E">
        <w:t xml:space="preserve">erson’s </w:t>
      </w:r>
      <w:r w:rsidR="00D771F8">
        <w:t xml:space="preserve">Personal Budget </w:t>
      </w:r>
      <w:r w:rsidR="00E4495E">
        <w:t>will be paid to the provider for delivering that support.</w:t>
      </w:r>
    </w:p>
    <w:p w:rsidR="00C81F80" w:rsidRPr="001E23AC" w:rsidRDefault="00C81F80" w:rsidP="00E66C9D">
      <w:pPr>
        <w:jc w:val="both"/>
      </w:pPr>
      <w:r>
        <w:t xml:space="preserve">The </w:t>
      </w:r>
      <w:r w:rsidR="0083350C">
        <w:t xml:space="preserve">development of the </w:t>
      </w:r>
      <w:r w:rsidR="00E4495E">
        <w:t>Support</w:t>
      </w:r>
      <w:r>
        <w:t xml:space="preserve"> </w:t>
      </w:r>
      <w:r w:rsidR="00E4495E">
        <w:t xml:space="preserve">Agreement </w:t>
      </w:r>
      <w:r>
        <w:t>must</w:t>
      </w:r>
      <w:r w:rsidRPr="00C81F80">
        <w:t xml:space="preserve"> </w:t>
      </w:r>
      <w:r w:rsidRPr="001E23AC">
        <w:t xml:space="preserve">give consideration to a range of factors including: </w:t>
      </w:r>
    </w:p>
    <w:p w:rsidR="005F04A0" w:rsidRDefault="005F04A0" w:rsidP="00E66C9D">
      <w:pPr>
        <w:numPr>
          <w:ilvl w:val="0"/>
          <w:numId w:val="10"/>
        </w:numPr>
        <w:spacing w:after="0"/>
        <w:ind w:left="360"/>
        <w:jc w:val="both"/>
      </w:pPr>
      <w:r>
        <w:t xml:space="preserve">the outcomes </w:t>
      </w:r>
      <w:r w:rsidR="00642CAD">
        <w:t>identified as part of the assessment and recorded in ‘My Plan’</w:t>
      </w:r>
    </w:p>
    <w:p w:rsidR="00C81F80" w:rsidRPr="001E23AC" w:rsidRDefault="00C81F80" w:rsidP="00E66C9D">
      <w:pPr>
        <w:numPr>
          <w:ilvl w:val="0"/>
          <w:numId w:val="10"/>
        </w:numPr>
        <w:spacing w:after="0"/>
        <w:ind w:left="360"/>
        <w:jc w:val="both"/>
      </w:pPr>
      <w:r w:rsidRPr="001E23AC">
        <w:t xml:space="preserve">evidence the </w:t>
      </w:r>
      <w:r w:rsidR="00BD3518">
        <w:t>Support Agreement</w:t>
      </w:r>
      <w:r w:rsidR="00BD3518" w:rsidRPr="001E23AC">
        <w:t xml:space="preserve"> </w:t>
      </w:r>
      <w:r w:rsidRPr="001E23AC">
        <w:t xml:space="preserve">is personalised and reflects the </w:t>
      </w:r>
      <w:r w:rsidR="003D7797">
        <w:t>Person</w:t>
      </w:r>
      <w:r w:rsidRPr="001E23AC">
        <w:t>’s preferences</w:t>
      </w:r>
    </w:p>
    <w:p w:rsidR="00C81F80" w:rsidRPr="001E23AC" w:rsidRDefault="00C81F80" w:rsidP="00E66C9D">
      <w:pPr>
        <w:numPr>
          <w:ilvl w:val="0"/>
          <w:numId w:val="10"/>
        </w:numPr>
        <w:spacing w:after="0"/>
        <w:ind w:left="360"/>
        <w:jc w:val="both"/>
      </w:pPr>
      <w:r w:rsidRPr="001E23AC">
        <w:t xml:space="preserve">the cost </w:t>
      </w:r>
      <w:r w:rsidR="0022577C">
        <w:t xml:space="preserve">of service provision </w:t>
      </w:r>
      <w:r w:rsidR="00B15145">
        <w:t xml:space="preserve">is within the Personal Budget that has been referred to this Provider </w:t>
      </w:r>
      <w:r w:rsidRPr="001E23AC">
        <w:t xml:space="preserve">by the </w:t>
      </w:r>
      <w:r>
        <w:t>Funding Manager</w:t>
      </w:r>
      <w:r w:rsidRPr="001E23AC">
        <w:t xml:space="preserve"> for this </w:t>
      </w:r>
      <w:r w:rsidR="003D7797">
        <w:t>Person</w:t>
      </w:r>
    </w:p>
    <w:p w:rsidR="00C81F80" w:rsidRPr="001E23AC" w:rsidRDefault="00C81F80" w:rsidP="00E66C9D">
      <w:pPr>
        <w:numPr>
          <w:ilvl w:val="0"/>
          <w:numId w:val="10"/>
        </w:numPr>
        <w:spacing w:after="0"/>
        <w:ind w:left="360"/>
        <w:jc w:val="both"/>
      </w:pPr>
      <w:r w:rsidRPr="001E23AC">
        <w:t xml:space="preserve">the support provided </w:t>
      </w:r>
      <w:r w:rsidR="0083350C">
        <w:t>is</w:t>
      </w:r>
      <w:r w:rsidRPr="001E23AC">
        <w:t xml:space="preserve"> consistent with the </w:t>
      </w:r>
      <w:r w:rsidR="0022577C">
        <w:t xml:space="preserve">EGL </w:t>
      </w:r>
      <w:r w:rsidRPr="001E23AC">
        <w:t>Purchasing Guidelines</w:t>
      </w:r>
      <w:r w:rsidR="0083350C">
        <w:t xml:space="preserve"> the EGL Principles</w:t>
      </w:r>
    </w:p>
    <w:p w:rsidR="00C81F80" w:rsidRPr="001E23AC" w:rsidRDefault="00C81F80" w:rsidP="00E66C9D">
      <w:pPr>
        <w:numPr>
          <w:ilvl w:val="0"/>
          <w:numId w:val="10"/>
        </w:numPr>
        <w:spacing w:after="0"/>
        <w:ind w:left="360"/>
        <w:jc w:val="both"/>
      </w:pPr>
      <w:r w:rsidRPr="001E23AC">
        <w:lastRenderedPageBreak/>
        <w:t xml:space="preserve">the </w:t>
      </w:r>
      <w:r w:rsidR="00BD3518">
        <w:t>Support Agreement</w:t>
      </w:r>
      <w:r w:rsidRPr="001E23AC">
        <w:t xml:space="preserve"> is presented in a format that is accessible to the Person, other stakeholders, and auditors</w:t>
      </w:r>
    </w:p>
    <w:p w:rsidR="00D1316C" w:rsidRDefault="00D1316C" w:rsidP="00E66C9D">
      <w:pPr>
        <w:numPr>
          <w:ilvl w:val="0"/>
          <w:numId w:val="10"/>
        </w:numPr>
        <w:spacing w:after="0"/>
        <w:ind w:left="360"/>
        <w:jc w:val="both"/>
      </w:pPr>
      <w:r>
        <w:t>the cost of any services / supports / fees to be paid to the Provider from the Personal Budget</w:t>
      </w:r>
    </w:p>
    <w:p w:rsidR="00C81F80" w:rsidRDefault="00C81F80" w:rsidP="00E66C9D">
      <w:pPr>
        <w:numPr>
          <w:ilvl w:val="0"/>
          <w:numId w:val="10"/>
        </w:numPr>
        <w:spacing w:after="0"/>
        <w:ind w:left="360"/>
        <w:jc w:val="both"/>
      </w:pPr>
      <w:r w:rsidRPr="001E23AC">
        <w:t xml:space="preserve">contingencies for </w:t>
      </w:r>
      <w:r w:rsidR="0022577C">
        <w:t xml:space="preserve">situations </w:t>
      </w:r>
      <w:r w:rsidR="00A26AF9">
        <w:t xml:space="preserve">where </w:t>
      </w:r>
      <w:r w:rsidR="00A26AF9" w:rsidRPr="001E23AC">
        <w:t>things</w:t>
      </w:r>
      <w:r w:rsidRPr="001E23AC">
        <w:t xml:space="preserve"> don’t go as planned</w:t>
      </w:r>
    </w:p>
    <w:p w:rsidR="00E4495E" w:rsidRDefault="00C81F80" w:rsidP="00E66C9D">
      <w:pPr>
        <w:numPr>
          <w:ilvl w:val="0"/>
          <w:numId w:val="10"/>
        </w:numPr>
        <w:spacing w:after="0"/>
        <w:ind w:left="360"/>
        <w:jc w:val="both"/>
      </w:pPr>
      <w:r>
        <w:t xml:space="preserve">how the </w:t>
      </w:r>
      <w:r w:rsidR="003D7797">
        <w:t>Person</w:t>
      </w:r>
      <w:r>
        <w:t xml:space="preserve"> will identify changes to their </w:t>
      </w:r>
      <w:r w:rsidR="0036299F">
        <w:t>Support Agreement</w:t>
      </w:r>
    </w:p>
    <w:p w:rsidR="00C81F80" w:rsidRDefault="00E4495E" w:rsidP="00397C8E">
      <w:pPr>
        <w:numPr>
          <w:ilvl w:val="0"/>
          <w:numId w:val="10"/>
        </w:numPr>
        <w:spacing w:after="0"/>
        <w:ind w:left="360"/>
        <w:jc w:val="both"/>
      </w:pPr>
      <w:proofErr w:type="gramStart"/>
      <w:r>
        <w:t>the</w:t>
      </w:r>
      <w:proofErr w:type="gramEnd"/>
      <w:r>
        <w:t xml:space="preserve"> roles and responsibilities of all parties including linkages to complaints processes, </w:t>
      </w:r>
      <w:r w:rsidR="0022577C">
        <w:t>Person/</w:t>
      </w:r>
      <w:r>
        <w:t xml:space="preserve">family responsibilities and ensuring all </w:t>
      </w:r>
      <w:r w:rsidR="00BD3518">
        <w:t>relevant stakeholders</w:t>
      </w:r>
      <w:r>
        <w:t xml:space="preserve"> agree to </w:t>
      </w:r>
      <w:r w:rsidR="00BD3518">
        <w:t>the Support Agreement</w:t>
      </w:r>
      <w:r w:rsidR="00B15145">
        <w:t>.</w:t>
      </w:r>
    </w:p>
    <w:p w:rsidR="0036299F" w:rsidRDefault="0022577C" w:rsidP="00397C8E">
      <w:pPr>
        <w:numPr>
          <w:ilvl w:val="0"/>
          <w:numId w:val="10"/>
        </w:numPr>
        <w:spacing w:after="0"/>
        <w:ind w:left="360"/>
        <w:jc w:val="both"/>
      </w:pPr>
      <w:r>
        <w:t>h</w:t>
      </w:r>
      <w:r w:rsidR="0036299F">
        <w:t xml:space="preserve">ow often the Support Agreement </w:t>
      </w:r>
      <w:r w:rsidR="00360BF4">
        <w:t xml:space="preserve">will </w:t>
      </w:r>
      <w:r w:rsidR="0036299F">
        <w:t>be reviewed</w:t>
      </w:r>
    </w:p>
    <w:p w:rsidR="0022577C" w:rsidRDefault="0022577C" w:rsidP="00E66C9D">
      <w:pPr>
        <w:numPr>
          <w:ilvl w:val="0"/>
          <w:numId w:val="10"/>
        </w:numPr>
        <w:spacing w:after="0"/>
        <w:ind w:left="360"/>
        <w:jc w:val="both"/>
      </w:pPr>
      <w:proofErr w:type="gramStart"/>
      <w:r>
        <w:t>the</w:t>
      </w:r>
      <w:proofErr w:type="gramEnd"/>
      <w:r>
        <w:t xml:space="preserve"> process for either party </w:t>
      </w:r>
      <w:r w:rsidR="00360BF4">
        <w:t xml:space="preserve">to </w:t>
      </w:r>
      <w:r>
        <w:t>give notice to terminate the agreement</w:t>
      </w:r>
      <w:r w:rsidR="00360BF4">
        <w:t>,</w:t>
      </w:r>
      <w:r>
        <w:t xml:space="preserve"> including notice periods</w:t>
      </w:r>
      <w:r w:rsidR="003D25FF">
        <w:t>.</w:t>
      </w:r>
      <w:r>
        <w:t xml:space="preserve"> </w:t>
      </w:r>
    </w:p>
    <w:p w:rsidR="00CB2A9A" w:rsidRDefault="00753E59" w:rsidP="00E66C9D">
      <w:pPr>
        <w:numPr>
          <w:ilvl w:val="0"/>
          <w:numId w:val="10"/>
        </w:numPr>
        <w:spacing w:after="0"/>
        <w:ind w:left="360"/>
        <w:jc w:val="both"/>
      </w:pPr>
      <w:proofErr w:type="gramStart"/>
      <w:r>
        <w:t>accountability</w:t>
      </w:r>
      <w:proofErr w:type="gramEnd"/>
      <w:r>
        <w:t xml:space="preserve"> arrang</w:t>
      </w:r>
      <w:r w:rsidR="00923381">
        <w:t>e</w:t>
      </w:r>
      <w:r>
        <w:t>ments where the person is mana</w:t>
      </w:r>
      <w:r w:rsidR="00923381">
        <w:t>g</w:t>
      </w:r>
      <w:r>
        <w:t xml:space="preserve">ing their own Personal Budget (as per </w:t>
      </w:r>
      <w:r w:rsidR="002E5FAE">
        <w:t>Direct</w:t>
      </w:r>
      <w:r>
        <w:t xml:space="preserve"> Fundholding)</w:t>
      </w:r>
      <w:r w:rsidR="00305EF1">
        <w:t>.</w:t>
      </w:r>
    </w:p>
    <w:p w:rsidR="00731033" w:rsidRDefault="00731033" w:rsidP="00731033">
      <w:pPr>
        <w:spacing w:after="0"/>
        <w:ind w:left="360"/>
        <w:jc w:val="both"/>
      </w:pPr>
    </w:p>
    <w:p w:rsidR="00305EF1" w:rsidRDefault="00572340" w:rsidP="00731033">
      <w:pPr>
        <w:spacing w:after="0"/>
        <w:jc w:val="both"/>
      </w:pPr>
      <w:r>
        <w:t xml:space="preserve">Where the Person is using Direct Fundholding the </w:t>
      </w:r>
      <w:r w:rsidR="00CB2A9A">
        <w:t xml:space="preserve">Support Agreement will </w:t>
      </w:r>
      <w:r w:rsidR="00305EF1">
        <w:t>include</w:t>
      </w:r>
      <w:r w:rsidR="00CB2A9A">
        <w:t xml:space="preserve"> the equivalent of the following provisions</w:t>
      </w:r>
      <w:r w:rsidR="00305EF1">
        <w:t>:</w:t>
      </w:r>
    </w:p>
    <w:p w:rsidR="00731033" w:rsidRDefault="00731033" w:rsidP="00731033">
      <w:pPr>
        <w:pStyle w:val="ListParagraph"/>
        <w:numPr>
          <w:ilvl w:val="0"/>
          <w:numId w:val="30"/>
        </w:numPr>
      </w:pPr>
      <w:r>
        <w:t>The Person agrees that any overpayment of the Personal Budget for supports not provided, or provided otherwise than as permitted under this Agreement must be repaid by the Person.</w:t>
      </w:r>
    </w:p>
    <w:p w:rsidR="00731033" w:rsidRDefault="00731033" w:rsidP="00731033">
      <w:pPr>
        <w:pStyle w:val="ListParagraph"/>
        <w:numPr>
          <w:ilvl w:val="0"/>
          <w:numId w:val="30"/>
        </w:numPr>
      </w:pPr>
      <w:r>
        <w:t xml:space="preserve">The Person agrees that they will cooperate with any audit of expenditure of their Personal Budget instigated by the </w:t>
      </w:r>
      <w:r w:rsidR="00031EA1">
        <w:t>Purchasing Agency</w:t>
      </w:r>
      <w:r>
        <w:t xml:space="preserve">, and will make available on request all </w:t>
      </w:r>
      <w:r w:rsidR="00D81FEC">
        <w:t>records to verify the expenditures</w:t>
      </w:r>
      <w:r>
        <w:t>.</w:t>
      </w:r>
    </w:p>
    <w:p w:rsidR="00A025AB" w:rsidRDefault="00A025AB" w:rsidP="00E66C9D">
      <w:pPr>
        <w:spacing w:after="0"/>
        <w:ind w:left="720"/>
        <w:jc w:val="both"/>
      </w:pPr>
    </w:p>
    <w:p w:rsidR="003C4870" w:rsidRDefault="00C81F80" w:rsidP="00E66C9D">
      <w:pPr>
        <w:jc w:val="both"/>
      </w:pPr>
      <w:r>
        <w:t xml:space="preserve">A </w:t>
      </w:r>
      <w:r w:rsidR="00BD3518">
        <w:t xml:space="preserve">Support </w:t>
      </w:r>
      <w:r>
        <w:t xml:space="preserve">Agreement must be signed by </w:t>
      </w:r>
      <w:r w:rsidR="00D41235">
        <w:t xml:space="preserve">and copied to </w:t>
      </w:r>
      <w:r>
        <w:t xml:space="preserve">all parties before </w:t>
      </w:r>
      <w:r w:rsidR="00187DB0">
        <w:t xml:space="preserve">support </w:t>
      </w:r>
      <w:r w:rsidR="003C4870">
        <w:t>starts.</w:t>
      </w:r>
    </w:p>
    <w:p w:rsidR="003C4870" w:rsidRDefault="003C4870" w:rsidP="00E66C9D">
      <w:pPr>
        <w:jc w:val="both"/>
      </w:pPr>
      <w:r>
        <w:t>The Support Agreement should ideally be reviewed within three months of support starting and have an annual review.</w:t>
      </w:r>
    </w:p>
    <w:p w:rsidR="003C4870" w:rsidRDefault="002E5FAE" w:rsidP="00E66C9D">
      <w:pPr>
        <w:jc w:val="both"/>
      </w:pPr>
      <w:r>
        <w:t>The Person must be made aware that they must communicate with the Funding Manager if the support being purchased or delivered differs from support identified through the referral determination with the funding Manager (as referenced in clause 6.1 and 6.2) assessment process. The process for this communication will be agreed between the Funding Manager and the Person.  The Person can be supported in this communication by the Provider or relevant stakeholders.</w:t>
      </w:r>
    </w:p>
    <w:p w:rsidR="00C81F80" w:rsidRDefault="004A5E8E" w:rsidP="00E4436A">
      <w:pPr>
        <w:pStyle w:val="Heading2"/>
      </w:pPr>
      <w:r>
        <w:t>Roles</w:t>
      </w:r>
    </w:p>
    <w:p w:rsidR="004A5E8E" w:rsidRPr="001E23AC" w:rsidRDefault="004A5E8E" w:rsidP="00E4436A">
      <w:pPr>
        <w:pStyle w:val="Heading3"/>
        <w:jc w:val="left"/>
        <w:rPr>
          <w:iCs/>
        </w:rPr>
      </w:pPr>
      <w:r w:rsidRPr="001E23AC">
        <w:t xml:space="preserve">The </w:t>
      </w:r>
      <w:r w:rsidR="003D7797">
        <w:t>Person</w:t>
      </w:r>
    </w:p>
    <w:p w:rsidR="004A5E8E" w:rsidRPr="001E23AC" w:rsidRDefault="004A5E8E" w:rsidP="00E66C9D">
      <w:pPr>
        <w:jc w:val="both"/>
      </w:pPr>
      <w:r w:rsidRPr="001E23AC">
        <w:t xml:space="preserve">The role of the </w:t>
      </w:r>
      <w:r w:rsidR="003D7797">
        <w:t>Person</w:t>
      </w:r>
      <w:r w:rsidR="00E4158B" w:rsidRPr="001E23AC">
        <w:t xml:space="preserve"> </w:t>
      </w:r>
      <w:r w:rsidRPr="001E23AC">
        <w:t xml:space="preserve">in </w:t>
      </w:r>
      <w:r>
        <w:t>a Flexible Disability Support arrangement</w:t>
      </w:r>
      <w:r w:rsidRPr="001E23AC">
        <w:t xml:space="preserve"> is to:</w:t>
      </w:r>
    </w:p>
    <w:p w:rsidR="004A5E8E" w:rsidRPr="001E23AC" w:rsidRDefault="00893062" w:rsidP="00E4436A">
      <w:pPr>
        <w:numPr>
          <w:ilvl w:val="0"/>
          <w:numId w:val="10"/>
        </w:numPr>
        <w:spacing w:after="0"/>
        <w:ind w:left="426"/>
        <w:jc w:val="both"/>
      </w:pPr>
      <w:r>
        <w:lastRenderedPageBreak/>
        <w:t xml:space="preserve">lead the development and review of a </w:t>
      </w:r>
      <w:r w:rsidR="003D25FF">
        <w:t>S</w:t>
      </w:r>
      <w:r>
        <w:t xml:space="preserve">upport </w:t>
      </w:r>
      <w:r w:rsidR="003D25FF">
        <w:t>A</w:t>
      </w:r>
      <w:r w:rsidR="004A5E8E" w:rsidRPr="001E23AC">
        <w:t>greement</w:t>
      </w:r>
      <w:r>
        <w:t xml:space="preserve"> that includes the </w:t>
      </w:r>
      <w:r w:rsidR="004A5E8E" w:rsidRPr="001E23AC">
        <w:t>document</w:t>
      </w:r>
      <w:r>
        <w:t xml:space="preserve">ation of </w:t>
      </w:r>
      <w:r w:rsidR="00E86C9B">
        <w:t>aspects</w:t>
      </w:r>
      <w:r>
        <w:t xml:space="preserve"> such as</w:t>
      </w:r>
      <w:r w:rsidR="004A5E8E" w:rsidRPr="001E23AC">
        <w:t xml:space="preserve"> where and how they want to live, what they want to achieve, and how they will be supported</w:t>
      </w:r>
    </w:p>
    <w:p w:rsidR="004A5E8E" w:rsidRPr="001E23AC" w:rsidRDefault="004A5E8E" w:rsidP="00E4436A">
      <w:pPr>
        <w:numPr>
          <w:ilvl w:val="0"/>
          <w:numId w:val="10"/>
        </w:numPr>
        <w:spacing w:after="0"/>
        <w:ind w:left="426"/>
        <w:jc w:val="both"/>
      </w:pPr>
      <w:r w:rsidRPr="001E23AC">
        <w:t xml:space="preserve">oversee the provision of support agreed in the </w:t>
      </w:r>
      <w:r w:rsidR="003D25FF">
        <w:t>Support Agreement</w:t>
      </w:r>
      <w:r w:rsidR="003D25FF" w:rsidRPr="001E23AC">
        <w:t xml:space="preserve"> </w:t>
      </w:r>
      <w:r w:rsidRPr="001E23AC">
        <w:t>and make day</w:t>
      </w:r>
      <w:r w:rsidR="007C2C00">
        <w:t>-</w:t>
      </w:r>
      <w:r w:rsidRPr="001E23AC">
        <w:t xml:space="preserve"> to</w:t>
      </w:r>
      <w:r w:rsidR="007C2C00">
        <w:t>-</w:t>
      </w:r>
      <w:r w:rsidRPr="001E23AC">
        <w:t xml:space="preserve"> day decisions about how that support is provided</w:t>
      </w:r>
    </w:p>
    <w:p w:rsidR="00D30D55" w:rsidRDefault="004A5E8E" w:rsidP="00E4436A">
      <w:pPr>
        <w:numPr>
          <w:ilvl w:val="0"/>
          <w:numId w:val="10"/>
        </w:numPr>
        <w:spacing w:after="0"/>
        <w:ind w:left="426"/>
        <w:jc w:val="both"/>
      </w:pPr>
      <w:r w:rsidRPr="001E23AC">
        <w:t>lead/direct a regular review of their support arrangements</w:t>
      </w:r>
      <w:r w:rsidR="00D30D55" w:rsidRPr="00D30D55">
        <w:t xml:space="preserve"> </w:t>
      </w:r>
    </w:p>
    <w:p w:rsidR="004A5E8E" w:rsidRDefault="00D30D55" w:rsidP="00E4436A">
      <w:pPr>
        <w:numPr>
          <w:ilvl w:val="0"/>
          <w:numId w:val="10"/>
        </w:numPr>
        <w:spacing w:after="0"/>
        <w:ind w:left="426"/>
        <w:jc w:val="both"/>
      </w:pPr>
      <w:r w:rsidRPr="00D30D55">
        <w:t>ensure that the support purchased/received is the most cost effective and relevant way to support them to achieve outcomes identified in their plan</w:t>
      </w:r>
      <w:r w:rsidR="00B929CD">
        <w:t>,</w:t>
      </w:r>
      <w:r w:rsidR="006A1A4E">
        <w:t xml:space="preserve"> with support where necessary</w:t>
      </w:r>
    </w:p>
    <w:p w:rsidR="004A5E8E" w:rsidRDefault="004A5E8E" w:rsidP="00E4436A">
      <w:pPr>
        <w:numPr>
          <w:ilvl w:val="0"/>
          <w:numId w:val="10"/>
        </w:numPr>
        <w:spacing w:after="0"/>
        <w:ind w:left="426"/>
        <w:jc w:val="both"/>
      </w:pPr>
      <w:r w:rsidRPr="001E23AC">
        <w:t xml:space="preserve">manage their own home and living arrangements including tenancy (if they are renting), with support </w:t>
      </w:r>
      <w:r w:rsidR="003F5C2B">
        <w:t>where</w:t>
      </w:r>
      <w:r w:rsidR="003F5C2B" w:rsidRPr="001E23AC">
        <w:t xml:space="preserve"> </w:t>
      </w:r>
      <w:r w:rsidRPr="001E23AC">
        <w:t>necessary</w:t>
      </w:r>
    </w:p>
    <w:p w:rsidR="003F5C2B" w:rsidRPr="001E23AC" w:rsidRDefault="003F5C2B" w:rsidP="00E4436A">
      <w:pPr>
        <w:numPr>
          <w:ilvl w:val="0"/>
          <w:numId w:val="10"/>
        </w:numPr>
        <w:spacing w:after="0"/>
        <w:ind w:left="426"/>
        <w:jc w:val="both"/>
      </w:pPr>
      <w:r>
        <w:t>manage the support options they access in the community, with support where necessary</w:t>
      </w:r>
    </w:p>
    <w:p w:rsidR="004A5E8E" w:rsidRPr="001E23AC" w:rsidRDefault="004A5E8E" w:rsidP="00E4436A">
      <w:pPr>
        <w:numPr>
          <w:ilvl w:val="0"/>
          <w:numId w:val="10"/>
        </w:numPr>
        <w:spacing w:after="0"/>
        <w:ind w:left="426"/>
        <w:jc w:val="both"/>
      </w:pPr>
      <w:r w:rsidRPr="001E23AC">
        <w:t>manage everyday costs of daily living</w:t>
      </w:r>
      <w:r w:rsidR="00B929CD">
        <w:t xml:space="preserve">, </w:t>
      </w:r>
      <w:r w:rsidRPr="001E23AC">
        <w:t xml:space="preserve">with support </w:t>
      </w:r>
      <w:r w:rsidR="003F5C2B">
        <w:t>where</w:t>
      </w:r>
      <w:r w:rsidR="003F5C2B" w:rsidRPr="001E23AC">
        <w:t xml:space="preserve"> </w:t>
      </w:r>
      <w:r w:rsidRPr="001E23AC">
        <w:t>necessary</w:t>
      </w:r>
    </w:p>
    <w:p w:rsidR="00893062" w:rsidRDefault="00F40F1E" w:rsidP="00E4436A">
      <w:pPr>
        <w:numPr>
          <w:ilvl w:val="0"/>
          <w:numId w:val="10"/>
        </w:numPr>
        <w:spacing w:after="0"/>
        <w:ind w:left="426"/>
        <w:jc w:val="both"/>
      </w:pPr>
      <w:r>
        <w:t>raise any</w:t>
      </w:r>
      <w:r w:rsidR="00893062">
        <w:t xml:space="preserve"> concerns/complaints they may have with the service being provided in a safe and supportive manner</w:t>
      </w:r>
    </w:p>
    <w:p w:rsidR="00893062" w:rsidRPr="001E23AC" w:rsidRDefault="00526613" w:rsidP="00E4436A">
      <w:pPr>
        <w:numPr>
          <w:ilvl w:val="0"/>
          <w:numId w:val="10"/>
        </w:numPr>
        <w:spacing w:after="0"/>
        <w:ind w:left="426"/>
        <w:jc w:val="both"/>
      </w:pPr>
      <w:r>
        <w:t>seek to terminate the agreement with the Provider in line with agreed process</w:t>
      </w:r>
    </w:p>
    <w:p w:rsidR="00B15145" w:rsidRDefault="004A5E8E" w:rsidP="00AF2313">
      <w:pPr>
        <w:numPr>
          <w:ilvl w:val="0"/>
          <w:numId w:val="10"/>
        </w:numPr>
        <w:spacing w:after="0" w:line="240" w:lineRule="auto"/>
        <w:ind w:left="425" w:hanging="357"/>
        <w:jc w:val="both"/>
      </w:pPr>
      <w:r w:rsidRPr="001E23AC">
        <w:t xml:space="preserve">participate if they choose in an evaluation of the demonstration commissioned by </w:t>
      </w:r>
      <w:r w:rsidR="00E4436A">
        <w:t>Funders</w:t>
      </w:r>
    </w:p>
    <w:p w:rsidR="004A5E8E" w:rsidRDefault="00B15145" w:rsidP="00AF2313">
      <w:pPr>
        <w:numPr>
          <w:ilvl w:val="0"/>
          <w:numId w:val="10"/>
        </w:numPr>
        <w:spacing w:after="0" w:line="240" w:lineRule="auto"/>
        <w:ind w:left="425" w:hanging="357"/>
        <w:jc w:val="both"/>
      </w:pPr>
      <w:r>
        <w:t>Retain and make available all necessary documentation to support expenditures related to the Personal Budget that the Person has Self-Managed</w:t>
      </w:r>
      <w:r w:rsidR="004A5E8E" w:rsidRPr="001E23AC">
        <w:t xml:space="preserve">.  </w:t>
      </w:r>
    </w:p>
    <w:p w:rsidR="00D212C1" w:rsidRDefault="00D212C1" w:rsidP="00AF2313">
      <w:pPr>
        <w:spacing w:after="0" w:line="240" w:lineRule="auto"/>
        <w:ind w:left="425"/>
        <w:jc w:val="both"/>
      </w:pPr>
    </w:p>
    <w:p w:rsidR="004A5E8E" w:rsidRDefault="004A5E8E" w:rsidP="00AF2313">
      <w:pPr>
        <w:spacing w:after="0" w:line="240" w:lineRule="auto"/>
        <w:jc w:val="both"/>
      </w:pPr>
      <w:r w:rsidRPr="001E23AC">
        <w:t xml:space="preserve">The </w:t>
      </w:r>
      <w:r w:rsidR="003D7797">
        <w:t>Provider</w:t>
      </w:r>
      <w:r w:rsidRPr="001E23AC">
        <w:t xml:space="preserve">, the </w:t>
      </w:r>
      <w:r w:rsidR="003377CF">
        <w:t>Funding Manager</w:t>
      </w:r>
      <w:r>
        <w:t>, family and wh</w:t>
      </w:r>
      <w:r w:rsidR="00CA04B7">
        <w:t>ā</w:t>
      </w:r>
      <w:r>
        <w:t xml:space="preserve">nau, a friend, </w:t>
      </w:r>
      <w:r w:rsidRPr="001E23AC">
        <w:t xml:space="preserve">an advocate </w:t>
      </w:r>
      <w:r>
        <w:t xml:space="preserve">or a Navigator </w:t>
      </w:r>
      <w:r w:rsidRPr="001E23AC">
        <w:t xml:space="preserve">may support the </w:t>
      </w:r>
      <w:r w:rsidR="003D7797">
        <w:t>Person</w:t>
      </w:r>
      <w:r w:rsidRPr="001E23AC">
        <w:t xml:space="preserve"> to fulfil their role where the Person has requested this support in</w:t>
      </w:r>
      <w:r w:rsidR="006E2801">
        <w:t xml:space="preserve"> </w:t>
      </w:r>
      <w:r w:rsidRPr="001E23AC">
        <w:t xml:space="preserve">line with the principles of supported decision making (see Appendix </w:t>
      </w:r>
      <w:r>
        <w:t>B</w:t>
      </w:r>
      <w:r w:rsidRPr="001E23AC">
        <w:t xml:space="preserve"> </w:t>
      </w:r>
      <w:r w:rsidR="00187DB0">
        <w:t xml:space="preserve">of this </w:t>
      </w:r>
      <w:r w:rsidR="00D410B4">
        <w:t>Service S</w:t>
      </w:r>
      <w:r w:rsidR="00187DB0">
        <w:t xml:space="preserve">pecification </w:t>
      </w:r>
      <w:r w:rsidRPr="001E23AC">
        <w:t>for more information on supported decision making), provided that, in doing so, any conflict of int</w:t>
      </w:r>
      <w:r w:rsidR="00327388">
        <w:t>erest is managed appropriately.</w:t>
      </w:r>
    </w:p>
    <w:p w:rsidR="004A5E8E" w:rsidRPr="001E23AC" w:rsidRDefault="004A5E8E" w:rsidP="00E4436A">
      <w:pPr>
        <w:pStyle w:val="Heading3"/>
      </w:pPr>
      <w:r w:rsidRPr="001E23AC">
        <w:t xml:space="preserve">The </w:t>
      </w:r>
      <w:r w:rsidR="00CC0DAE">
        <w:t>P</w:t>
      </w:r>
      <w:r w:rsidR="00CC0DAE" w:rsidRPr="001E23AC">
        <w:t>rovider</w:t>
      </w:r>
    </w:p>
    <w:p w:rsidR="004A5E8E" w:rsidRPr="001E23AC" w:rsidRDefault="004A5E8E" w:rsidP="00E66C9D">
      <w:pPr>
        <w:jc w:val="both"/>
      </w:pPr>
      <w:r w:rsidRPr="001E23AC">
        <w:t xml:space="preserve">The role of </w:t>
      </w:r>
      <w:r w:rsidR="00CC0DAE">
        <w:t>the</w:t>
      </w:r>
      <w:r w:rsidR="00CC0DAE" w:rsidRPr="001E23AC">
        <w:t xml:space="preserve"> </w:t>
      </w:r>
      <w:r w:rsidR="00327388">
        <w:t xml:space="preserve">Flexible Disability Support </w:t>
      </w:r>
      <w:r w:rsidR="00CC0DAE">
        <w:t>Provider</w:t>
      </w:r>
      <w:r w:rsidR="00CC0DAE" w:rsidRPr="001E23AC">
        <w:t xml:space="preserve"> </w:t>
      </w:r>
      <w:r w:rsidRPr="001E23AC">
        <w:t>is to:</w:t>
      </w:r>
    </w:p>
    <w:p w:rsidR="00642CAD" w:rsidRDefault="00642CAD" w:rsidP="00571DC2">
      <w:pPr>
        <w:numPr>
          <w:ilvl w:val="0"/>
          <w:numId w:val="10"/>
        </w:numPr>
        <w:spacing w:after="0"/>
        <w:ind w:left="426"/>
        <w:jc w:val="both"/>
      </w:pPr>
      <w:r>
        <w:t xml:space="preserve">work with the Person, the Funding Manager, the Person’s family and </w:t>
      </w:r>
      <w:r w:rsidRPr="001E23AC">
        <w:t>wh</w:t>
      </w:r>
      <w:r>
        <w:t>ā</w:t>
      </w:r>
      <w:r w:rsidRPr="001E23AC">
        <w:t xml:space="preserve">nau </w:t>
      </w:r>
      <w:r>
        <w:t xml:space="preserve">and other stakeholders </w:t>
      </w:r>
      <w:r w:rsidR="00B929CD">
        <w:t>(</w:t>
      </w:r>
      <w:r w:rsidR="00571DC2">
        <w:t>where requested)</w:t>
      </w:r>
      <w:r w:rsidR="00B929CD">
        <w:t xml:space="preserve"> to</w:t>
      </w:r>
      <w:r w:rsidR="00571DC2">
        <w:t xml:space="preserve"> </w:t>
      </w:r>
      <w:r>
        <w:t xml:space="preserve">identify how much funding is required from the Person’s Personal Budget to deliver </w:t>
      </w:r>
      <w:r w:rsidR="00AB51F5">
        <w:t>Flexible</w:t>
      </w:r>
      <w:r>
        <w:t xml:space="preserve"> Disability Supports</w:t>
      </w:r>
    </w:p>
    <w:p w:rsidR="004A5E8E" w:rsidRPr="001E23AC" w:rsidRDefault="004A5E8E" w:rsidP="00571DC2">
      <w:pPr>
        <w:numPr>
          <w:ilvl w:val="0"/>
          <w:numId w:val="10"/>
        </w:numPr>
        <w:spacing w:after="0"/>
        <w:ind w:left="426"/>
        <w:jc w:val="both"/>
      </w:pPr>
      <w:r w:rsidRPr="001E23AC">
        <w:t xml:space="preserve">work with the </w:t>
      </w:r>
      <w:r w:rsidR="003D7797">
        <w:t>Person</w:t>
      </w:r>
      <w:r w:rsidRPr="001E23AC">
        <w:t xml:space="preserve">, </w:t>
      </w:r>
      <w:r w:rsidR="00571DC2">
        <w:t xml:space="preserve">and other stakeholders (including the Funding Manager, </w:t>
      </w:r>
      <w:r w:rsidR="00571DC2" w:rsidRPr="001E23AC">
        <w:t xml:space="preserve">the </w:t>
      </w:r>
      <w:r w:rsidR="00571DC2">
        <w:t>Person</w:t>
      </w:r>
      <w:r w:rsidR="00571DC2" w:rsidRPr="001E23AC">
        <w:t>’s family</w:t>
      </w:r>
      <w:r w:rsidR="00571DC2">
        <w:t>/</w:t>
      </w:r>
      <w:r w:rsidR="00571DC2" w:rsidRPr="001E23AC">
        <w:t>wh</w:t>
      </w:r>
      <w:r w:rsidR="00571DC2">
        <w:t>ā</w:t>
      </w:r>
      <w:r w:rsidR="00571DC2" w:rsidRPr="001E23AC">
        <w:t>nau</w:t>
      </w:r>
      <w:r w:rsidR="00571DC2">
        <w:t>)</w:t>
      </w:r>
      <w:r w:rsidR="00B929CD">
        <w:t>,</w:t>
      </w:r>
      <w:r w:rsidR="00EB7C08">
        <w:t xml:space="preserve"> </w:t>
      </w:r>
      <w:r w:rsidR="00571DC2">
        <w:t>where appropriate</w:t>
      </w:r>
      <w:r w:rsidR="00B929CD">
        <w:t>,</w:t>
      </w:r>
      <w:r w:rsidR="00571DC2">
        <w:t xml:space="preserve"> </w:t>
      </w:r>
      <w:r w:rsidRPr="001E23AC">
        <w:t xml:space="preserve">to develop </w:t>
      </w:r>
      <w:r w:rsidR="00327388">
        <w:t xml:space="preserve">the </w:t>
      </w:r>
      <w:r w:rsidR="00AA3474">
        <w:t>Support A</w:t>
      </w:r>
      <w:r w:rsidR="00AA3474" w:rsidRPr="001E23AC">
        <w:t xml:space="preserve">greement </w:t>
      </w:r>
      <w:r w:rsidRPr="001E23AC">
        <w:t xml:space="preserve">documenting how the </w:t>
      </w:r>
      <w:r w:rsidR="003D7797">
        <w:t>Person</w:t>
      </w:r>
      <w:r w:rsidRPr="001E23AC">
        <w:t xml:space="preserve"> will be supported including the </w:t>
      </w:r>
      <w:r w:rsidR="003D7797">
        <w:t>Provider</w:t>
      </w:r>
      <w:r w:rsidRPr="001E23AC">
        <w:t>’s role in commissioning and organising that support</w:t>
      </w:r>
    </w:p>
    <w:p w:rsidR="004A5E8E" w:rsidRPr="001E23AC" w:rsidRDefault="004A5E8E" w:rsidP="00571DC2">
      <w:pPr>
        <w:numPr>
          <w:ilvl w:val="0"/>
          <w:numId w:val="10"/>
        </w:numPr>
        <w:spacing w:after="0"/>
        <w:ind w:left="426"/>
        <w:jc w:val="both"/>
      </w:pPr>
      <w:r w:rsidRPr="001E23AC">
        <w:t xml:space="preserve">commit to undertaking a list of agreed activities and actions to support the </w:t>
      </w:r>
      <w:r w:rsidR="003D7797">
        <w:t>Person</w:t>
      </w:r>
      <w:r w:rsidR="00E4158B" w:rsidRPr="001E23AC">
        <w:t xml:space="preserve"> </w:t>
      </w:r>
      <w:r w:rsidRPr="001E23AC">
        <w:t xml:space="preserve">according to the </w:t>
      </w:r>
      <w:r w:rsidR="0036299F">
        <w:t>Support Agreement</w:t>
      </w:r>
    </w:p>
    <w:p w:rsidR="004A5E8E" w:rsidRPr="001E23AC" w:rsidRDefault="004A5E8E" w:rsidP="00571DC2">
      <w:pPr>
        <w:numPr>
          <w:ilvl w:val="0"/>
          <w:numId w:val="10"/>
        </w:numPr>
        <w:spacing w:after="0"/>
        <w:ind w:left="426"/>
        <w:jc w:val="both"/>
      </w:pPr>
      <w:r w:rsidRPr="001E23AC">
        <w:lastRenderedPageBreak/>
        <w:t>commission</w:t>
      </w:r>
      <w:r w:rsidRPr="005A64DD">
        <w:rPr>
          <w:sz w:val="18"/>
          <w:szCs w:val="18"/>
          <w:vertAlign w:val="superscript"/>
        </w:rPr>
        <w:footnoteReference w:id="2"/>
      </w:r>
      <w:r w:rsidRPr="001E23AC">
        <w:t xml:space="preserve">, provide and organise support according to the </w:t>
      </w:r>
      <w:r w:rsidR="003D7797">
        <w:t>Person</w:t>
      </w:r>
      <w:r w:rsidR="00E4158B" w:rsidRPr="001E23AC">
        <w:t xml:space="preserve">’s </w:t>
      </w:r>
      <w:r w:rsidR="0036299F">
        <w:t>Support Agreement</w:t>
      </w:r>
    </w:p>
    <w:p w:rsidR="00571DC2" w:rsidRPr="001E23AC" w:rsidRDefault="004A5E8E" w:rsidP="00571DC2">
      <w:pPr>
        <w:numPr>
          <w:ilvl w:val="0"/>
          <w:numId w:val="10"/>
        </w:numPr>
        <w:spacing w:after="0"/>
        <w:ind w:left="426"/>
        <w:jc w:val="both"/>
      </w:pPr>
      <w:r w:rsidRPr="001E23AC">
        <w:t>where requested</w:t>
      </w:r>
      <w:r w:rsidR="005F132C">
        <w:t>,</w:t>
      </w:r>
      <w:r w:rsidRPr="001E23AC">
        <w:t xml:space="preserve"> support the </w:t>
      </w:r>
      <w:r w:rsidR="003D7797">
        <w:t>Person</w:t>
      </w:r>
      <w:r w:rsidR="00E4436A">
        <w:t xml:space="preserve"> to</w:t>
      </w:r>
      <w:r w:rsidR="00571DC2">
        <w:t>:</w:t>
      </w:r>
      <w:r w:rsidRPr="001E23AC">
        <w:t xml:space="preserve"> </w:t>
      </w:r>
    </w:p>
    <w:p w:rsidR="00E4436A" w:rsidRPr="001E23AC" w:rsidRDefault="004A5E8E" w:rsidP="003E6BF1">
      <w:pPr>
        <w:numPr>
          <w:ilvl w:val="1"/>
          <w:numId w:val="10"/>
        </w:numPr>
        <w:spacing w:after="0"/>
        <w:ind w:left="851"/>
        <w:jc w:val="both"/>
      </w:pPr>
      <w:r w:rsidRPr="001E23AC">
        <w:t>find a home</w:t>
      </w:r>
    </w:p>
    <w:p w:rsidR="00E4436A" w:rsidRDefault="004A5E8E" w:rsidP="003E6BF1">
      <w:pPr>
        <w:numPr>
          <w:ilvl w:val="1"/>
          <w:numId w:val="10"/>
        </w:numPr>
        <w:spacing w:after="0"/>
        <w:ind w:left="851"/>
        <w:jc w:val="both"/>
      </w:pPr>
      <w:r w:rsidRPr="001E23AC">
        <w:t>develop the skills and supports required to maintain a tenancy (or a different</w:t>
      </w:r>
      <w:r w:rsidR="00571DC2">
        <w:t xml:space="preserve"> </w:t>
      </w:r>
      <w:r w:rsidRPr="001E23AC">
        <w:t>form of occupancy arrangement as appropriate</w:t>
      </w:r>
      <w:r w:rsidR="00EB7C08">
        <w:t>)</w:t>
      </w:r>
    </w:p>
    <w:p w:rsidR="00E4436A" w:rsidRDefault="004A5E8E" w:rsidP="003E6BF1">
      <w:pPr>
        <w:numPr>
          <w:ilvl w:val="1"/>
          <w:numId w:val="10"/>
        </w:numPr>
        <w:spacing w:after="0"/>
        <w:ind w:left="851"/>
        <w:jc w:val="both"/>
      </w:pPr>
      <w:r w:rsidRPr="001E23AC">
        <w:t>manage everyday costs</w:t>
      </w:r>
    </w:p>
    <w:p w:rsidR="00E4436A" w:rsidRDefault="004A5E8E" w:rsidP="003E6BF1">
      <w:pPr>
        <w:numPr>
          <w:ilvl w:val="1"/>
          <w:numId w:val="10"/>
        </w:numPr>
        <w:spacing w:after="0"/>
        <w:ind w:left="851"/>
        <w:jc w:val="both"/>
      </w:pPr>
      <w:r w:rsidRPr="001E23AC">
        <w:t xml:space="preserve">build the life outlined in the Person’s </w:t>
      </w:r>
      <w:r w:rsidR="00571DC2">
        <w:t>‘</w:t>
      </w:r>
      <w:r w:rsidR="00AA3474">
        <w:t>My P</w:t>
      </w:r>
      <w:r w:rsidR="00AA3474" w:rsidRPr="001E23AC">
        <w:t>lan</w:t>
      </w:r>
      <w:r w:rsidR="00571DC2">
        <w:t>’</w:t>
      </w:r>
    </w:p>
    <w:p w:rsidR="00E4436A" w:rsidRDefault="00AA3474" w:rsidP="003E6BF1">
      <w:pPr>
        <w:numPr>
          <w:ilvl w:val="1"/>
          <w:numId w:val="10"/>
        </w:numPr>
        <w:spacing w:after="0"/>
        <w:ind w:left="851"/>
        <w:jc w:val="both"/>
      </w:pPr>
      <w:r>
        <w:t>manage support options they access in the community</w:t>
      </w:r>
    </w:p>
    <w:p w:rsidR="006A1A4E" w:rsidRDefault="006A1A4E" w:rsidP="003E6BF1">
      <w:pPr>
        <w:numPr>
          <w:ilvl w:val="1"/>
          <w:numId w:val="10"/>
        </w:numPr>
        <w:spacing w:after="0"/>
        <w:ind w:left="851"/>
        <w:jc w:val="both"/>
      </w:pPr>
      <w:r w:rsidRPr="00D30D55">
        <w:t>ensure that the support purchased/received is the most cost effective and</w:t>
      </w:r>
      <w:r w:rsidR="00571DC2">
        <w:t xml:space="preserve"> </w:t>
      </w:r>
      <w:r w:rsidRPr="00D30D55">
        <w:t>relevant way to support the</w:t>
      </w:r>
      <w:r>
        <w:t xml:space="preserve"> Person</w:t>
      </w:r>
      <w:r w:rsidRPr="00D30D55">
        <w:t xml:space="preserve"> to achieve outcomes identified in their plan</w:t>
      </w:r>
    </w:p>
    <w:p w:rsidR="004A5E8E" w:rsidRPr="001E23AC" w:rsidRDefault="004A5E8E" w:rsidP="00571DC2">
      <w:pPr>
        <w:numPr>
          <w:ilvl w:val="0"/>
          <w:numId w:val="10"/>
        </w:numPr>
        <w:spacing w:after="0"/>
        <w:ind w:left="426"/>
        <w:jc w:val="both"/>
      </w:pPr>
      <w:r w:rsidRPr="001E23AC">
        <w:t xml:space="preserve">support the </w:t>
      </w:r>
      <w:r w:rsidR="00CC0DAE">
        <w:t>P</w:t>
      </w:r>
      <w:r w:rsidR="00CC0DAE" w:rsidRPr="001E23AC">
        <w:t xml:space="preserve">erson </w:t>
      </w:r>
      <w:r w:rsidRPr="001E23AC">
        <w:t>to access any form of income assistance they may be eligible for</w:t>
      </w:r>
    </w:p>
    <w:p w:rsidR="004A5E8E" w:rsidRPr="001E23AC" w:rsidRDefault="004A5E8E" w:rsidP="00571DC2">
      <w:pPr>
        <w:numPr>
          <w:ilvl w:val="0"/>
          <w:numId w:val="10"/>
        </w:numPr>
        <w:spacing w:after="0"/>
        <w:ind w:left="426"/>
        <w:jc w:val="both"/>
      </w:pPr>
      <w:r w:rsidRPr="001E23AC">
        <w:t xml:space="preserve">support the </w:t>
      </w:r>
      <w:r w:rsidR="003D7797">
        <w:t>Person</w:t>
      </w:r>
      <w:r w:rsidR="00423D1E" w:rsidRPr="001E23AC">
        <w:t xml:space="preserve"> </w:t>
      </w:r>
      <w:r w:rsidRPr="001E23AC">
        <w:t xml:space="preserve">to initiate a regular </w:t>
      </w:r>
      <w:r w:rsidR="003D7797">
        <w:t>Person</w:t>
      </w:r>
      <w:r w:rsidRPr="001E23AC">
        <w:t xml:space="preserve">-directed monitoring process to ensure the </w:t>
      </w:r>
      <w:r w:rsidR="00CA04B7">
        <w:t>Support A</w:t>
      </w:r>
      <w:r w:rsidRPr="001E23AC">
        <w:t xml:space="preserve">greement </w:t>
      </w:r>
      <w:r w:rsidR="00AA3474">
        <w:t>is</w:t>
      </w:r>
      <w:r w:rsidR="00AA3474" w:rsidRPr="001E23AC">
        <w:t xml:space="preserve"> </w:t>
      </w:r>
      <w:r w:rsidRPr="001E23AC">
        <w:t>reviewed and revised regularly</w:t>
      </w:r>
    </w:p>
    <w:p w:rsidR="004A5E8E" w:rsidRPr="001E23AC" w:rsidRDefault="004A5E8E" w:rsidP="00571DC2">
      <w:pPr>
        <w:numPr>
          <w:ilvl w:val="0"/>
          <w:numId w:val="10"/>
        </w:numPr>
        <w:spacing w:after="0"/>
        <w:ind w:left="426"/>
        <w:jc w:val="both"/>
      </w:pPr>
      <w:r w:rsidRPr="001E23AC">
        <w:t xml:space="preserve">work with the </w:t>
      </w:r>
      <w:r w:rsidR="003D7797">
        <w:t>Person</w:t>
      </w:r>
      <w:r w:rsidR="00423D1E" w:rsidRPr="001E23AC">
        <w:t xml:space="preserve"> </w:t>
      </w:r>
      <w:r w:rsidRPr="001E23AC">
        <w:t xml:space="preserve">to develop a contingency process in case the support arrangement (or aspects of it) don’t work </w:t>
      </w:r>
      <w:r w:rsidR="00E4436A">
        <w:t>as planned</w:t>
      </w:r>
    </w:p>
    <w:p w:rsidR="004A5E8E" w:rsidRPr="001E23AC" w:rsidRDefault="004A5E8E" w:rsidP="00571DC2">
      <w:pPr>
        <w:numPr>
          <w:ilvl w:val="0"/>
          <w:numId w:val="10"/>
        </w:numPr>
        <w:spacing w:after="0"/>
        <w:ind w:left="426"/>
        <w:jc w:val="both"/>
      </w:pPr>
      <w:proofErr w:type="gramStart"/>
      <w:r w:rsidRPr="001E23AC">
        <w:t>report</w:t>
      </w:r>
      <w:proofErr w:type="gramEnd"/>
      <w:r w:rsidRPr="001E23AC">
        <w:t xml:space="preserve"> to the Ministry and the relevant </w:t>
      </w:r>
      <w:r w:rsidR="003377CF">
        <w:t>Funding Manager</w:t>
      </w:r>
      <w:r w:rsidR="003377CF" w:rsidRPr="001E23AC">
        <w:t xml:space="preserve"> </w:t>
      </w:r>
      <w:r w:rsidRPr="001E23AC">
        <w:t xml:space="preserve">on the outcomes achieved against the </w:t>
      </w:r>
      <w:r w:rsidR="0036299F">
        <w:t>Purchasing Proposal</w:t>
      </w:r>
      <w:r w:rsidR="00E47445">
        <w:t xml:space="preserve"> at the </w:t>
      </w:r>
      <w:r w:rsidR="00E840D4">
        <w:t xml:space="preserve">Person’s </w:t>
      </w:r>
      <w:r w:rsidR="00E47445">
        <w:t>review date.</w:t>
      </w:r>
    </w:p>
    <w:p w:rsidR="004A5E8E" w:rsidRDefault="004A5E8E" w:rsidP="00571DC2">
      <w:pPr>
        <w:numPr>
          <w:ilvl w:val="0"/>
          <w:numId w:val="10"/>
        </w:numPr>
        <w:spacing w:after="0"/>
        <w:ind w:left="426"/>
        <w:jc w:val="both"/>
      </w:pPr>
      <w:proofErr w:type="gramStart"/>
      <w:r w:rsidRPr="001E23AC">
        <w:t>participate</w:t>
      </w:r>
      <w:proofErr w:type="gramEnd"/>
      <w:r w:rsidRPr="001E23AC">
        <w:t xml:space="preserve"> in an evaluation of the demonstration commissioned by </w:t>
      </w:r>
      <w:r w:rsidR="00E4436A">
        <w:t>Funders.</w:t>
      </w:r>
    </w:p>
    <w:p w:rsidR="009909AC" w:rsidRDefault="000A4A22" w:rsidP="00571DC2">
      <w:pPr>
        <w:numPr>
          <w:ilvl w:val="0"/>
          <w:numId w:val="10"/>
        </w:numPr>
        <w:spacing w:after="0"/>
        <w:ind w:left="426"/>
        <w:jc w:val="both"/>
      </w:pPr>
      <w:proofErr w:type="gramStart"/>
      <w:r>
        <w:t>assure</w:t>
      </w:r>
      <w:proofErr w:type="gramEnd"/>
      <w:r w:rsidR="0014238C">
        <w:t xml:space="preserve"> that expenditure of the Personal Budget by the Person or the Provider meets the requirements of this Agreement.</w:t>
      </w:r>
    </w:p>
    <w:p w:rsidR="00A025AB" w:rsidRPr="001E23AC" w:rsidRDefault="00A025AB" w:rsidP="00E66C9D">
      <w:pPr>
        <w:spacing w:after="0"/>
        <w:ind w:left="720"/>
        <w:jc w:val="both"/>
      </w:pPr>
    </w:p>
    <w:p w:rsidR="004A5E8E" w:rsidRPr="001E23AC" w:rsidRDefault="0026525B" w:rsidP="00E66C9D">
      <w:pPr>
        <w:jc w:val="both"/>
      </w:pPr>
      <w:r>
        <w:t xml:space="preserve">A </w:t>
      </w:r>
      <w:r w:rsidR="00327388">
        <w:t>Flexible Disability Support</w:t>
      </w:r>
      <w:r w:rsidR="00E4436A">
        <w:t>s</w:t>
      </w:r>
      <w:r w:rsidR="004A5E8E" w:rsidRPr="001E23AC">
        <w:t xml:space="preserve"> </w:t>
      </w:r>
      <w:r w:rsidR="003D7797">
        <w:t>Provider</w:t>
      </w:r>
      <w:r w:rsidR="004A5E8E" w:rsidRPr="001E23AC">
        <w:t xml:space="preserve"> must work in ways that are consistent with the following </w:t>
      </w:r>
      <w:r w:rsidR="00526613">
        <w:t xml:space="preserve">principles in addition to </w:t>
      </w:r>
      <w:r w:rsidR="00AA3474">
        <w:t xml:space="preserve">the </w:t>
      </w:r>
      <w:r w:rsidR="00E840D4">
        <w:t>EGL</w:t>
      </w:r>
      <w:r w:rsidR="00AA3474">
        <w:t xml:space="preserve"> </w:t>
      </w:r>
      <w:r w:rsidR="00E840D4">
        <w:t>Principles</w:t>
      </w:r>
      <w:r w:rsidR="00327388">
        <w:t>:</w:t>
      </w:r>
      <w:r w:rsidR="004A5E8E" w:rsidRPr="001E23AC">
        <w:t xml:space="preserve"> </w:t>
      </w:r>
    </w:p>
    <w:p w:rsidR="004A5E8E" w:rsidRPr="001E23AC" w:rsidRDefault="004A5E8E" w:rsidP="003377CF">
      <w:pPr>
        <w:numPr>
          <w:ilvl w:val="0"/>
          <w:numId w:val="9"/>
        </w:numPr>
        <w:spacing w:after="0"/>
        <w:ind w:left="426"/>
        <w:jc w:val="both"/>
        <w:rPr>
          <w:lang w:val="en-GB"/>
        </w:rPr>
      </w:pPr>
      <w:r w:rsidRPr="001E23AC">
        <w:rPr>
          <w:lang w:val="en-GB"/>
        </w:rPr>
        <w:t xml:space="preserve">The </w:t>
      </w:r>
      <w:r w:rsidR="003D7797">
        <w:rPr>
          <w:lang w:val="en-GB"/>
        </w:rPr>
        <w:t>Person</w:t>
      </w:r>
      <w:r w:rsidRPr="001E23AC">
        <w:rPr>
          <w:lang w:val="en-GB"/>
        </w:rPr>
        <w:t xml:space="preserve"> is supported to make informed choices about where they live, who they live with and how they are supported.</w:t>
      </w:r>
    </w:p>
    <w:p w:rsidR="004A5E8E" w:rsidRPr="001E23AC" w:rsidRDefault="004A5E8E" w:rsidP="003377CF">
      <w:pPr>
        <w:numPr>
          <w:ilvl w:val="0"/>
          <w:numId w:val="9"/>
        </w:numPr>
        <w:spacing w:after="0"/>
        <w:ind w:left="426"/>
        <w:jc w:val="both"/>
        <w:rPr>
          <w:lang w:val="en-GB"/>
        </w:rPr>
      </w:pPr>
      <w:r w:rsidRPr="001E23AC">
        <w:rPr>
          <w:lang w:val="en-GB"/>
        </w:rPr>
        <w:t xml:space="preserve">All interactions enhance the life of the </w:t>
      </w:r>
      <w:r w:rsidR="003D7797">
        <w:rPr>
          <w:lang w:val="en-GB"/>
        </w:rPr>
        <w:t>Person</w:t>
      </w:r>
      <w:r w:rsidRPr="001E23AC">
        <w:rPr>
          <w:lang w:val="en-GB"/>
        </w:rPr>
        <w:t xml:space="preserve"> and their status in the community.</w:t>
      </w:r>
    </w:p>
    <w:p w:rsidR="004A5E8E" w:rsidRPr="001E23AC" w:rsidRDefault="004A5E8E" w:rsidP="003377CF">
      <w:pPr>
        <w:numPr>
          <w:ilvl w:val="0"/>
          <w:numId w:val="9"/>
        </w:numPr>
        <w:spacing w:after="0"/>
        <w:ind w:left="426"/>
        <w:jc w:val="both"/>
        <w:rPr>
          <w:lang w:val="en-GB"/>
        </w:rPr>
      </w:pPr>
      <w:r w:rsidRPr="001E23AC">
        <w:rPr>
          <w:lang w:val="en-GB"/>
        </w:rPr>
        <w:t xml:space="preserve">The </w:t>
      </w:r>
      <w:r w:rsidR="003D7797">
        <w:rPr>
          <w:lang w:val="en-GB"/>
        </w:rPr>
        <w:t>Person</w:t>
      </w:r>
      <w:r w:rsidRPr="001E23AC">
        <w:rPr>
          <w:lang w:val="en-GB"/>
        </w:rPr>
        <w:t>’s (legal) status is maximised.</w:t>
      </w:r>
    </w:p>
    <w:p w:rsidR="004A5E8E" w:rsidRPr="001E23AC" w:rsidRDefault="004A5E8E" w:rsidP="003377CF">
      <w:pPr>
        <w:numPr>
          <w:ilvl w:val="0"/>
          <w:numId w:val="9"/>
        </w:numPr>
        <w:spacing w:after="0"/>
        <w:ind w:left="426"/>
        <w:jc w:val="both"/>
        <w:rPr>
          <w:lang w:val="en-GB"/>
        </w:rPr>
      </w:pPr>
      <w:r w:rsidRPr="001E23AC">
        <w:rPr>
          <w:lang w:val="en-GB"/>
        </w:rPr>
        <w:t>Plans are in place to enhance independence and skills over time.</w:t>
      </w:r>
    </w:p>
    <w:p w:rsidR="00AA3474" w:rsidRPr="001E23AC" w:rsidRDefault="004A5E8E" w:rsidP="003377CF">
      <w:pPr>
        <w:numPr>
          <w:ilvl w:val="0"/>
          <w:numId w:val="9"/>
        </w:numPr>
        <w:spacing w:after="0"/>
        <w:ind w:left="426"/>
        <w:jc w:val="both"/>
        <w:rPr>
          <w:lang w:val="en-GB"/>
        </w:rPr>
      </w:pPr>
      <w:r w:rsidRPr="001E23AC">
        <w:rPr>
          <w:lang w:val="en-GB"/>
        </w:rPr>
        <w:t>What to do when things go wrong has been anticipated.</w:t>
      </w:r>
    </w:p>
    <w:p w:rsidR="00CA04B7" w:rsidRPr="00F970BF" w:rsidRDefault="004A5E8E" w:rsidP="003377CF">
      <w:pPr>
        <w:numPr>
          <w:ilvl w:val="0"/>
          <w:numId w:val="9"/>
        </w:numPr>
        <w:spacing w:after="0"/>
        <w:ind w:left="426"/>
        <w:jc w:val="both"/>
        <w:rPr>
          <w:lang w:val="en-GB"/>
        </w:rPr>
      </w:pPr>
      <w:r w:rsidRPr="00AA3474">
        <w:rPr>
          <w:lang w:val="en-GB"/>
        </w:rPr>
        <w:t>The arrangement is affordable for all parties.</w:t>
      </w:r>
    </w:p>
    <w:p w:rsidR="00F970BF" w:rsidRDefault="00F970BF" w:rsidP="00F970BF">
      <w:pPr>
        <w:spacing w:after="0"/>
        <w:ind w:left="66"/>
        <w:jc w:val="both"/>
        <w:rPr>
          <w:rFonts w:eastAsia="Times New Roman" w:cs="Arial"/>
          <w:b/>
          <w:bCs/>
          <w:szCs w:val="24"/>
          <w:lang w:eastAsia="ko-KR"/>
        </w:rPr>
      </w:pPr>
    </w:p>
    <w:p w:rsidR="00F970BF" w:rsidRDefault="00F970BF" w:rsidP="00F970BF">
      <w:pPr>
        <w:pStyle w:val="Sub-number"/>
        <w:numPr>
          <w:ilvl w:val="0"/>
          <w:numId w:val="0"/>
        </w:numPr>
        <w:spacing w:before="0"/>
        <w:jc w:val="both"/>
        <w:rPr>
          <w:rFonts w:cs="Arial"/>
          <w:szCs w:val="24"/>
          <w:lang w:eastAsia="ko-KR"/>
        </w:rPr>
      </w:pPr>
      <w:r>
        <w:rPr>
          <w:rFonts w:cs="Arial"/>
          <w:szCs w:val="24"/>
          <w:lang w:eastAsia="ko-KR"/>
        </w:rPr>
        <w:t>Where the Person is not satisfied with the support delivered by the Provider, the Provider and the Person will work together to ensure that ongoing supports are delivered in a way that is consistent with the EGL Principles.</w:t>
      </w:r>
    </w:p>
    <w:p w:rsidR="00F970BF" w:rsidRPr="00BD0A88" w:rsidRDefault="00F970BF" w:rsidP="00F970BF">
      <w:pPr>
        <w:pStyle w:val="Sub-number"/>
        <w:numPr>
          <w:ilvl w:val="0"/>
          <w:numId w:val="0"/>
        </w:numPr>
        <w:spacing w:before="0"/>
        <w:jc w:val="both"/>
        <w:rPr>
          <w:rFonts w:cs="Arial"/>
          <w:szCs w:val="24"/>
          <w:lang w:eastAsia="ko-KR"/>
        </w:rPr>
      </w:pPr>
    </w:p>
    <w:p w:rsidR="00327388" w:rsidRPr="001E23AC" w:rsidRDefault="00327388" w:rsidP="00E4436A">
      <w:pPr>
        <w:pStyle w:val="Heading3"/>
      </w:pPr>
      <w:r w:rsidRPr="001E23AC">
        <w:lastRenderedPageBreak/>
        <w:t>The family and wh</w:t>
      </w:r>
      <w:r w:rsidR="00CA04B7">
        <w:t>ā</w:t>
      </w:r>
      <w:r w:rsidRPr="001E23AC">
        <w:t>nau</w:t>
      </w:r>
    </w:p>
    <w:p w:rsidR="00327388" w:rsidRPr="001E23AC" w:rsidRDefault="00327388" w:rsidP="00E66C9D">
      <w:pPr>
        <w:jc w:val="both"/>
      </w:pPr>
      <w:r>
        <w:t>The</w:t>
      </w:r>
      <w:r w:rsidRPr="001E23AC">
        <w:t xml:space="preserve"> </w:t>
      </w:r>
      <w:r w:rsidR="003D7797">
        <w:t>Person</w:t>
      </w:r>
      <w:r w:rsidR="00423D1E" w:rsidRPr="001E23AC">
        <w:t xml:space="preserve"> </w:t>
      </w:r>
      <w:r w:rsidRPr="001E23AC">
        <w:t xml:space="preserve">will decide how much of a role their family and </w:t>
      </w:r>
      <w:r w:rsidR="0074701E">
        <w:t>whānau</w:t>
      </w:r>
      <w:r w:rsidRPr="001E23AC">
        <w:t xml:space="preserve"> have in their life and in their support arrangements. The </w:t>
      </w:r>
      <w:r w:rsidR="003D7797">
        <w:t>Person</w:t>
      </w:r>
      <w:r w:rsidRPr="001E23AC">
        <w:t xml:space="preserve">’s family and </w:t>
      </w:r>
      <w:r w:rsidR="0074701E">
        <w:t>whānau</w:t>
      </w:r>
      <w:r w:rsidRPr="001E23AC">
        <w:t xml:space="preserve"> may be involved in:</w:t>
      </w:r>
    </w:p>
    <w:p w:rsidR="00327388" w:rsidRPr="001E23AC" w:rsidRDefault="00327388" w:rsidP="003377CF">
      <w:pPr>
        <w:numPr>
          <w:ilvl w:val="0"/>
          <w:numId w:val="8"/>
        </w:numPr>
        <w:tabs>
          <w:tab w:val="clear" w:pos="360"/>
          <w:tab w:val="num" w:pos="567"/>
        </w:tabs>
        <w:spacing w:after="0"/>
        <w:ind w:left="426"/>
        <w:jc w:val="both"/>
      </w:pPr>
      <w:r w:rsidRPr="001E23AC">
        <w:t xml:space="preserve">continuing to assist the </w:t>
      </w:r>
      <w:r w:rsidR="003D7797">
        <w:t>Person</w:t>
      </w:r>
      <w:r w:rsidRPr="001E23AC">
        <w:t xml:space="preserve"> to have a good life through ongoing, every day support</w:t>
      </w:r>
    </w:p>
    <w:p w:rsidR="00327388" w:rsidRPr="001E23AC" w:rsidRDefault="00327388" w:rsidP="003377CF">
      <w:pPr>
        <w:numPr>
          <w:ilvl w:val="0"/>
          <w:numId w:val="8"/>
        </w:numPr>
        <w:tabs>
          <w:tab w:val="clear" w:pos="360"/>
          <w:tab w:val="num" w:pos="567"/>
        </w:tabs>
        <w:spacing w:after="0"/>
        <w:ind w:left="426"/>
        <w:jc w:val="both"/>
      </w:pPr>
      <w:r w:rsidRPr="001E23AC">
        <w:t xml:space="preserve">helping to develop </w:t>
      </w:r>
      <w:r>
        <w:t>and review My Plan</w:t>
      </w:r>
      <w:r w:rsidR="00AA3474">
        <w:t xml:space="preserve"> and the Support Agreement and </w:t>
      </w:r>
      <w:r w:rsidR="00642CAD">
        <w:t xml:space="preserve">its </w:t>
      </w:r>
      <w:r w:rsidR="00AA3474">
        <w:t>implementation</w:t>
      </w:r>
    </w:p>
    <w:p w:rsidR="00327388" w:rsidRPr="001E23AC" w:rsidRDefault="00327388" w:rsidP="003377CF">
      <w:pPr>
        <w:numPr>
          <w:ilvl w:val="0"/>
          <w:numId w:val="8"/>
        </w:numPr>
        <w:tabs>
          <w:tab w:val="clear" w:pos="360"/>
          <w:tab w:val="num" w:pos="567"/>
        </w:tabs>
        <w:spacing w:after="0"/>
        <w:ind w:left="426"/>
        <w:jc w:val="both"/>
      </w:pPr>
      <w:r w:rsidRPr="001E23AC">
        <w:t>helping to identify suitable housing and support</w:t>
      </w:r>
      <w:r>
        <w:t xml:space="preserve"> (where applicable)</w:t>
      </w:r>
    </w:p>
    <w:p w:rsidR="00327388" w:rsidRPr="001E23AC" w:rsidRDefault="00327388" w:rsidP="003377CF">
      <w:pPr>
        <w:numPr>
          <w:ilvl w:val="0"/>
          <w:numId w:val="8"/>
        </w:numPr>
        <w:tabs>
          <w:tab w:val="clear" w:pos="360"/>
          <w:tab w:val="num" w:pos="567"/>
        </w:tabs>
        <w:spacing w:after="0"/>
        <w:ind w:left="426"/>
        <w:jc w:val="both"/>
      </w:pPr>
      <w:r w:rsidRPr="001E23AC">
        <w:t xml:space="preserve">supporting the </w:t>
      </w:r>
      <w:r w:rsidR="003D7797">
        <w:t>Person</w:t>
      </w:r>
      <w:r w:rsidRPr="001E23AC">
        <w:t xml:space="preserve"> to assert their rights and meet their responsibilities</w:t>
      </w:r>
    </w:p>
    <w:p w:rsidR="00327388" w:rsidRPr="001E23AC" w:rsidRDefault="00327388" w:rsidP="003377CF">
      <w:pPr>
        <w:numPr>
          <w:ilvl w:val="0"/>
          <w:numId w:val="8"/>
        </w:numPr>
        <w:tabs>
          <w:tab w:val="clear" w:pos="360"/>
          <w:tab w:val="num" w:pos="567"/>
        </w:tabs>
        <w:spacing w:after="0"/>
        <w:ind w:left="426"/>
        <w:jc w:val="both"/>
      </w:pPr>
      <w:r w:rsidRPr="001E23AC">
        <w:t xml:space="preserve">monitoring the </w:t>
      </w:r>
      <w:r w:rsidR="003D7797">
        <w:t>Person</w:t>
      </w:r>
      <w:r w:rsidRPr="001E23AC">
        <w:t>’s living and</w:t>
      </w:r>
      <w:r w:rsidR="00526613">
        <w:t>/or</w:t>
      </w:r>
      <w:r w:rsidRPr="001E23AC">
        <w:t xml:space="preserve"> support arrangements</w:t>
      </w:r>
    </w:p>
    <w:p w:rsidR="00327388" w:rsidRPr="001E23AC" w:rsidRDefault="0026525B" w:rsidP="003377CF">
      <w:pPr>
        <w:numPr>
          <w:ilvl w:val="0"/>
          <w:numId w:val="8"/>
        </w:numPr>
        <w:tabs>
          <w:tab w:val="clear" w:pos="360"/>
          <w:tab w:val="num" w:pos="567"/>
        </w:tabs>
        <w:spacing w:after="0"/>
        <w:ind w:left="426"/>
        <w:jc w:val="both"/>
      </w:pPr>
      <w:proofErr w:type="gramStart"/>
      <w:r>
        <w:t>p</w:t>
      </w:r>
      <w:r w:rsidRPr="001E23AC">
        <w:t>articipating</w:t>
      </w:r>
      <w:proofErr w:type="gramEnd"/>
      <w:r w:rsidR="009458A2">
        <w:t>,</w:t>
      </w:r>
      <w:r w:rsidR="00327388" w:rsidRPr="001E23AC">
        <w:t xml:space="preserve"> if they choose</w:t>
      </w:r>
      <w:r w:rsidR="009458A2">
        <w:t>,</w:t>
      </w:r>
      <w:r w:rsidR="00327388" w:rsidRPr="001E23AC">
        <w:t xml:space="preserve"> in an evaluation of the demonstration commissioned by </w:t>
      </w:r>
      <w:r w:rsidR="00E4436A">
        <w:t>Funders</w:t>
      </w:r>
      <w:r w:rsidR="00327388" w:rsidRPr="001E23AC">
        <w:t>.</w:t>
      </w:r>
    </w:p>
    <w:p w:rsidR="00327388" w:rsidRDefault="00327388" w:rsidP="00F40F1E">
      <w:pPr>
        <w:pStyle w:val="Heading3"/>
        <w:spacing w:after="0"/>
      </w:pPr>
      <w:r w:rsidRPr="001E23AC">
        <w:t>Other stakeholders</w:t>
      </w:r>
    </w:p>
    <w:p w:rsidR="00F40F1E" w:rsidRPr="00F40F1E" w:rsidRDefault="00F40F1E" w:rsidP="00F40F1E">
      <w:pPr>
        <w:spacing w:after="0"/>
        <w:rPr>
          <w:lang w:eastAsia="ko-KR"/>
        </w:rPr>
      </w:pPr>
    </w:p>
    <w:p w:rsidR="00327388" w:rsidRPr="001E23AC" w:rsidRDefault="00327388" w:rsidP="00E66C9D">
      <w:pPr>
        <w:jc w:val="both"/>
      </w:pPr>
      <w:r w:rsidRPr="001E23AC">
        <w:t xml:space="preserve">The </w:t>
      </w:r>
      <w:r w:rsidR="003D7797">
        <w:t>Person</w:t>
      </w:r>
      <w:r w:rsidRPr="001E23AC">
        <w:t xml:space="preserve"> will decide how much of a role other stakeholders, for example, friends, have in their life and in their support arrangements. Subject to this</w:t>
      </w:r>
      <w:r w:rsidR="00B929CD">
        <w:t>,</w:t>
      </w:r>
      <w:r w:rsidRPr="001E23AC">
        <w:t xml:space="preserve"> other stakeholders may be involved in:</w:t>
      </w:r>
    </w:p>
    <w:p w:rsidR="00AA3474" w:rsidRPr="001E23AC" w:rsidRDefault="00AA3474" w:rsidP="003377CF">
      <w:pPr>
        <w:numPr>
          <w:ilvl w:val="0"/>
          <w:numId w:val="8"/>
        </w:numPr>
        <w:tabs>
          <w:tab w:val="clear" w:pos="360"/>
          <w:tab w:val="num" w:pos="426"/>
        </w:tabs>
        <w:spacing w:after="0"/>
        <w:ind w:left="426"/>
        <w:jc w:val="both"/>
      </w:pPr>
      <w:r w:rsidRPr="001E23AC">
        <w:t xml:space="preserve">helping to develop </w:t>
      </w:r>
      <w:r>
        <w:t xml:space="preserve">and review </w:t>
      </w:r>
      <w:r w:rsidR="00E840D4">
        <w:t>‘</w:t>
      </w:r>
      <w:r>
        <w:t>My Plan</w:t>
      </w:r>
      <w:r w:rsidR="00E840D4">
        <w:t>’</w:t>
      </w:r>
      <w:r>
        <w:t xml:space="preserve"> and the Support Agreement and their implementation</w:t>
      </w:r>
    </w:p>
    <w:p w:rsidR="00327388" w:rsidRPr="001E23AC" w:rsidRDefault="00327388" w:rsidP="003377CF">
      <w:pPr>
        <w:numPr>
          <w:ilvl w:val="0"/>
          <w:numId w:val="8"/>
        </w:numPr>
        <w:tabs>
          <w:tab w:val="clear" w:pos="360"/>
          <w:tab w:val="num" w:pos="426"/>
        </w:tabs>
        <w:spacing w:after="0"/>
        <w:ind w:left="426"/>
        <w:jc w:val="both"/>
      </w:pPr>
      <w:r w:rsidRPr="001E23AC">
        <w:t xml:space="preserve">supporting the </w:t>
      </w:r>
      <w:r w:rsidR="003D7797">
        <w:t>Person</w:t>
      </w:r>
      <w:r w:rsidRPr="001E23AC">
        <w:t xml:space="preserve"> through the provision of practical support</w:t>
      </w:r>
    </w:p>
    <w:p w:rsidR="001E23AC" w:rsidRPr="001E23AC" w:rsidRDefault="00AA3474" w:rsidP="003377CF">
      <w:pPr>
        <w:numPr>
          <w:ilvl w:val="0"/>
          <w:numId w:val="8"/>
        </w:numPr>
        <w:tabs>
          <w:tab w:val="clear" w:pos="360"/>
          <w:tab w:val="num" w:pos="426"/>
        </w:tabs>
        <w:spacing w:after="0"/>
        <w:ind w:left="426"/>
        <w:jc w:val="both"/>
      </w:pPr>
      <w:proofErr w:type="gramStart"/>
      <w:r>
        <w:t>p</w:t>
      </w:r>
      <w:r w:rsidRPr="001E23AC">
        <w:t>articipate</w:t>
      </w:r>
      <w:proofErr w:type="gramEnd"/>
      <w:r w:rsidR="00E840D4">
        <w:t>,</w:t>
      </w:r>
      <w:r w:rsidRPr="001E23AC">
        <w:t xml:space="preserve"> </w:t>
      </w:r>
      <w:r w:rsidR="00327388" w:rsidRPr="001E23AC">
        <w:t>if they choose</w:t>
      </w:r>
      <w:r w:rsidR="00E840D4">
        <w:t>,</w:t>
      </w:r>
      <w:r w:rsidR="00327388" w:rsidRPr="001E23AC">
        <w:t xml:space="preserve"> in an evaluation of the demonstration commissioned by </w:t>
      </w:r>
      <w:r w:rsidR="008E08B9">
        <w:t>Funders</w:t>
      </w:r>
      <w:r w:rsidR="00327388" w:rsidRPr="001E23AC">
        <w:t>.</w:t>
      </w:r>
    </w:p>
    <w:p w:rsidR="001E23AC" w:rsidRPr="001E23AC" w:rsidRDefault="001E23AC" w:rsidP="00E4436A">
      <w:pPr>
        <w:pStyle w:val="Heading2"/>
      </w:pPr>
      <w:proofErr w:type="gramStart"/>
      <w:r w:rsidRPr="001E23AC">
        <w:t xml:space="preserve">Supporting People </w:t>
      </w:r>
      <w:r w:rsidR="00607EBB">
        <w:t>in a Flexible Disability Support arrangement.</w:t>
      </w:r>
      <w:proofErr w:type="gramEnd"/>
      <w:r w:rsidRPr="001E23AC">
        <w:t xml:space="preserve"> </w:t>
      </w:r>
    </w:p>
    <w:p w:rsidR="00607EBB" w:rsidRPr="001E23AC" w:rsidRDefault="00607EBB" w:rsidP="00E4436A">
      <w:pPr>
        <w:pStyle w:val="Heading3"/>
      </w:pPr>
      <w:r w:rsidRPr="001E23AC">
        <w:t>What funding can or cannot be used for</w:t>
      </w:r>
    </w:p>
    <w:p w:rsidR="00A26AF9" w:rsidRDefault="00607EBB" w:rsidP="00E66C9D">
      <w:pPr>
        <w:jc w:val="both"/>
      </w:pPr>
      <w:r w:rsidRPr="001E23AC">
        <w:t xml:space="preserve">The </w:t>
      </w:r>
      <w:r>
        <w:t>Funding Manager</w:t>
      </w:r>
      <w:r w:rsidRPr="001E23AC">
        <w:t xml:space="preserve"> will allocate a fixed amount of funding for each </w:t>
      </w:r>
      <w:r w:rsidR="003D7797">
        <w:t>Person</w:t>
      </w:r>
      <w:r w:rsidRPr="001E23AC">
        <w:t xml:space="preserve"> being supported under </w:t>
      </w:r>
      <w:r>
        <w:t>a Flexible Disability Support arrangement</w:t>
      </w:r>
      <w:r w:rsidRPr="001E23AC">
        <w:t xml:space="preserve">. </w:t>
      </w:r>
      <w:r w:rsidR="00D1316C">
        <w:t xml:space="preserve"> This will be detailed in the referral to the Provider (refer clause 6.2)</w:t>
      </w:r>
    </w:p>
    <w:p w:rsidR="00607EBB" w:rsidRPr="001E23AC" w:rsidRDefault="00607EBB" w:rsidP="00E66C9D">
      <w:pPr>
        <w:jc w:val="both"/>
      </w:pPr>
      <w:r w:rsidRPr="001E23AC">
        <w:t xml:space="preserve">This funding will be paid to the </w:t>
      </w:r>
      <w:r w:rsidR="003D7797">
        <w:t>Provider</w:t>
      </w:r>
      <w:r w:rsidRPr="001E23AC">
        <w:t xml:space="preserve"> </w:t>
      </w:r>
      <w:r>
        <w:t>(</w:t>
      </w:r>
      <w:r w:rsidR="00DD4FD7">
        <w:t>as set out in clause 8.2</w:t>
      </w:r>
      <w:r w:rsidR="009458A2">
        <w:t>,</w:t>
      </w:r>
      <w:r w:rsidR="006C385E">
        <w:t xml:space="preserve"> </w:t>
      </w:r>
      <w:r>
        <w:t xml:space="preserve">on a fee for service basis) </w:t>
      </w:r>
      <w:r w:rsidRPr="001E23AC">
        <w:t xml:space="preserve">and will be used by that </w:t>
      </w:r>
      <w:r w:rsidR="003D7797">
        <w:t>Provider</w:t>
      </w:r>
      <w:r w:rsidRPr="001E23AC">
        <w:t xml:space="preserve"> to commission a range of different types of disability support for the </w:t>
      </w:r>
      <w:r w:rsidR="003D7797">
        <w:t>Person</w:t>
      </w:r>
      <w:r w:rsidRPr="001E23AC">
        <w:t xml:space="preserve"> </w:t>
      </w:r>
      <w:r>
        <w:t xml:space="preserve">according to the </w:t>
      </w:r>
      <w:r w:rsidR="00DD4FD7">
        <w:t>Support Agreement</w:t>
      </w:r>
      <w:r>
        <w:t>.</w:t>
      </w:r>
    </w:p>
    <w:p w:rsidR="00607EBB" w:rsidRPr="001E23AC" w:rsidRDefault="00607EBB" w:rsidP="00E66C9D">
      <w:pPr>
        <w:jc w:val="both"/>
      </w:pPr>
      <w:r>
        <w:t>Funders and the Demonstration</w:t>
      </w:r>
      <w:r w:rsidRPr="001E23AC">
        <w:t xml:space="preserve"> ha</w:t>
      </w:r>
      <w:r>
        <w:t>ve</w:t>
      </w:r>
      <w:r w:rsidRPr="001E23AC">
        <w:t xml:space="preserve"> prepared guidelines on what this funding can and cannot be used for. These guidelines “</w:t>
      </w:r>
      <w:r>
        <w:t>Purchasing Guidelines for the Enabling Good Lives Demonstration</w:t>
      </w:r>
      <w:r w:rsidR="00B929CD">
        <w:t>”</w:t>
      </w:r>
      <w:r>
        <w:t xml:space="preserve"> are included as Appendix </w:t>
      </w:r>
      <w:r w:rsidR="00D30D55">
        <w:t>A</w:t>
      </w:r>
      <w:r w:rsidR="00187DB0">
        <w:t xml:space="preserve"> of this </w:t>
      </w:r>
      <w:r w:rsidR="00D410B4">
        <w:t>Service S</w:t>
      </w:r>
      <w:r w:rsidR="00187DB0">
        <w:t>pecification</w:t>
      </w:r>
      <w:r>
        <w:t xml:space="preserve">. </w:t>
      </w:r>
    </w:p>
    <w:p w:rsidR="00607EBB" w:rsidRPr="001E23AC" w:rsidRDefault="00607EBB" w:rsidP="00E66C9D">
      <w:pPr>
        <w:jc w:val="both"/>
      </w:pPr>
      <w:r w:rsidRPr="001E23AC">
        <w:t xml:space="preserve">The </w:t>
      </w:r>
      <w:r>
        <w:t>Guidelines</w:t>
      </w:r>
      <w:r w:rsidRPr="001E23AC">
        <w:t xml:space="preserve"> may be amended from time to time at the </w:t>
      </w:r>
      <w:r>
        <w:t>Funder’s</w:t>
      </w:r>
      <w:r w:rsidRPr="001E23AC">
        <w:t xml:space="preserve"> </w:t>
      </w:r>
      <w:r w:rsidR="00CA5B01">
        <w:t>and EGL’s</w:t>
      </w:r>
      <w:r w:rsidRPr="001E23AC">
        <w:t xml:space="preserve"> discretion by notice in writing to the </w:t>
      </w:r>
      <w:r w:rsidR="003D7797">
        <w:t>Provider</w:t>
      </w:r>
      <w:r w:rsidRPr="001E23AC">
        <w:t xml:space="preserve"> in </w:t>
      </w:r>
      <w:r>
        <w:t>accordance with this agreement.</w:t>
      </w:r>
    </w:p>
    <w:p w:rsidR="00607EBB" w:rsidRDefault="00607EBB" w:rsidP="003E6BF1">
      <w:pPr>
        <w:jc w:val="both"/>
      </w:pPr>
      <w:r>
        <w:lastRenderedPageBreak/>
        <w:t xml:space="preserve">The use of all funding must </w:t>
      </w:r>
      <w:r w:rsidR="00E4436A">
        <w:t xml:space="preserve">also </w:t>
      </w:r>
      <w:r>
        <w:t xml:space="preserve">be aligned to </w:t>
      </w:r>
      <w:r w:rsidR="00D1316C">
        <w:t xml:space="preserve">the </w:t>
      </w:r>
      <w:r w:rsidR="00DD4FD7">
        <w:t xml:space="preserve">referral made to the Provider pursuant to clause 6.2, the Person’s My Plan and the </w:t>
      </w:r>
      <w:r w:rsidR="003377CF">
        <w:t>Support Agreement.</w:t>
      </w:r>
    </w:p>
    <w:p w:rsidR="001E23AC" w:rsidRDefault="00E840D4" w:rsidP="00E66C9D">
      <w:pPr>
        <w:jc w:val="both"/>
      </w:pPr>
      <w:r>
        <w:t xml:space="preserve">The </w:t>
      </w:r>
      <w:r w:rsidR="00607EBB">
        <w:t>Flexible Disability Support</w:t>
      </w:r>
      <w:r w:rsidR="00607EBB" w:rsidRPr="001E23AC">
        <w:t xml:space="preserve">s purchased should be the most cost effective and relevant way to support a </w:t>
      </w:r>
      <w:r w:rsidR="003D7797">
        <w:t>Person</w:t>
      </w:r>
      <w:r w:rsidR="00607EBB" w:rsidRPr="001E23AC">
        <w:t xml:space="preserve"> to achieve ou</w:t>
      </w:r>
      <w:r w:rsidR="00607EBB">
        <w:t>tcomes identified in their plan</w:t>
      </w:r>
      <w:r w:rsidR="003A041D">
        <w:t>.</w:t>
      </w:r>
      <w:r w:rsidR="00D30D55">
        <w:t xml:space="preserve"> </w:t>
      </w:r>
    </w:p>
    <w:p w:rsidR="00E6759A" w:rsidRPr="000A4A22" w:rsidRDefault="00E6759A" w:rsidP="00E4436A">
      <w:pPr>
        <w:pStyle w:val="Heading3"/>
      </w:pPr>
      <w:r w:rsidRPr="000A4A22">
        <w:t>Purchasing Mechanisms</w:t>
      </w:r>
    </w:p>
    <w:p w:rsidR="00E6759A" w:rsidRPr="00DD4FD7" w:rsidRDefault="00E6759A" w:rsidP="00E66C9D">
      <w:pPr>
        <w:jc w:val="both"/>
        <w:rPr>
          <w:lang w:eastAsia="ko-KR"/>
        </w:rPr>
      </w:pPr>
      <w:r w:rsidRPr="00DD4FD7">
        <w:rPr>
          <w:lang w:eastAsia="ko-KR"/>
        </w:rPr>
        <w:t>There are three possible purchasing options available within Flexible Disability Supports:</w:t>
      </w:r>
    </w:p>
    <w:p w:rsidR="001D38A3" w:rsidRPr="00EE4D22" w:rsidRDefault="001D38A3" w:rsidP="001D38A3">
      <w:pPr>
        <w:numPr>
          <w:ilvl w:val="0"/>
          <w:numId w:val="14"/>
        </w:numPr>
        <w:spacing w:after="0"/>
        <w:jc w:val="both"/>
      </w:pPr>
      <w:r w:rsidRPr="00883BE7">
        <w:t xml:space="preserve">Direct Fundholding </w:t>
      </w:r>
      <w:r w:rsidR="006C385E">
        <w:t>(for some (or all) of the support that people buy directly)</w:t>
      </w:r>
      <w:r w:rsidR="00AC631E">
        <w:t>.</w:t>
      </w:r>
    </w:p>
    <w:p w:rsidR="001D38A3" w:rsidRPr="00883BE7" w:rsidRDefault="001D38A3" w:rsidP="001D38A3">
      <w:pPr>
        <w:numPr>
          <w:ilvl w:val="0"/>
          <w:numId w:val="14"/>
        </w:numPr>
        <w:spacing w:after="0"/>
        <w:jc w:val="both"/>
      </w:pPr>
      <w:r w:rsidRPr="00883BE7">
        <w:t>Facilitated Buying</w:t>
      </w:r>
      <w:r w:rsidR="006C385E">
        <w:t xml:space="preserve"> (where a provider purchases support on behalf of the Person</w:t>
      </w:r>
      <w:r w:rsidR="008773E8">
        <w:t>)</w:t>
      </w:r>
      <w:r w:rsidR="00AC631E">
        <w:t>.</w:t>
      </w:r>
    </w:p>
    <w:p w:rsidR="00A025AB" w:rsidRDefault="001D38A3" w:rsidP="008773E8">
      <w:pPr>
        <w:numPr>
          <w:ilvl w:val="0"/>
          <w:numId w:val="14"/>
        </w:numPr>
        <w:spacing w:after="0"/>
        <w:jc w:val="both"/>
        <w:rPr>
          <w:lang w:eastAsia="ko-KR"/>
        </w:rPr>
      </w:pPr>
      <w:r w:rsidRPr="00883BE7">
        <w:t>Flexible Support</w:t>
      </w:r>
      <w:r w:rsidR="006C385E">
        <w:t xml:space="preserve"> (where the provider directly delivers support to the Person)</w:t>
      </w:r>
      <w:r w:rsidR="00AC631E">
        <w:t>.</w:t>
      </w:r>
      <w:r w:rsidR="006C385E" w:rsidRPr="00883BE7" w:rsidDel="002D62EB">
        <w:t xml:space="preserve"> </w:t>
      </w:r>
    </w:p>
    <w:p w:rsidR="006C385E" w:rsidRDefault="006C385E" w:rsidP="006C385E">
      <w:pPr>
        <w:spacing w:after="0"/>
        <w:jc w:val="both"/>
        <w:rPr>
          <w:lang w:eastAsia="ko-KR"/>
        </w:rPr>
      </w:pPr>
    </w:p>
    <w:p w:rsidR="006C385E" w:rsidRDefault="006C385E" w:rsidP="006C385E">
      <w:pPr>
        <w:spacing w:after="0"/>
        <w:jc w:val="both"/>
        <w:rPr>
          <w:lang w:eastAsia="ko-KR"/>
        </w:rPr>
      </w:pPr>
      <w:r>
        <w:rPr>
          <w:lang w:eastAsia="ko-KR"/>
        </w:rPr>
        <w:t>In all cases the Person will be given a Personal Budget and will require a varying range of support to be able to use and manage their Personal Budget</w:t>
      </w:r>
      <w:r w:rsidR="00F9507A">
        <w:rPr>
          <w:lang w:eastAsia="ko-KR"/>
        </w:rPr>
        <w:t xml:space="preserve">. </w:t>
      </w:r>
    </w:p>
    <w:p w:rsidR="00F9507A" w:rsidRPr="00DD4FD7" w:rsidRDefault="00F9507A" w:rsidP="006C385E">
      <w:pPr>
        <w:spacing w:after="0"/>
        <w:jc w:val="both"/>
        <w:rPr>
          <w:lang w:eastAsia="ko-KR"/>
        </w:rPr>
      </w:pPr>
    </w:p>
    <w:p w:rsidR="006C385E" w:rsidRPr="00B81906" w:rsidRDefault="006C385E" w:rsidP="00E66C9D">
      <w:pPr>
        <w:jc w:val="both"/>
        <w:rPr>
          <w:u w:val="single"/>
          <w:lang w:eastAsia="ko-KR"/>
        </w:rPr>
      </w:pPr>
      <w:r w:rsidRPr="00B81906">
        <w:rPr>
          <w:u w:val="single"/>
          <w:lang w:eastAsia="ko-KR"/>
        </w:rPr>
        <w:t>Direct Fundholding</w:t>
      </w:r>
    </w:p>
    <w:p w:rsidR="00F9507A" w:rsidRDefault="00F9507A" w:rsidP="00E66C9D">
      <w:pPr>
        <w:jc w:val="both"/>
        <w:rPr>
          <w:lang w:eastAsia="ko-KR"/>
        </w:rPr>
      </w:pPr>
      <w:r>
        <w:rPr>
          <w:lang w:eastAsia="ko-KR"/>
        </w:rPr>
        <w:t>Some People will require minimal support to manage their Personal Budget.</w:t>
      </w:r>
    </w:p>
    <w:p w:rsidR="00F9507A" w:rsidRDefault="006C385E" w:rsidP="00E66C9D">
      <w:pPr>
        <w:jc w:val="both"/>
        <w:rPr>
          <w:lang w:eastAsia="ko-KR"/>
        </w:rPr>
      </w:pPr>
      <w:r>
        <w:rPr>
          <w:lang w:eastAsia="ko-KR"/>
        </w:rPr>
        <w:t>D</w:t>
      </w:r>
      <w:r w:rsidR="00F9507A">
        <w:rPr>
          <w:lang w:eastAsia="ko-KR"/>
        </w:rPr>
        <w:t>irect Fundholding is where the P</w:t>
      </w:r>
      <w:r>
        <w:rPr>
          <w:lang w:eastAsia="ko-KR"/>
        </w:rPr>
        <w:t xml:space="preserve">rovider hosts the funding and the </w:t>
      </w:r>
      <w:r w:rsidR="00F9507A">
        <w:rPr>
          <w:lang w:eastAsia="ko-KR"/>
        </w:rPr>
        <w:t>P</w:t>
      </w:r>
      <w:r>
        <w:rPr>
          <w:lang w:eastAsia="ko-KR"/>
        </w:rPr>
        <w:t>erson</w:t>
      </w:r>
      <w:r w:rsidR="00F9507A">
        <w:rPr>
          <w:lang w:eastAsia="ko-KR"/>
        </w:rPr>
        <w:t xml:space="preserve"> takes overall responsibility for managing the budget and the quality of the support purchased. </w:t>
      </w:r>
    </w:p>
    <w:p w:rsidR="00F9507A" w:rsidRDefault="00F9507A" w:rsidP="00E66C9D">
      <w:pPr>
        <w:jc w:val="both"/>
        <w:rPr>
          <w:lang w:eastAsia="ko-KR"/>
        </w:rPr>
      </w:pPr>
      <w:r>
        <w:rPr>
          <w:lang w:eastAsia="ko-KR"/>
        </w:rPr>
        <w:t xml:space="preserve">The Provider will assist the Person with as much or little support as required. The Provider will still need to deliver a range of Host Services to the person. These include, coaching, invoicing and monitoring. </w:t>
      </w:r>
    </w:p>
    <w:p w:rsidR="00572340" w:rsidRDefault="00572340" w:rsidP="00E66C9D">
      <w:pPr>
        <w:jc w:val="both"/>
        <w:rPr>
          <w:lang w:eastAsia="ko-KR"/>
        </w:rPr>
      </w:pPr>
      <w:r>
        <w:rPr>
          <w:lang w:eastAsia="ko-KR"/>
        </w:rPr>
        <w:t>The Person must advise the Provider of any Support Workers the</w:t>
      </w:r>
      <w:r w:rsidR="000A4A22">
        <w:rPr>
          <w:lang w:eastAsia="ko-KR"/>
        </w:rPr>
        <w:t xml:space="preserve"> Person is</w:t>
      </w:r>
      <w:r>
        <w:rPr>
          <w:lang w:eastAsia="ko-KR"/>
        </w:rPr>
        <w:t xml:space="preserve"> employing </w:t>
      </w:r>
      <w:r w:rsidR="000A4A22">
        <w:rPr>
          <w:iCs/>
        </w:rPr>
        <w:t>(including identification and contact details of any Support Worker).</w:t>
      </w:r>
    </w:p>
    <w:p w:rsidR="00572340" w:rsidRDefault="00C566A6" w:rsidP="00E66C9D">
      <w:pPr>
        <w:jc w:val="both"/>
        <w:rPr>
          <w:lang w:eastAsia="ko-KR"/>
        </w:rPr>
      </w:pPr>
      <w:r w:rsidRPr="00DD4FD7">
        <w:rPr>
          <w:lang w:eastAsia="ko-KR"/>
        </w:rPr>
        <w:t xml:space="preserve">Where a Provider is supporting </w:t>
      </w:r>
      <w:r w:rsidR="001D38A3">
        <w:rPr>
          <w:lang w:eastAsia="ko-KR"/>
        </w:rPr>
        <w:t>a Person</w:t>
      </w:r>
      <w:r w:rsidRPr="00DD4FD7">
        <w:rPr>
          <w:lang w:eastAsia="ko-KR"/>
        </w:rPr>
        <w:t xml:space="preserve"> under a </w:t>
      </w:r>
      <w:r w:rsidR="001D38A3">
        <w:rPr>
          <w:lang w:eastAsia="ko-KR"/>
        </w:rPr>
        <w:t>D</w:t>
      </w:r>
      <w:r w:rsidRPr="00DD4FD7">
        <w:rPr>
          <w:lang w:eastAsia="ko-KR"/>
        </w:rPr>
        <w:t xml:space="preserve">irect </w:t>
      </w:r>
      <w:r w:rsidR="001D38A3">
        <w:rPr>
          <w:lang w:eastAsia="ko-KR"/>
        </w:rPr>
        <w:t>F</w:t>
      </w:r>
      <w:r w:rsidRPr="00DD4FD7">
        <w:rPr>
          <w:lang w:eastAsia="ko-KR"/>
        </w:rPr>
        <w:t>undholding arrangement</w:t>
      </w:r>
      <w:r w:rsidR="00CA5B01" w:rsidRPr="00DD4FD7">
        <w:rPr>
          <w:lang w:eastAsia="ko-KR"/>
        </w:rPr>
        <w:t>,</w:t>
      </w:r>
      <w:r w:rsidRPr="00DD4FD7">
        <w:rPr>
          <w:lang w:eastAsia="ko-KR"/>
        </w:rPr>
        <w:t xml:space="preserve"> the </w:t>
      </w:r>
      <w:r w:rsidR="00D1316C">
        <w:rPr>
          <w:lang w:eastAsia="ko-KR"/>
        </w:rPr>
        <w:t xml:space="preserve">payment </w:t>
      </w:r>
      <w:r w:rsidRPr="00DD4FD7">
        <w:rPr>
          <w:lang w:eastAsia="ko-KR"/>
        </w:rPr>
        <w:t xml:space="preserve">provisions within the Enabling Good Lives Hosting Services </w:t>
      </w:r>
      <w:r w:rsidR="003A041D" w:rsidRPr="00DD4FD7">
        <w:rPr>
          <w:lang w:eastAsia="ko-KR"/>
        </w:rPr>
        <w:t>S</w:t>
      </w:r>
      <w:r w:rsidRPr="00DD4FD7">
        <w:rPr>
          <w:lang w:eastAsia="ko-KR"/>
        </w:rPr>
        <w:t xml:space="preserve">pecification </w:t>
      </w:r>
      <w:r w:rsidR="001D38A3">
        <w:rPr>
          <w:lang w:eastAsia="ko-KR"/>
        </w:rPr>
        <w:t xml:space="preserve">and Guidelines for Hosted Personal Budgets </w:t>
      </w:r>
      <w:r w:rsidRPr="00DD4FD7">
        <w:rPr>
          <w:lang w:eastAsia="ko-KR"/>
        </w:rPr>
        <w:t>will apply</w:t>
      </w:r>
      <w:r w:rsidR="001D38A3">
        <w:rPr>
          <w:lang w:eastAsia="ko-KR"/>
        </w:rPr>
        <w:t xml:space="preserve"> (refer Appendix C)</w:t>
      </w:r>
      <w:r w:rsidRPr="00DD4FD7">
        <w:rPr>
          <w:lang w:eastAsia="ko-KR"/>
        </w:rPr>
        <w:t>.</w:t>
      </w:r>
    </w:p>
    <w:p w:rsidR="001D38A3" w:rsidRDefault="001D38A3" w:rsidP="00E66C9D">
      <w:pPr>
        <w:jc w:val="both"/>
        <w:rPr>
          <w:lang w:eastAsia="ko-KR"/>
        </w:rPr>
      </w:pPr>
      <w:r w:rsidRPr="00B81906">
        <w:rPr>
          <w:u w:val="single"/>
          <w:lang w:eastAsia="ko-KR"/>
        </w:rPr>
        <w:t>Facilitated Buying</w:t>
      </w:r>
    </w:p>
    <w:p w:rsidR="00F9507A" w:rsidRDefault="00F9507A" w:rsidP="00E66C9D">
      <w:pPr>
        <w:jc w:val="both"/>
        <w:rPr>
          <w:lang w:eastAsia="ko-KR"/>
        </w:rPr>
      </w:pPr>
      <w:r>
        <w:rPr>
          <w:lang w:eastAsia="ko-KR"/>
        </w:rPr>
        <w:t>Some People will require assistance with purchasing disability supports.</w:t>
      </w:r>
    </w:p>
    <w:p w:rsidR="00D60A91" w:rsidRDefault="00F9507A" w:rsidP="00E66C9D">
      <w:pPr>
        <w:jc w:val="both"/>
        <w:rPr>
          <w:lang w:eastAsia="ko-KR"/>
        </w:rPr>
      </w:pPr>
      <w:r>
        <w:rPr>
          <w:lang w:eastAsia="ko-KR"/>
        </w:rPr>
        <w:t xml:space="preserve">In these cases the Provider can </w:t>
      </w:r>
      <w:r w:rsidR="00D60A91">
        <w:rPr>
          <w:lang w:eastAsia="ko-KR"/>
        </w:rPr>
        <w:t xml:space="preserve">only </w:t>
      </w:r>
      <w:r>
        <w:rPr>
          <w:lang w:eastAsia="ko-KR"/>
        </w:rPr>
        <w:t>purchase support</w:t>
      </w:r>
      <w:r w:rsidR="00D60A91">
        <w:rPr>
          <w:lang w:eastAsia="ko-KR"/>
        </w:rPr>
        <w:t>s as directed and approved by the Person. All disability supports purchased must be aligned to the Purchasing Guidelines. This could include supports from a Third Party Provider.</w:t>
      </w:r>
    </w:p>
    <w:p w:rsidR="00F9507A" w:rsidRDefault="00D60A91" w:rsidP="00E66C9D">
      <w:pPr>
        <w:jc w:val="both"/>
        <w:rPr>
          <w:lang w:eastAsia="ko-KR"/>
        </w:rPr>
      </w:pPr>
      <w:r>
        <w:rPr>
          <w:lang w:eastAsia="ko-KR"/>
        </w:rPr>
        <w:t xml:space="preserve">Where the Person wants the Provider to Purchase a type of support that hasn’t been discussed with the Funding Manager, this should be notified to the Funding Manager. </w:t>
      </w:r>
    </w:p>
    <w:p w:rsidR="00D60A91" w:rsidRDefault="00D60A91" w:rsidP="00E66C9D">
      <w:pPr>
        <w:jc w:val="both"/>
        <w:rPr>
          <w:lang w:eastAsia="ko-KR"/>
        </w:rPr>
      </w:pPr>
      <w:r>
        <w:rPr>
          <w:lang w:eastAsia="ko-KR"/>
        </w:rPr>
        <w:lastRenderedPageBreak/>
        <w:t>The costs of delivering Facilitated Buying will be negotiated between the Person and the Provider and may change depending on the disability supports the Person wishes the Provider to purchase.</w:t>
      </w:r>
    </w:p>
    <w:p w:rsidR="00D60A91" w:rsidRDefault="00D60A91" w:rsidP="00E66C9D">
      <w:pPr>
        <w:jc w:val="both"/>
        <w:rPr>
          <w:lang w:eastAsia="ko-KR"/>
        </w:rPr>
      </w:pPr>
      <w:r>
        <w:rPr>
          <w:lang w:eastAsia="ko-KR"/>
        </w:rPr>
        <w:t>The cost of delivering Faci</w:t>
      </w:r>
      <w:r w:rsidR="00151F8E">
        <w:rPr>
          <w:lang w:eastAsia="ko-KR"/>
        </w:rPr>
        <w:t>li</w:t>
      </w:r>
      <w:r>
        <w:rPr>
          <w:lang w:eastAsia="ko-KR"/>
        </w:rPr>
        <w:t xml:space="preserve">tated Buying and the costs of the Disability Supports </w:t>
      </w:r>
      <w:r w:rsidR="005D4AFE">
        <w:rPr>
          <w:lang w:eastAsia="ko-KR"/>
        </w:rPr>
        <w:t>p</w:t>
      </w:r>
      <w:r>
        <w:rPr>
          <w:lang w:eastAsia="ko-KR"/>
        </w:rPr>
        <w:t xml:space="preserve">urchased should be invoiced to the Ministry of Health </w:t>
      </w:r>
      <w:r w:rsidR="006D310A">
        <w:rPr>
          <w:lang w:eastAsia="ko-KR"/>
        </w:rPr>
        <w:t>as detailed in the Payment Provisions</w:t>
      </w:r>
      <w:r w:rsidR="002D4B52">
        <w:rPr>
          <w:lang w:eastAsia="ko-KR"/>
        </w:rPr>
        <w:t xml:space="preserve"> in </w:t>
      </w:r>
      <w:r w:rsidR="005D4AFE">
        <w:rPr>
          <w:lang w:eastAsia="ko-KR"/>
        </w:rPr>
        <w:t xml:space="preserve">clause </w:t>
      </w:r>
      <w:r w:rsidR="002D4B52">
        <w:rPr>
          <w:lang w:eastAsia="ko-KR"/>
        </w:rPr>
        <w:t xml:space="preserve">9.2 of this </w:t>
      </w:r>
      <w:r w:rsidR="00D410B4">
        <w:rPr>
          <w:lang w:eastAsia="ko-KR"/>
        </w:rPr>
        <w:t xml:space="preserve">Service </w:t>
      </w:r>
      <w:r w:rsidR="002D4B52">
        <w:rPr>
          <w:lang w:eastAsia="ko-KR"/>
        </w:rPr>
        <w:t>Specification</w:t>
      </w:r>
      <w:r>
        <w:rPr>
          <w:lang w:eastAsia="ko-KR"/>
        </w:rPr>
        <w:t>.</w:t>
      </w:r>
    </w:p>
    <w:p w:rsidR="00D60A91" w:rsidRDefault="00D60A91" w:rsidP="00E66C9D">
      <w:pPr>
        <w:jc w:val="both"/>
        <w:rPr>
          <w:u w:val="single"/>
          <w:lang w:eastAsia="ko-KR"/>
        </w:rPr>
      </w:pPr>
      <w:r w:rsidRPr="00D60A91">
        <w:rPr>
          <w:u w:val="single"/>
          <w:lang w:eastAsia="ko-KR"/>
        </w:rPr>
        <w:t>Delivering Flexible Support</w:t>
      </w:r>
    </w:p>
    <w:p w:rsidR="006D310A" w:rsidRDefault="00D60A91" w:rsidP="00E66C9D">
      <w:pPr>
        <w:jc w:val="both"/>
        <w:rPr>
          <w:lang w:eastAsia="ko-KR"/>
        </w:rPr>
      </w:pPr>
      <w:r>
        <w:rPr>
          <w:lang w:eastAsia="ko-KR"/>
        </w:rPr>
        <w:t>Some People may</w:t>
      </w:r>
      <w:r w:rsidR="006D310A">
        <w:rPr>
          <w:lang w:eastAsia="ko-KR"/>
        </w:rPr>
        <w:t xml:space="preserve"> require more assistance with managing and purchasing disability supports. Providers can support the Person by delivering Flexible Support. This could include the Provider employing </w:t>
      </w:r>
      <w:r w:rsidR="00031EA1">
        <w:rPr>
          <w:lang w:eastAsia="ko-KR"/>
        </w:rPr>
        <w:t>S</w:t>
      </w:r>
      <w:r w:rsidR="006D310A">
        <w:rPr>
          <w:lang w:eastAsia="ko-KR"/>
        </w:rPr>
        <w:t xml:space="preserve">upport </w:t>
      </w:r>
      <w:r w:rsidR="00031EA1">
        <w:rPr>
          <w:lang w:eastAsia="ko-KR"/>
        </w:rPr>
        <w:t>Workers</w:t>
      </w:r>
      <w:r w:rsidR="006D310A">
        <w:rPr>
          <w:lang w:eastAsia="ko-KR"/>
        </w:rPr>
        <w:t>.</w:t>
      </w:r>
    </w:p>
    <w:p w:rsidR="006D310A" w:rsidRDefault="006D310A" w:rsidP="00E66C9D">
      <w:pPr>
        <w:jc w:val="both"/>
        <w:rPr>
          <w:lang w:eastAsia="ko-KR"/>
        </w:rPr>
      </w:pPr>
      <w:r>
        <w:rPr>
          <w:lang w:eastAsia="ko-KR"/>
        </w:rPr>
        <w:t>The Person and Provider will discuss what support will be delivered and how it will be delivered. This will be documented in the Support Agreement and must be aligned to the Purchasing Guidelines</w:t>
      </w:r>
      <w:r w:rsidR="00CD4389">
        <w:rPr>
          <w:lang w:eastAsia="ko-KR"/>
        </w:rPr>
        <w:t xml:space="preserve"> and to the Tier One Service Specification</w:t>
      </w:r>
      <w:r w:rsidR="0067057F">
        <w:rPr>
          <w:lang w:eastAsia="ko-KR"/>
        </w:rPr>
        <w:t>.</w:t>
      </w:r>
    </w:p>
    <w:p w:rsidR="006D310A" w:rsidRDefault="006D310A" w:rsidP="00E66C9D">
      <w:pPr>
        <w:jc w:val="both"/>
        <w:rPr>
          <w:lang w:eastAsia="ko-KR"/>
        </w:rPr>
      </w:pPr>
      <w:r>
        <w:rPr>
          <w:lang w:eastAsia="ko-KR"/>
        </w:rPr>
        <w:t xml:space="preserve">The Person may at any time </w:t>
      </w:r>
      <w:r w:rsidR="008942FD">
        <w:rPr>
          <w:lang w:eastAsia="ko-KR"/>
        </w:rPr>
        <w:t xml:space="preserve">request that </w:t>
      </w:r>
      <w:r>
        <w:rPr>
          <w:lang w:eastAsia="ko-KR"/>
        </w:rPr>
        <w:t>this support chang</w:t>
      </w:r>
      <w:r w:rsidR="008942FD">
        <w:rPr>
          <w:lang w:eastAsia="ko-KR"/>
        </w:rPr>
        <w:t>e</w:t>
      </w:r>
      <w:r>
        <w:rPr>
          <w:lang w:eastAsia="ko-KR"/>
        </w:rPr>
        <w:t>. The processes for doing this will be different for each Person and should be discussed and agreed up front as part of the development and documentation of the Support Agreement.</w:t>
      </w:r>
    </w:p>
    <w:p w:rsidR="006D310A" w:rsidRPr="00B81906" w:rsidRDefault="006D310A" w:rsidP="00E66C9D">
      <w:pPr>
        <w:jc w:val="both"/>
        <w:rPr>
          <w:lang w:eastAsia="ko-KR"/>
        </w:rPr>
      </w:pPr>
      <w:r>
        <w:rPr>
          <w:lang w:eastAsia="ko-KR"/>
        </w:rPr>
        <w:t>The cost of delivering Flexible Support should be invoiced to the Ministry of Health as detailed in the Payment Provisions</w:t>
      </w:r>
      <w:r w:rsidR="002D4B52">
        <w:rPr>
          <w:lang w:eastAsia="ko-KR"/>
        </w:rPr>
        <w:t xml:space="preserve"> in 9.2 of this </w:t>
      </w:r>
      <w:r w:rsidR="00D410B4">
        <w:rPr>
          <w:lang w:eastAsia="ko-KR"/>
        </w:rPr>
        <w:t xml:space="preserve">Service </w:t>
      </w:r>
      <w:r w:rsidR="002D4B52">
        <w:rPr>
          <w:lang w:eastAsia="ko-KR"/>
        </w:rPr>
        <w:t>Specification</w:t>
      </w:r>
      <w:r>
        <w:rPr>
          <w:lang w:eastAsia="ko-KR"/>
        </w:rPr>
        <w:t>.</w:t>
      </w:r>
    </w:p>
    <w:p w:rsidR="001E23AC" w:rsidRPr="001E23AC" w:rsidRDefault="001E23AC" w:rsidP="00E4436A">
      <w:pPr>
        <w:pStyle w:val="Heading3"/>
      </w:pPr>
      <w:r w:rsidRPr="001E23AC">
        <w:t>Disclosure</w:t>
      </w:r>
    </w:p>
    <w:p w:rsidR="001E23AC" w:rsidRDefault="001E23AC" w:rsidP="00E66C9D">
      <w:pPr>
        <w:jc w:val="both"/>
      </w:pPr>
      <w:r w:rsidRPr="001E23AC">
        <w:t xml:space="preserve">There will be limits on what is practical and financially feasible under this </w:t>
      </w:r>
      <w:r w:rsidR="00C96BFA">
        <w:t>S</w:t>
      </w:r>
      <w:r w:rsidRPr="001E23AC">
        <w:t xml:space="preserve">ervice </w:t>
      </w:r>
      <w:r w:rsidR="00C96BFA">
        <w:t>S</w:t>
      </w:r>
      <w:r w:rsidRPr="001E23AC">
        <w:t xml:space="preserve">pecification. The </w:t>
      </w:r>
      <w:r w:rsidR="003D7797">
        <w:t>Provider</w:t>
      </w:r>
      <w:r w:rsidRPr="001E23AC">
        <w:t xml:space="preserve"> must disclose</w:t>
      </w:r>
      <w:r w:rsidR="00A55A4B">
        <w:t>,</w:t>
      </w:r>
      <w:r w:rsidRPr="001E23AC">
        <w:t xml:space="preserve"> </w:t>
      </w:r>
      <w:r w:rsidR="00A55A4B">
        <w:t xml:space="preserve">to the Person and to the Funding Manager, </w:t>
      </w:r>
      <w:r w:rsidRPr="001E23AC">
        <w:t>any practical limits they believe exist</w:t>
      </w:r>
      <w:r w:rsidR="00B929CD">
        <w:t xml:space="preserve">, </w:t>
      </w:r>
      <w:r w:rsidRPr="001E23AC">
        <w:t xml:space="preserve">including limitations on the range of options they offer to the Person and their family as soon as these limitations become apparent. The </w:t>
      </w:r>
      <w:r w:rsidR="003D7797">
        <w:t>Provider</w:t>
      </w:r>
      <w:r w:rsidRPr="001E23AC">
        <w:t xml:space="preserve"> must explain that other </w:t>
      </w:r>
      <w:r w:rsidR="003D7797">
        <w:t>Provider</w:t>
      </w:r>
      <w:r w:rsidRPr="001E23AC">
        <w:t xml:space="preserve">s or other services may not have these </w:t>
      </w:r>
      <w:r w:rsidR="00EB7C08" w:rsidRPr="001E23AC">
        <w:t>limitations</w:t>
      </w:r>
      <w:r w:rsidR="00EB7C08">
        <w:t>,</w:t>
      </w:r>
      <w:r w:rsidR="00EB7C08" w:rsidRPr="001E23AC">
        <w:t xml:space="preserve"> and</w:t>
      </w:r>
      <w:r w:rsidRPr="001E23AC">
        <w:t xml:space="preserve"> where these cannot be sub-contracted, refer the </w:t>
      </w:r>
      <w:r w:rsidR="003D7797">
        <w:t>Person</w:t>
      </w:r>
      <w:r w:rsidRPr="001E23AC">
        <w:t xml:space="preserve"> back to the relevant </w:t>
      </w:r>
      <w:r w:rsidR="006A1A4E">
        <w:t>Funding Manager</w:t>
      </w:r>
      <w:r w:rsidRPr="001E23AC">
        <w:t xml:space="preserve"> if the </w:t>
      </w:r>
      <w:r w:rsidR="003D7797">
        <w:t>Person</w:t>
      </w:r>
      <w:r w:rsidRPr="001E23AC">
        <w:t xml:space="preserve"> wishes to explore the options other </w:t>
      </w:r>
      <w:r w:rsidR="003D7797">
        <w:t>Provider</w:t>
      </w:r>
      <w:r w:rsidRPr="001E23AC">
        <w:t>s might offer.</w:t>
      </w:r>
    </w:p>
    <w:p w:rsidR="001E23AC" w:rsidRDefault="00607EBB" w:rsidP="00E66C9D">
      <w:pPr>
        <w:jc w:val="both"/>
      </w:pPr>
      <w:r>
        <w:t>The Provider must disclose</w:t>
      </w:r>
      <w:r w:rsidR="00A55A4B">
        <w:t xml:space="preserve">, prior to the Person agreeing to use </w:t>
      </w:r>
      <w:r w:rsidR="00C9310B">
        <w:t>Flexibility Disability Supports</w:t>
      </w:r>
      <w:r w:rsidR="00A55A4B">
        <w:t xml:space="preserve"> provided by th</w:t>
      </w:r>
      <w:r w:rsidR="00C9310B">
        <w:t>at</w:t>
      </w:r>
      <w:r w:rsidR="00A55A4B">
        <w:t xml:space="preserve"> Provider,</w:t>
      </w:r>
      <w:r>
        <w:t xml:space="preserve"> all fees that the</w:t>
      </w:r>
      <w:r w:rsidR="00A55A4B">
        <w:t xml:space="preserve"> Provider would </w:t>
      </w:r>
      <w:r>
        <w:t xml:space="preserve">charge the Person </w:t>
      </w:r>
      <w:r w:rsidR="00CA5B01">
        <w:t xml:space="preserve">and take </w:t>
      </w:r>
      <w:r>
        <w:t xml:space="preserve">from their </w:t>
      </w:r>
      <w:r w:rsidR="001D38A3">
        <w:t>Personal B</w:t>
      </w:r>
      <w:r>
        <w:t>udget</w:t>
      </w:r>
      <w:r w:rsidR="00E840D4">
        <w:t>,</w:t>
      </w:r>
      <w:r w:rsidR="003377CF">
        <w:t xml:space="preserve"> </w:t>
      </w:r>
      <w:r w:rsidR="008E08B9">
        <w:t xml:space="preserve">so </w:t>
      </w:r>
      <w:r w:rsidR="003377CF">
        <w:t>that the Person can make informed decisions</w:t>
      </w:r>
      <w:r>
        <w:t>.</w:t>
      </w:r>
    </w:p>
    <w:p w:rsidR="00685611" w:rsidRPr="008E1786" w:rsidRDefault="00685611" w:rsidP="008E1786">
      <w:pPr>
        <w:pStyle w:val="Heading3"/>
      </w:pPr>
      <w:r w:rsidRPr="008E1786">
        <w:t>Record keeping</w:t>
      </w:r>
    </w:p>
    <w:p w:rsidR="003D7797" w:rsidRDefault="00685611" w:rsidP="00E66C9D">
      <w:pPr>
        <w:jc w:val="both"/>
        <w:rPr>
          <w:iCs/>
        </w:rPr>
      </w:pPr>
      <w:r w:rsidRPr="001E23AC">
        <w:t xml:space="preserve">The Provider will keep records that document the provision of support to the Person as per the </w:t>
      </w:r>
      <w:r w:rsidR="006A1A4E">
        <w:rPr>
          <w:iCs/>
        </w:rPr>
        <w:t>Support Agreement</w:t>
      </w:r>
      <w:r w:rsidRPr="001E23AC">
        <w:rPr>
          <w:iCs/>
        </w:rPr>
        <w:t xml:space="preserve">. </w:t>
      </w:r>
      <w:r w:rsidR="00865572">
        <w:rPr>
          <w:iCs/>
        </w:rPr>
        <w:t xml:space="preserve"> </w:t>
      </w:r>
      <w:r w:rsidRPr="001E23AC">
        <w:rPr>
          <w:iCs/>
        </w:rPr>
        <w:t>The records will include</w:t>
      </w:r>
      <w:r w:rsidR="00E840D4">
        <w:rPr>
          <w:iCs/>
        </w:rPr>
        <w:t>,</w:t>
      </w:r>
      <w:r w:rsidRPr="001E23AC">
        <w:rPr>
          <w:iCs/>
        </w:rPr>
        <w:t xml:space="preserve"> but not </w:t>
      </w:r>
      <w:r w:rsidR="003377CF">
        <w:rPr>
          <w:iCs/>
        </w:rPr>
        <w:t xml:space="preserve">be </w:t>
      </w:r>
      <w:r w:rsidRPr="001E23AC">
        <w:rPr>
          <w:iCs/>
        </w:rPr>
        <w:t>limited to</w:t>
      </w:r>
      <w:r w:rsidR="003D7797">
        <w:rPr>
          <w:iCs/>
        </w:rPr>
        <w:t>:</w:t>
      </w:r>
    </w:p>
    <w:p w:rsidR="003D7797" w:rsidRPr="003D7797" w:rsidRDefault="00685611" w:rsidP="003377CF">
      <w:pPr>
        <w:pStyle w:val="ListParagraph"/>
        <w:numPr>
          <w:ilvl w:val="0"/>
          <w:numId w:val="15"/>
        </w:numPr>
        <w:ind w:left="426"/>
        <w:rPr>
          <w:iCs/>
        </w:rPr>
      </w:pPr>
      <w:r w:rsidRPr="003D7797">
        <w:rPr>
          <w:iCs/>
        </w:rPr>
        <w:t>evidence of support being provided</w:t>
      </w:r>
    </w:p>
    <w:p w:rsidR="003D7797" w:rsidRPr="003D7797" w:rsidRDefault="00685611" w:rsidP="003377CF">
      <w:pPr>
        <w:pStyle w:val="ListParagraph"/>
        <w:numPr>
          <w:ilvl w:val="0"/>
          <w:numId w:val="15"/>
        </w:numPr>
        <w:ind w:left="426"/>
        <w:rPr>
          <w:iCs/>
        </w:rPr>
      </w:pPr>
      <w:r w:rsidRPr="003D7797">
        <w:rPr>
          <w:iCs/>
        </w:rPr>
        <w:lastRenderedPageBreak/>
        <w:t>the cost of that support (including overheads)</w:t>
      </w:r>
    </w:p>
    <w:p w:rsidR="00A55A4B" w:rsidRDefault="00685611" w:rsidP="003377CF">
      <w:pPr>
        <w:pStyle w:val="ListParagraph"/>
        <w:numPr>
          <w:ilvl w:val="0"/>
          <w:numId w:val="15"/>
        </w:numPr>
        <w:ind w:left="426"/>
        <w:rPr>
          <w:iCs/>
        </w:rPr>
      </w:pPr>
      <w:r w:rsidRPr="003D7797">
        <w:rPr>
          <w:iCs/>
        </w:rPr>
        <w:t>actual expenses incurred where an item has been purchased or an aspect of the service subcontracted</w:t>
      </w:r>
    </w:p>
    <w:p w:rsidR="003D7797" w:rsidRDefault="00A55A4B" w:rsidP="003377CF">
      <w:pPr>
        <w:pStyle w:val="ListParagraph"/>
        <w:numPr>
          <w:ilvl w:val="0"/>
          <w:numId w:val="15"/>
        </w:numPr>
        <w:ind w:left="426"/>
        <w:rPr>
          <w:iCs/>
        </w:rPr>
      </w:pPr>
      <w:proofErr w:type="gramStart"/>
      <w:r>
        <w:rPr>
          <w:iCs/>
        </w:rPr>
        <w:t>all</w:t>
      </w:r>
      <w:proofErr w:type="gramEnd"/>
      <w:r>
        <w:rPr>
          <w:iCs/>
        </w:rPr>
        <w:t xml:space="preserve"> related documentation, such as time sheets, invoices and receipts</w:t>
      </w:r>
      <w:r w:rsidR="00685611" w:rsidRPr="003D7797">
        <w:rPr>
          <w:iCs/>
        </w:rPr>
        <w:t>.</w:t>
      </w:r>
    </w:p>
    <w:p w:rsidR="003D7797" w:rsidRPr="003D7797" w:rsidRDefault="003D7797" w:rsidP="00E66C9D">
      <w:pPr>
        <w:pStyle w:val="ListParagraph"/>
        <w:numPr>
          <w:ilvl w:val="0"/>
          <w:numId w:val="0"/>
        </w:numPr>
        <w:ind w:left="720"/>
        <w:rPr>
          <w:iCs/>
        </w:rPr>
      </w:pPr>
    </w:p>
    <w:p w:rsidR="00685611" w:rsidRDefault="00685611" w:rsidP="00E66C9D">
      <w:pPr>
        <w:jc w:val="both"/>
        <w:rPr>
          <w:iCs/>
        </w:rPr>
      </w:pPr>
      <w:r w:rsidRPr="001E23AC">
        <w:rPr>
          <w:iCs/>
        </w:rPr>
        <w:t>All records will be maintained in a</w:t>
      </w:r>
      <w:r w:rsidR="003D7797">
        <w:rPr>
          <w:iCs/>
        </w:rPr>
        <w:t xml:space="preserve"> </w:t>
      </w:r>
      <w:r w:rsidRPr="001E23AC">
        <w:rPr>
          <w:iCs/>
        </w:rPr>
        <w:t>way that is</w:t>
      </w:r>
      <w:r>
        <w:rPr>
          <w:iCs/>
        </w:rPr>
        <w:t xml:space="preserve"> consistent with best practice.</w:t>
      </w:r>
    </w:p>
    <w:p w:rsidR="006A1A4E" w:rsidRPr="00685611" w:rsidRDefault="006A1A4E" w:rsidP="00E66C9D">
      <w:pPr>
        <w:jc w:val="both"/>
        <w:rPr>
          <w:iCs/>
        </w:rPr>
      </w:pPr>
      <w:r>
        <w:rPr>
          <w:iCs/>
        </w:rPr>
        <w:t xml:space="preserve">Where necessary the Provider </w:t>
      </w:r>
      <w:r w:rsidR="005602F8">
        <w:rPr>
          <w:iCs/>
        </w:rPr>
        <w:t>should support the Person to keep appropriate records</w:t>
      </w:r>
      <w:r w:rsidR="008E1786">
        <w:rPr>
          <w:iCs/>
        </w:rPr>
        <w:t xml:space="preserve"> </w:t>
      </w:r>
      <w:r w:rsidR="00EA7B92">
        <w:rPr>
          <w:iCs/>
        </w:rPr>
        <w:t>(</w:t>
      </w:r>
      <w:r w:rsidR="008E1786">
        <w:rPr>
          <w:iCs/>
        </w:rPr>
        <w:t xml:space="preserve">where the person is purchasing their own support (refer </w:t>
      </w:r>
      <w:r w:rsidR="00365C66">
        <w:rPr>
          <w:iCs/>
        </w:rPr>
        <w:t xml:space="preserve">clause </w:t>
      </w:r>
      <w:r w:rsidR="008E1786">
        <w:rPr>
          <w:iCs/>
        </w:rPr>
        <w:t>8.2, Direct Fundholding)</w:t>
      </w:r>
      <w:r w:rsidR="00031EA1">
        <w:rPr>
          <w:iCs/>
        </w:rPr>
        <w:t>)</w:t>
      </w:r>
      <w:r w:rsidR="005602F8">
        <w:rPr>
          <w:iCs/>
        </w:rPr>
        <w:t>.</w:t>
      </w:r>
    </w:p>
    <w:p w:rsidR="00607EBB" w:rsidRDefault="00607EBB" w:rsidP="00E4436A">
      <w:pPr>
        <w:pStyle w:val="Heading3"/>
      </w:pPr>
      <w:r>
        <w:t xml:space="preserve">Changes to the </w:t>
      </w:r>
      <w:r w:rsidR="00BD3518">
        <w:t>Support Agreement</w:t>
      </w:r>
    </w:p>
    <w:p w:rsidR="005C5702" w:rsidRDefault="006B53B8" w:rsidP="00E66C9D">
      <w:pPr>
        <w:jc w:val="both"/>
        <w:rPr>
          <w:lang w:eastAsia="ko-KR"/>
        </w:rPr>
      </w:pPr>
      <w:r w:rsidRPr="00306DB9">
        <w:rPr>
          <w:rFonts w:cs="Arial"/>
        </w:rPr>
        <w:t xml:space="preserve">Where a Person wishes to change what </w:t>
      </w:r>
      <w:r w:rsidRPr="00306DB9">
        <w:t>disability supports s/he intends to purchase or the Provider/Providers they wish to support them; they must discuss this with the Funding Manager.</w:t>
      </w:r>
      <w:r w:rsidR="009458A2">
        <w:t xml:space="preserve">  </w:t>
      </w:r>
      <w:r w:rsidR="005C5702">
        <w:rPr>
          <w:lang w:eastAsia="ko-KR"/>
        </w:rPr>
        <w:t xml:space="preserve">The Provider and the Person must agree how </w:t>
      </w:r>
      <w:r w:rsidR="003A041D">
        <w:rPr>
          <w:lang w:eastAsia="ko-KR"/>
        </w:rPr>
        <w:t>s</w:t>
      </w:r>
      <w:r w:rsidR="005C5702">
        <w:rPr>
          <w:lang w:eastAsia="ko-KR"/>
        </w:rPr>
        <w:t xml:space="preserve">upport will be reviewed and changed and what processes the </w:t>
      </w:r>
      <w:r w:rsidR="003D7797">
        <w:rPr>
          <w:lang w:eastAsia="ko-KR"/>
        </w:rPr>
        <w:t>Provider</w:t>
      </w:r>
      <w:r w:rsidR="005C5702">
        <w:rPr>
          <w:lang w:eastAsia="ko-KR"/>
        </w:rPr>
        <w:t xml:space="preserve"> and the </w:t>
      </w:r>
      <w:r w:rsidR="003D7797">
        <w:rPr>
          <w:lang w:eastAsia="ko-KR"/>
        </w:rPr>
        <w:t xml:space="preserve">Person </w:t>
      </w:r>
      <w:r w:rsidR="005C5702">
        <w:rPr>
          <w:lang w:eastAsia="ko-KR"/>
        </w:rPr>
        <w:t>will use</w:t>
      </w:r>
      <w:r w:rsidR="00FB2270">
        <w:rPr>
          <w:lang w:eastAsia="ko-KR"/>
        </w:rPr>
        <w:t>.</w:t>
      </w:r>
      <w:r w:rsidR="005C5702">
        <w:rPr>
          <w:lang w:eastAsia="ko-KR"/>
        </w:rPr>
        <w:t xml:space="preserve"> This</w:t>
      </w:r>
      <w:r w:rsidR="00FB2270">
        <w:rPr>
          <w:lang w:eastAsia="ko-KR"/>
        </w:rPr>
        <w:t xml:space="preserve"> process</w:t>
      </w:r>
      <w:r w:rsidR="005C5702">
        <w:rPr>
          <w:lang w:eastAsia="ko-KR"/>
        </w:rPr>
        <w:t xml:space="preserve"> must be documented in the </w:t>
      </w:r>
      <w:r w:rsidR="00BD3518">
        <w:rPr>
          <w:lang w:eastAsia="ko-KR"/>
        </w:rPr>
        <w:t>Support Agreement</w:t>
      </w:r>
      <w:r w:rsidR="005C5702">
        <w:rPr>
          <w:lang w:eastAsia="ko-KR"/>
        </w:rPr>
        <w:t>.</w:t>
      </w:r>
    </w:p>
    <w:p w:rsidR="00BD3518" w:rsidRDefault="005C5702" w:rsidP="00E66C9D">
      <w:pPr>
        <w:jc w:val="both"/>
        <w:rPr>
          <w:lang w:eastAsia="ko-KR"/>
        </w:rPr>
      </w:pPr>
      <w:r>
        <w:rPr>
          <w:lang w:eastAsia="ko-KR"/>
        </w:rPr>
        <w:t>The Provider must be flexible</w:t>
      </w:r>
      <w:r w:rsidR="006B129D">
        <w:rPr>
          <w:lang w:eastAsia="ko-KR"/>
        </w:rPr>
        <w:t>,</w:t>
      </w:r>
      <w:r>
        <w:rPr>
          <w:lang w:eastAsia="ko-KR"/>
        </w:rPr>
        <w:t xml:space="preserve"> and change the support arrangements on request of the Person</w:t>
      </w:r>
      <w:r w:rsidR="00306DB9">
        <w:rPr>
          <w:lang w:eastAsia="ko-KR"/>
        </w:rPr>
        <w:t>, provided that the changed support will remain within the terms of this Agreement</w:t>
      </w:r>
      <w:r w:rsidR="00BD3518">
        <w:rPr>
          <w:lang w:eastAsia="ko-KR"/>
        </w:rPr>
        <w:t xml:space="preserve">. </w:t>
      </w:r>
    </w:p>
    <w:p w:rsidR="005C5702" w:rsidRDefault="00306DB9" w:rsidP="00E66C9D">
      <w:pPr>
        <w:jc w:val="both"/>
        <w:rPr>
          <w:lang w:eastAsia="ko-KR"/>
        </w:rPr>
      </w:pPr>
      <w:r>
        <w:rPr>
          <w:lang w:eastAsia="ko-KR"/>
        </w:rPr>
        <w:t>O</w:t>
      </w:r>
      <w:r w:rsidR="00BD3518">
        <w:rPr>
          <w:lang w:eastAsia="ko-KR"/>
        </w:rPr>
        <w:t>n some occasions the Provider may not be able to deliver t</w:t>
      </w:r>
      <w:r>
        <w:rPr>
          <w:lang w:eastAsia="ko-KR"/>
        </w:rPr>
        <w:t>he</w:t>
      </w:r>
      <w:r w:rsidR="00BD3518">
        <w:rPr>
          <w:lang w:eastAsia="ko-KR"/>
        </w:rPr>
        <w:t xml:space="preserve"> revised supports. This may be due to many factors including </w:t>
      </w:r>
      <w:r>
        <w:rPr>
          <w:lang w:eastAsia="ko-KR"/>
        </w:rPr>
        <w:t xml:space="preserve">insufficient </w:t>
      </w:r>
      <w:r w:rsidR="00BD3518">
        <w:rPr>
          <w:lang w:eastAsia="ko-KR"/>
        </w:rPr>
        <w:t xml:space="preserve">available </w:t>
      </w:r>
      <w:r>
        <w:rPr>
          <w:lang w:eastAsia="ko-KR"/>
        </w:rPr>
        <w:t>Personal B</w:t>
      </w:r>
      <w:r w:rsidR="00BD3518">
        <w:rPr>
          <w:lang w:eastAsia="ko-KR"/>
        </w:rPr>
        <w:t>udget or a change in need</w:t>
      </w:r>
      <w:r w:rsidR="006B129D">
        <w:rPr>
          <w:lang w:eastAsia="ko-KR"/>
        </w:rPr>
        <w:t>, or the services not being ones the Provider offers</w:t>
      </w:r>
      <w:r w:rsidR="00BD3518">
        <w:rPr>
          <w:lang w:eastAsia="ko-KR"/>
        </w:rPr>
        <w:t xml:space="preserve">. Where a Provider is unable to deliver the revised supports the Provider should work with the Person to resolve the differences. If the Provider is still unable to deliver the requested support then the Person should be referred to the </w:t>
      </w:r>
      <w:r w:rsidR="003377CF">
        <w:rPr>
          <w:lang w:eastAsia="ko-KR"/>
        </w:rPr>
        <w:t>Funding Manager</w:t>
      </w:r>
      <w:r w:rsidR="00BD3518">
        <w:rPr>
          <w:lang w:eastAsia="ko-KR"/>
        </w:rPr>
        <w:t>.</w:t>
      </w:r>
    </w:p>
    <w:p w:rsidR="003377CF" w:rsidRDefault="003377CF" w:rsidP="00306DB9">
      <w:pPr>
        <w:spacing w:before="240"/>
        <w:jc w:val="both"/>
        <w:rPr>
          <w:lang w:eastAsia="ko-KR"/>
        </w:rPr>
      </w:pPr>
      <w:r>
        <w:rPr>
          <w:lang w:eastAsia="ko-KR"/>
        </w:rPr>
        <w:t>The Funding Manager should review the Person’s situation with them and assist the Person to seek alternative Providers or arrangements to ensure their needs are met.</w:t>
      </w:r>
    </w:p>
    <w:p w:rsidR="00BD3518" w:rsidRPr="005C5702" w:rsidRDefault="00BD3518" w:rsidP="00E66C9D">
      <w:pPr>
        <w:jc w:val="both"/>
        <w:rPr>
          <w:lang w:eastAsia="ko-KR"/>
        </w:rPr>
      </w:pPr>
      <w:r>
        <w:rPr>
          <w:lang w:eastAsia="ko-KR"/>
        </w:rPr>
        <w:t>If there is a change in need</w:t>
      </w:r>
      <w:r w:rsidR="00F40F1E">
        <w:rPr>
          <w:lang w:eastAsia="ko-KR"/>
        </w:rPr>
        <w:t>,</w:t>
      </w:r>
      <w:r w:rsidR="003377CF">
        <w:rPr>
          <w:lang w:eastAsia="ko-KR"/>
        </w:rPr>
        <w:t xml:space="preserve"> a new assessment may be completed</w:t>
      </w:r>
      <w:r w:rsidR="00306DB9">
        <w:rPr>
          <w:lang w:eastAsia="ko-KR"/>
        </w:rPr>
        <w:t xml:space="preserve"> by the Funding Manager</w:t>
      </w:r>
      <w:r w:rsidR="003377CF">
        <w:rPr>
          <w:lang w:eastAsia="ko-KR"/>
        </w:rPr>
        <w:t>.</w:t>
      </w:r>
    </w:p>
    <w:p w:rsidR="001E23AC" w:rsidRPr="001E23AC" w:rsidRDefault="001E23AC" w:rsidP="00E4436A">
      <w:pPr>
        <w:pStyle w:val="Heading3"/>
      </w:pPr>
      <w:r w:rsidRPr="001E23AC">
        <w:t>Exit process (transition out)</w:t>
      </w:r>
    </w:p>
    <w:p w:rsidR="001E23AC" w:rsidRDefault="001E23AC" w:rsidP="00E66C9D">
      <w:pPr>
        <w:jc w:val="both"/>
      </w:pPr>
      <w:r w:rsidRPr="001E23AC">
        <w:t xml:space="preserve">The Person may choose to exit </w:t>
      </w:r>
      <w:r w:rsidR="005C5702">
        <w:t>Flexible</w:t>
      </w:r>
      <w:r w:rsidR="00607EBB">
        <w:t xml:space="preserve"> Disability Supports</w:t>
      </w:r>
      <w:r w:rsidRPr="001E23AC">
        <w:t xml:space="preserve"> or ask to be supported by another Provider. There may also be circumstances where the Provider is unable to meet the Person’s needs and/or expectations. In all cases where the </w:t>
      </w:r>
      <w:r w:rsidR="003D7797">
        <w:t>Person</w:t>
      </w:r>
      <w:r w:rsidRPr="001E23AC">
        <w:t xml:space="preserve"> is leaving </w:t>
      </w:r>
      <w:r w:rsidR="00607EBB">
        <w:t>Flexible Disability Supports</w:t>
      </w:r>
      <w:r w:rsidRPr="001E23AC">
        <w:t xml:space="preserve"> or changing </w:t>
      </w:r>
      <w:r w:rsidR="003D7797">
        <w:t>Provider</w:t>
      </w:r>
      <w:r w:rsidRPr="001E23AC">
        <w:t xml:space="preserve">s, the </w:t>
      </w:r>
      <w:r w:rsidR="00607EBB">
        <w:t>Funding Manager</w:t>
      </w:r>
      <w:r w:rsidRPr="001E23AC">
        <w:t xml:space="preserve"> will be advised and will agree to the exit before the </w:t>
      </w:r>
      <w:r w:rsidR="00A24644">
        <w:t>Provider</w:t>
      </w:r>
      <w:r w:rsidR="00A24644" w:rsidRPr="001E23AC">
        <w:t xml:space="preserve"> </w:t>
      </w:r>
      <w:r w:rsidRPr="001E23AC">
        <w:t xml:space="preserve">stops supporting the </w:t>
      </w:r>
      <w:r w:rsidR="0003406D">
        <w:t>P</w:t>
      </w:r>
      <w:r w:rsidR="0003406D" w:rsidRPr="001E23AC">
        <w:t>erson</w:t>
      </w:r>
      <w:r w:rsidRPr="001E23AC">
        <w:t xml:space="preserve">. This is to ensure the </w:t>
      </w:r>
      <w:r w:rsidR="003D7797">
        <w:t>Person</w:t>
      </w:r>
      <w:r w:rsidR="003D7797" w:rsidRPr="001E23AC">
        <w:t xml:space="preserve">’s </w:t>
      </w:r>
      <w:r w:rsidRPr="001E23AC">
        <w:t xml:space="preserve">decisions are being respected and that an appropriate transition plan has been put in place before the </w:t>
      </w:r>
      <w:r w:rsidR="003D7797">
        <w:t>Provider</w:t>
      </w:r>
      <w:r w:rsidR="00A24644">
        <w:t xml:space="preserve"> </w:t>
      </w:r>
      <w:r w:rsidRPr="001E23AC">
        <w:t>stops suppo</w:t>
      </w:r>
      <w:r w:rsidR="00685611">
        <w:t xml:space="preserve">rting the </w:t>
      </w:r>
      <w:r w:rsidR="003D7797">
        <w:t>Person</w:t>
      </w:r>
      <w:r w:rsidR="00685611">
        <w:t>.</w:t>
      </w:r>
    </w:p>
    <w:p w:rsidR="00EA7B92" w:rsidRDefault="00EA7B92" w:rsidP="00E66C9D">
      <w:pPr>
        <w:jc w:val="both"/>
      </w:pPr>
      <w:r>
        <w:lastRenderedPageBreak/>
        <w:t>If the Person has exited the Provider, the Provider will need to put in place a wash-up process that takes into account:</w:t>
      </w:r>
    </w:p>
    <w:p w:rsidR="00EA7B92" w:rsidRDefault="00B627D1" w:rsidP="00F86C2D">
      <w:pPr>
        <w:pStyle w:val="ListParagraph"/>
        <w:numPr>
          <w:ilvl w:val="0"/>
          <w:numId w:val="29"/>
        </w:numPr>
      </w:pPr>
      <w:r>
        <w:t>a</w:t>
      </w:r>
      <w:r w:rsidR="00EA7B92">
        <w:t>ny funding that the Provider or Person holds</w:t>
      </w:r>
      <w:r>
        <w:t xml:space="preserve"> that has not been spent</w:t>
      </w:r>
    </w:p>
    <w:p w:rsidR="00EA7B92" w:rsidRDefault="00B627D1" w:rsidP="00F86C2D">
      <w:pPr>
        <w:pStyle w:val="ListParagraph"/>
        <w:numPr>
          <w:ilvl w:val="0"/>
          <w:numId w:val="29"/>
        </w:numPr>
      </w:pPr>
      <w:r>
        <w:t>a</w:t>
      </w:r>
      <w:r w:rsidR="00EA7B92">
        <w:t>ny funding that has been accrued and invoiced to the Ministry (or not invoiced to the Ministry) for supports delivered including:</w:t>
      </w:r>
    </w:p>
    <w:p w:rsidR="00EA7B92" w:rsidRDefault="00B627D1" w:rsidP="00F86C2D">
      <w:pPr>
        <w:pStyle w:val="ListParagraph"/>
        <w:numPr>
          <w:ilvl w:val="1"/>
          <w:numId w:val="29"/>
        </w:numPr>
      </w:pPr>
      <w:r>
        <w:t>a</w:t>
      </w:r>
      <w:r w:rsidR="00EA7B92">
        <w:t xml:space="preserve">nnual </w:t>
      </w:r>
      <w:r>
        <w:t>l</w:t>
      </w:r>
      <w:r w:rsidR="00EA7B92">
        <w:t>eave</w:t>
      </w:r>
    </w:p>
    <w:p w:rsidR="00EA7B92" w:rsidRDefault="00B627D1" w:rsidP="00F86C2D">
      <w:pPr>
        <w:pStyle w:val="ListParagraph"/>
        <w:numPr>
          <w:ilvl w:val="1"/>
          <w:numId w:val="29"/>
        </w:numPr>
      </w:pPr>
      <w:proofErr w:type="gramStart"/>
      <w:r>
        <w:t>t</w:t>
      </w:r>
      <w:r w:rsidR="00EA7B92">
        <w:t>ax/levy</w:t>
      </w:r>
      <w:proofErr w:type="gramEnd"/>
      <w:r w:rsidR="00EA7B92">
        <w:t xml:space="preserve"> obligations</w:t>
      </w:r>
      <w:r>
        <w:t>.</w:t>
      </w:r>
    </w:p>
    <w:p w:rsidR="00EA7B92" w:rsidRDefault="00EA7B92" w:rsidP="00F86C2D"/>
    <w:p w:rsidR="00EA7B92" w:rsidRDefault="00EA7B92" w:rsidP="00F86C2D">
      <w:r>
        <w:t xml:space="preserve">Any funding that the Provider or Person holds that is not accrued for supports delivered or purchased </w:t>
      </w:r>
      <w:r w:rsidR="00F86C2D">
        <w:t>must</w:t>
      </w:r>
      <w:r>
        <w:t xml:space="preserve"> be refunded to the Ministry. This can be done through the regular invoicing process.</w:t>
      </w:r>
    </w:p>
    <w:p w:rsidR="00A24644" w:rsidRDefault="00A24644" w:rsidP="00E4436A">
      <w:pPr>
        <w:pStyle w:val="Heading3"/>
      </w:pPr>
      <w:r>
        <w:t>Complaints</w:t>
      </w:r>
    </w:p>
    <w:p w:rsidR="003A041D" w:rsidRPr="005602F8" w:rsidRDefault="00A24644" w:rsidP="00E66C9D">
      <w:pPr>
        <w:jc w:val="both"/>
      </w:pPr>
      <w:r w:rsidRPr="005602F8">
        <w:t xml:space="preserve">The Provider must develop a complaints process that is aligned to the </w:t>
      </w:r>
      <w:r w:rsidR="0003406D">
        <w:t>EGL</w:t>
      </w:r>
      <w:r w:rsidRPr="005602F8">
        <w:t xml:space="preserve"> Principles. In particular</w:t>
      </w:r>
      <w:r w:rsidR="00B929CD">
        <w:t>,</w:t>
      </w:r>
      <w:r w:rsidRPr="005602F8">
        <w:t xml:space="preserve"> </w:t>
      </w:r>
      <w:r w:rsidR="007C1ED7" w:rsidRPr="005602F8">
        <w:t xml:space="preserve">the complaints process must promote </w:t>
      </w:r>
      <w:r w:rsidRPr="005602F8">
        <w:t xml:space="preserve">self-determination, </w:t>
      </w:r>
      <w:r w:rsidR="007C1ED7" w:rsidRPr="005602F8">
        <w:t xml:space="preserve">remain </w:t>
      </w:r>
      <w:r w:rsidRPr="005602F8">
        <w:t xml:space="preserve">person centred and </w:t>
      </w:r>
      <w:r w:rsidR="007C1ED7" w:rsidRPr="005602F8">
        <w:t xml:space="preserve">be </w:t>
      </w:r>
      <w:proofErr w:type="spellStart"/>
      <w:r w:rsidR="001763EE">
        <w:t>m</w:t>
      </w:r>
      <w:r w:rsidR="001763EE" w:rsidRPr="005602F8">
        <w:t>ana</w:t>
      </w:r>
      <w:proofErr w:type="spellEnd"/>
      <w:r w:rsidR="001763EE" w:rsidRPr="005602F8">
        <w:t xml:space="preserve"> </w:t>
      </w:r>
      <w:r w:rsidRPr="005602F8">
        <w:t>enhancing.</w:t>
      </w:r>
      <w:r w:rsidR="00CA5B01">
        <w:t xml:space="preserve">  </w:t>
      </w:r>
    </w:p>
    <w:p w:rsidR="00FB2270" w:rsidRDefault="00FB2270" w:rsidP="00E4436A">
      <w:pPr>
        <w:pStyle w:val="Heading2"/>
      </w:pPr>
      <w:r>
        <w:t>Other Provider requirements</w:t>
      </w:r>
    </w:p>
    <w:p w:rsidR="00FB2270" w:rsidRDefault="00FB2270" w:rsidP="00E4436A">
      <w:pPr>
        <w:pStyle w:val="Heading3"/>
      </w:pPr>
      <w:r>
        <w:t>Enabling Good Lives Organisational Self Review Tool</w:t>
      </w:r>
    </w:p>
    <w:p w:rsidR="005602F8" w:rsidRDefault="00C0308A" w:rsidP="00E66C9D">
      <w:pPr>
        <w:jc w:val="both"/>
        <w:rPr>
          <w:lang w:eastAsia="ko-KR"/>
        </w:rPr>
      </w:pPr>
      <w:r>
        <w:rPr>
          <w:lang w:eastAsia="ko-KR"/>
        </w:rPr>
        <w:t xml:space="preserve">Flexible Disability Support Providers must use the Enabling Good Lives Organisational Self Review </w:t>
      </w:r>
      <w:r w:rsidR="00B929CD">
        <w:rPr>
          <w:lang w:eastAsia="ko-KR"/>
        </w:rPr>
        <w:t>T</w:t>
      </w:r>
      <w:r>
        <w:rPr>
          <w:lang w:eastAsia="ko-KR"/>
        </w:rPr>
        <w:t>ool</w:t>
      </w:r>
      <w:r w:rsidR="005602F8">
        <w:rPr>
          <w:lang w:eastAsia="ko-KR"/>
        </w:rPr>
        <w:t>.</w:t>
      </w:r>
      <w:r w:rsidR="00CA5B01">
        <w:rPr>
          <w:lang w:eastAsia="ko-KR"/>
        </w:rPr>
        <w:t xml:space="preserve"> </w:t>
      </w:r>
    </w:p>
    <w:p w:rsidR="005602F8" w:rsidRDefault="005602F8" w:rsidP="00E66C9D">
      <w:pPr>
        <w:jc w:val="both"/>
        <w:rPr>
          <w:lang w:eastAsia="ko-KR"/>
        </w:rPr>
      </w:pPr>
      <w:r>
        <w:rPr>
          <w:lang w:eastAsia="ko-KR"/>
        </w:rPr>
        <w:t>The Enabling Good Lives Organisational Self Review process will enable services to identify areas of current strength and areas for development – according to the Enabling Good Lives Principles. As a ‘self review’ process, it is intended to create insight, enable organisations to map a pathway forward, link organisations to relevant guidelines that will assist development and contribute to streamlining external evaluation.</w:t>
      </w:r>
    </w:p>
    <w:p w:rsidR="005602F8" w:rsidRDefault="005602F8" w:rsidP="00E66C9D">
      <w:pPr>
        <w:jc w:val="both"/>
        <w:rPr>
          <w:lang w:eastAsia="ko-KR"/>
        </w:rPr>
      </w:pPr>
      <w:r>
        <w:rPr>
          <w:lang w:eastAsia="ko-KR"/>
        </w:rPr>
        <w:t>The Enabling Good Lives Organisational Self Review is intended as one way for organisations to:</w:t>
      </w:r>
    </w:p>
    <w:p w:rsidR="005602F8" w:rsidRDefault="005602F8" w:rsidP="003377CF">
      <w:pPr>
        <w:pStyle w:val="ListParagraph"/>
        <w:numPr>
          <w:ilvl w:val="0"/>
          <w:numId w:val="16"/>
        </w:numPr>
        <w:spacing w:before="240" w:after="240" w:line="276" w:lineRule="auto"/>
        <w:ind w:left="426"/>
      </w:pPr>
      <w:r>
        <w:t>enable disabled persons, families and support staff to contribute to service development</w:t>
      </w:r>
    </w:p>
    <w:p w:rsidR="005602F8" w:rsidRDefault="005602F8" w:rsidP="003377CF">
      <w:pPr>
        <w:pStyle w:val="ListParagraph"/>
        <w:numPr>
          <w:ilvl w:val="0"/>
          <w:numId w:val="16"/>
        </w:numPr>
        <w:spacing w:before="240" w:after="240" w:line="276" w:lineRule="auto"/>
        <w:ind w:left="426"/>
      </w:pPr>
      <w:r>
        <w:t>determine areas of current strength</w:t>
      </w:r>
    </w:p>
    <w:p w:rsidR="005602F8" w:rsidRDefault="005602F8" w:rsidP="003377CF">
      <w:pPr>
        <w:pStyle w:val="ListParagraph"/>
        <w:numPr>
          <w:ilvl w:val="0"/>
          <w:numId w:val="16"/>
        </w:numPr>
        <w:spacing w:before="240" w:after="240" w:line="276" w:lineRule="auto"/>
        <w:ind w:left="426"/>
      </w:pPr>
      <w:r>
        <w:t>gather the experiences and perspectives of individuals related to how they believe the service is contributing to them creating a good life for themselves</w:t>
      </w:r>
    </w:p>
    <w:p w:rsidR="005602F8" w:rsidRDefault="005602F8" w:rsidP="003377CF">
      <w:pPr>
        <w:pStyle w:val="ListParagraph"/>
        <w:numPr>
          <w:ilvl w:val="0"/>
          <w:numId w:val="16"/>
        </w:numPr>
        <w:spacing w:before="240" w:after="240" w:line="276" w:lineRule="auto"/>
        <w:ind w:left="426"/>
      </w:pPr>
      <w:r>
        <w:t>identify ‘next steps’ for development</w:t>
      </w:r>
    </w:p>
    <w:p w:rsidR="005602F8" w:rsidRDefault="005602F8" w:rsidP="003377CF">
      <w:pPr>
        <w:pStyle w:val="ListParagraph"/>
        <w:numPr>
          <w:ilvl w:val="0"/>
          <w:numId w:val="16"/>
        </w:numPr>
        <w:spacing w:before="240" w:after="240" w:line="276" w:lineRule="auto"/>
        <w:ind w:left="426"/>
      </w:pPr>
      <w:r>
        <w:t>be a framework for organisations to prioritise actions that are intended to assist them become more fully aligned with an EGL based approach</w:t>
      </w:r>
    </w:p>
    <w:p w:rsidR="005602F8" w:rsidRDefault="005602F8" w:rsidP="003377CF">
      <w:pPr>
        <w:pStyle w:val="ListParagraph"/>
        <w:numPr>
          <w:ilvl w:val="0"/>
          <w:numId w:val="16"/>
        </w:numPr>
        <w:spacing w:before="240" w:after="240" w:line="276" w:lineRule="auto"/>
        <w:ind w:left="426"/>
      </w:pPr>
      <w:r>
        <w:t>assist organisations to identify what “guidelines”/resources will be of most value</w:t>
      </w:r>
    </w:p>
    <w:p w:rsidR="005602F8" w:rsidRDefault="005602F8" w:rsidP="003377CF">
      <w:pPr>
        <w:pStyle w:val="ListParagraph"/>
        <w:numPr>
          <w:ilvl w:val="0"/>
          <w:numId w:val="16"/>
        </w:numPr>
        <w:spacing w:before="240" w:after="240" w:line="276" w:lineRule="auto"/>
        <w:ind w:left="426"/>
      </w:pPr>
      <w:proofErr w:type="gramStart"/>
      <w:r>
        <w:lastRenderedPageBreak/>
        <w:t>enable</w:t>
      </w:r>
      <w:proofErr w:type="gramEnd"/>
      <w:r>
        <w:t xml:space="preserve"> the measurement of “change over time”, according to an outcomes approach, directly related to the EGL approach.</w:t>
      </w:r>
    </w:p>
    <w:p w:rsidR="00C670A3" w:rsidRDefault="00C670A3" w:rsidP="00E66C9D">
      <w:pPr>
        <w:spacing w:before="240" w:after="240"/>
        <w:jc w:val="both"/>
      </w:pPr>
      <w:r>
        <w:t xml:space="preserve">When the areas requiring development have been identified, the organisation </w:t>
      </w:r>
      <w:r w:rsidR="000626E8">
        <w:t>will</w:t>
      </w:r>
      <w:r>
        <w:t xml:space="preserve"> discuss with individuals and families how positive change can be made. </w:t>
      </w:r>
      <w:r w:rsidR="003C4870">
        <w:t>An Action Plan will need to be created that responds to these areas that require development.</w:t>
      </w:r>
    </w:p>
    <w:p w:rsidR="00C670A3" w:rsidRDefault="00C670A3" w:rsidP="00E66C9D">
      <w:pPr>
        <w:spacing w:before="240" w:after="240"/>
        <w:jc w:val="both"/>
      </w:pPr>
      <w:r>
        <w:t>Organisations may wish to convene a “working group,” comprised of disabled people, families and key staff, to set some objectives for what changes will be made, how this can happen and how this will be monitored.</w:t>
      </w:r>
    </w:p>
    <w:p w:rsidR="009B11B2" w:rsidRDefault="009B11B2" w:rsidP="00E66C9D">
      <w:pPr>
        <w:spacing w:before="240" w:after="240"/>
        <w:jc w:val="both"/>
      </w:pPr>
      <w:r>
        <w:t xml:space="preserve">The Enabling Good Lives Organisational Self Review Tool can be found on the Enabling Good Lives website at </w:t>
      </w:r>
      <w:hyperlink r:id="rId9" w:history="1">
        <w:r w:rsidRPr="00DD1D7D">
          <w:rPr>
            <w:rStyle w:val="Hyperlink"/>
          </w:rPr>
          <w:t>http://www.enablinggoodlives.co.nz/about-egl/resources/provider-resources/organisational-self-review/</w:t>
        </w:r>
      </w:hyperlink>
    </w:p>
    <w:p w:rsidR="00FB2270" w:rsidRDefault="00FB2270" w:rsidP="00E4436A">
      <w:pPr>
        <w:pStyle w:val="Heading3"/>
      </w:pPr>
      <w:r>
        <w:t>Payments</w:t>
      </w:r>
    </w:p>
    <w:p w:rsidR="0069514C" w:rsidRDefault="002663C6" w:rsidP="00E66C9D">
      <w:pPr>
        <w:jc w:val="both"/>
        <w:rPr>
          <w:lang w:eastAsia="ko-KR"/>
        </w:rPr>
      </w:pPr>
      <w:r>
        <w:rPr>
          <w:lang w:eastAsia="ko-KR"/>
        </w:rPr>
        <w:t xml:space="preserve">The </w:t>
      </w:r>
      <w:r w:rsidR="003D7797">
        <w:rPr>
          <w:lang w:eastAsia="ko-KR"/>
        </w:rPr>
        <w:t xml:space="preserve">amount </w:t>
      </w:r>
      <w:r>
        <w:rPr>
          <w:lang w:eastAsia="ko-KR"/>
        </w:rPr>
        <w:t xml:space="preserve">(or amounts) that the Provider will receive in payment for supporting a Person under a Flexible Disability Support </w:t>
      </w:r>
      <w:r w:rsidR="00C0308A">
        <w:rPr>
          <w:lang w:eastAsia="ko-KR"/>
        </w:rPr>
        <w:t>arrangement</w:t>
      </w:r>
      <w:r>
        <w:rPr>
          <w:lang w:eastAsia="ko-KR"/>
        </w:rPr>
        <w:t xml:space="preserve"> will </w:t>
      </w:r>
      <w:r w:rsidR="003922BB">
        <w:rPr>
          <w:lang w:eastAsia="ko-KR"/>
        </w:rPr>
        <w:t xml:space="preserve">be agreed with the Person and will be </w:t>
      </w:r>
      <w:r w:rsidR="006D310A">
        <w:rPr>
          <w:lang w:eastAsia="ko-KR"/>
        </w:rPr>
        <w:t>deducted</w:t>
      </w:r>
      <w:r w:rsidR="003922BB">
        <w:rPr>
          <w:lang w:eastAsia="ko-KR"/>
        </w:rPr>
        <w:t xml:space="preserve"> from that Person’s Personal Budget</w:t>
      </w:r>
      <w:r w:rsidR="0069514C">
        <w:rPr>
          <w:lang w:eastAsia="ko-KR"/>
        </w:rPr>
        <w:t>.</w:t>
      </w:r>
      <w:r w:rsidR="002D4B52">
        <w:rPr>
          <w:lang w:eastAsia="ko-KR"/>
        </w:rPr>
        <w:t xml:space="preserve"> </w:t>
      </w:r>
    </w:p>
    <w:p w:rsidR="008B6DDF" w:rsidRDefault="008B6DDF" w:rsidP="008B6DDF">
      <w:pPr>
        <w:pStyle w:val="Sub-number"/>
        <w:numPr>
          <w:ilvl w:val="1"/>
          <w:numId w:val="22"/>
        </w:numPr>
        <w:tabs>
          <w:tab w:val="clear" w:pos="567"/>
          <w:tab w:val="num" w:pos="993"/>
        </w:tabs>
        <w:spacing w:after="120"/>
        <w:ind w:hanging="426"/>
        <w:jc w:val="both"/>
        <w:rPr>
          <w:lang w:eastAsia="ko-KR"/>
        </w:rPr>
      </w:pPr>
      <w:r>
        <w:rPr>
          <w:lang w:eastAsia="ko-KR"/>
        </w:rPr>
        <w:t>The amounts charged against the Person’s Personal Budget must be fair and reasonable for the service provided (and subject to the review in clause 9.</w:t>
      </w:r>
      <w:r w:rsidR="00DF35D9">
        <w:rPr>
          <w:lang w:eastAsia="ko-KR"/>
        </w:rPr>
        <w:t>5</w:t>
      </w:r>
      <w:r>
        <w:rPr>
          <w:lang w:eastAsia="ko-KR"/>
        </w:rPr>
        <w:t xml:space="preserve"> below, will be within any limits specified by the Ministry).</w:t>
      </w:r>
    </w:p>
    <w:p w:rsidR="008B6DDF" w:rsidRDefault="008B6DDF" w:rsidP="008B6DDF">
      <w:pPr>
        <w:pStyle w:val="Sub-number"/>
        <w:numPr>
          <w:ilvl w:val="1"/>
          <w:numId w:val="22"/>
        </w:numPr>
        <w:tabs>
          <w:tab w:val="clear" w:pos="567"/>
          <w:tab w:val="num" w:pos="993"/>
        </w:tabs>
        <w:spacing w:after="120"/>
        <w:ind w:hanging="426"/>
        <w:jc w:val="both"/>
        <w:rPr>
          <w:lang w:eastAsia="ko-KR"/>
        </w:rPr>
      </w:pPr>
      <w:r>
        <w:rPr>
          <w:lang w:eastAsia="ko-KR"/>
        </w:rPr>
        <w:t>Payment to be made to the Provider by the Person will be documented and agreed in the Person’s Support Agreement.</w:t>
      </w:r>
    </w:p>
    <w:p w:rsidR="002D4B52" w:rsidRDefault="002D4B52" w:rsidP="00A41070">
      <w:pPr>
        <w:rPr>
          <w:lang w:eastAsia="ko-KR"/>
        </w:rPr>
      </w:pPr>
      <w:r>
        <w:rPr>
          <w:lang w:eastAsia="ko-KR"/>
        </w:rPr>
        <w:t xml:space="preserve">Funding </w:t>
      </w:r>
      <w:r w:rsidR="008B6DDF">
        <w:rPr>
          <w:lang w:eastAsia="ko-KR"/>
        </w:rPr>
        <w:t xml:space="preserve">required from the Personal Budget to pay for Flexible Disability Supports </w:t>
      </w:r>
      <w:r>
        <w:rPr>
          <w:lang w:eastAsia="ko-KR"/>
        </w:rPr>
        <w:t xml:space="preserve">will be invoiced </w:t>
      </w:r>
      <w:r w:rsidR="008B6DDF">
        <w:rPr>
          <w:lang w:eastAsia="ko-KR"/>
        </w:rPr>
        <w:t xml:space="preserve">by the Provider </w:t>
      </w:r>
      <w:r>
        <w:rPr>
          <w:lang w:eastAsia="ko-KR"/>
        </w:rPr>
        <w:t xml:space="preserve">to the Ministry of Health by electronic invoice </w:t>
      </w:r>
      <w:r w:rsidR="00C96BFA">
        <w:rPr>
          <w:lang w:eastAsia="ko-KR"/>
        </w:rPr>
        <w:t>as provided in Appendix 5 of the Outcome Agreement</w:t>
      </w:r>
      <w:r>
        <w:rPr>
          <w:lang w:eastAsia="ko-KR"/>
        </w:rPr>
        <w:t>.</w:t>
      </w:r>
      <w:r w:rsidR="00A41070">
        <w:rPr>
          <w:lang w:eastAsia="ko-KR"/>
        </w:rPr>
        <w:t xml:space="preserve">  </w:t>
      </w:r>
      <w:r w:rsidR="00A41070" w:rsidRPr="00A41070">
        <w:t>The Provider must ensure it verifies th</w:t>
      </w:r>
      <w:r w:rsidR="00A41070">
        <w:t>at</w:t>
      </w:r>
      <w:r w:rsidR="00A41070" w:rsidRPr="00A41070">
        <w:t xml:space="preserve"> delivery of the Flexible Disability Supports </w:t>
      </w:r>
      <w:r w:rsidR="00A41070">
        <w:t xml:space="preserve">has occurred and that the supports are compliant with current Funder policies, </w:t>
      </w:r>
      <w:r w:rsidR="00A41070" w:rsidRPr="00A41070">
        <w:t>prior to invoicing the Ministry for payment.</w:t>
      </w:r>
    </w:p>
    <w:p w:rsidR="00303AC6" w:rsidRDefault="00303AC6" w:rsidP="008B6DDF">
      <w:pPr>
        <w:pStyle w:val="Sub-number"/>
        <w:numPr>
          <w:ilvl w:val="1"/>
          <w:numId w:val="31"/>
        </w:numPr>
        <w:spacing w:after="120"/>
        <w:jc w:val="both"/>
        <w:rPr>
          <w:lang w:eastAsia="ko-KR"/>
        </w:rPr>
      </w:pPr>
      <w:r>
        <w:rPr>
          <w:lang w:eastAsia="ko-KR"/>
        </w:rPr>
        <w:t xml:space="preserve">Payments </w:t>
      </w:r>
      <w:r w:rsidR="003922BB">
        <w:rPr>
          <w:lang w:eastAsia="ko-KR"/>
        </w:rPr>
        <w:t xml:space="preserve">to the Provider </w:t>
      </w:r>
      <w:r>
        <w:rPr>
          <w:lang w:eastAsia="ko-KR"/>
        </w:rPr>
        <w:t xml:space="preserve">will be </w:t>
      </w:r>
      <w:r w:rsidR="00175A53">
        <w:rPr>
          <w:lang w:eastAsia="ko-KR"/>
        </w:rPr>
        <w:t>retrospective</w:t>
      </w:r>
      <w:r>
        <w:rPr>
          <w:lang w:eastAsia="ko-KR"/>
        </w:rPr>
        <w:t xml:space="preserve"> </w:t>
      </w:r>
      <w:r w:rsidR="00A025AB">
        <w:rPr>
          <w:lang w:eastAsia="ko-KR"/>
        </w:rPr>
        <w:t xml:space="preserve">i.e. </w:t>
      </w:r>
      <w:r>
        <w:rPr>
          <w:lang w:eastAsia="ko-KR"/>
        </w:rPr>
        <w:t xml:space="preserve">after the </w:t>
      </w:r>
      <w:r w:rsidR="003D7797">
        <w:rPr>
          <w:lang w:eastAsia="ko-KR"/>
        </w:rPr>
        <w:t xml:space="preserve">support </w:t>
      </w:r>
      <w:r>
        <w:rPr>
          <w:lang w:eastAsia="ko-KR"/>
        </w:rPr>
        <w:t>has been commissioned or purchased</w:t>
      </w:r>
      <w:r w:rsidR="00932C56">
        <w:rPr>
          <w:lang w:eastAsia="ko-KR"/>
        </w:rPr>
        <w:t xml:space="preserve">, unless specifically provided otherwise in this </w:t>
      </w:r>
      <w:r w:rsidR="00C96BFA">
        <w:rPr>
          <w:lang w:eastAsia="ko-KR"/>
        </w:rPr>
        <w:t xml:space="preserve">Service </w:t>
      </w:r>
      <w:r w:rsidR="00932C56">
        <w:rPr>
          <w:lang w:eastAsia="ko-KR"/>
        </w:rPr>
        <w:t>Specification</w:t>
      </w:r>
      <w:r w:rsidR="00175A53">
        <w:rPr>
          <w:lang w:eastAsia="ko-KR"/>
        </w:rPr>
        <w:t>.</w:t>
      </w:r>
    </w:p>
    <w:p w:rsidR="002D4B52" w:rsidRDefault="00011700" w:rsidP="008B6DDF">
      <w:pPr>
        <w:pStyle w:val="Sub-number"/>
        <w:numPr>
          <w:ilvl w:val="1"/>
          <w:numId w:val="31"/>
        </w:numPr>
        <w:spacing w:after="120"/>
        <w:ind w:hanging="426"/>
        <w:jc w:val="both"/>
        <w:rPr>
          <w:lang w:eastAsia="ko-KR"/>
        </w:rPr>
      </w:pPr>
      <w:r>
        <w:rPr>
          <w:lang w:eastAsia="ko-KR"/>
        </w:rPr>
        <w:t>Unused Funding</w:t>
      </w:r>
      <w:r w:rsidR="002D4B52">
        <w:rPr>
          <w:lang w:eastAsia="ko-KR"/>
        </w:rPr>
        <w:t xml:space="preserve"> cannot be saved up for support purchased in a subsequent Personal Budget period.</w:t>
      </w:r>
      <w:r w:rsidR="00250B16">
        <w:rPr>
          <w:lang w:eastAsia="ko-KR"/>
        </w:rPr>
        <w:t xml:space="preserve">  At the end of a Personal Budget period any unexpended funding will lapse.</w:t>
      </w:r>
    </w:p>
    <w:p w:rsidR="00DF35D9" w:rsidRDefault="00DF35D9" w:rsidP="00DF35D9">
      <w:pPr>
        <w:pStyle w:val="Heading3"/>
        <w:ind w:left="709" w:hanging="709"/>
      </w:pPr>
      <w:r>
        <w:t>Audit</w:t>
      </w:r>
    </w:p>
    <w:p w:rsidR="00DF35D9" w:rsidRDefault="00DF35D9" w:rsidP="00DF35D9">
      <w:pPr>
        <w:jc w:val="both"/>
        <w:rPr>
          <w:lang w:eastAsia="ko-KR"/>
        </w:rPr>
      </w:pPr>
      <w:r>
        <w:rPr>
          <w:lang w:eastAsia="ko-KR"/>
        </w:rPr>
        <w:t>The Purchasing Agency may conduct regular Quality Audits of the Providers activities under this Agreement, in accordance with the provisions of Annex B of the Outcome Agreement.</w:t>
      </w:r>
    </w:p>
    <w:p w:rsidR="00DF35D9" w:rsidRDefault="00DF35D9" w:rsidP="00DF35D9">
      <w:pPr>
        <w:pStyle w:val="Sub-number"/>
        <w:numPr>
          <w:ilvl w:val="1"/>
          <w:numId w:val="36"/>
        </w:numPr>
        <w:spacing w:after="120"/>
        <w:jc w:val="both"/>
        <w:rPr>
          <w:lang w:eastAsia="ko-KR"/>
        </w:rPr>
      </w:pPr>
      <w:r>
        <w:rPr>
          <w:lang w:eastAsia="ko-KR"/>
        </w:rPr>
        <w:lastRenderedPageBreak/>
        <w:t>A Quality Audit may relate to the Flexible Disability Supports provided in respect of a single Person (Single Person Quality Audit), or to the general practices of the Provider under this Agreement and not limited to the services provided a specific Person (a General Quality Audit).</w:t>
      </w:r>
    </w:p>
    <w:p w:rsidR="00DF35D9" w:rsidRDefault="00DF35D9" w:rsidP="00DF35D9">
      <w:pPr>
        <w:pStyle w:val="Sub-number"/>
        <w:numPr>
          <w:ilvl w:val="1"/>
          <w:numId w:val="36"/>
        </w:numPr>
        <w:spacing w:after="120"/>
        <w:jc w:val="both"/>
        <w:rPr>
          <w:lang w:eastAsia="ko-KR"/>
        </w:rPr>
      </w:pPr>
      <w:r>
        <w:rPr>
          <w:lang w:eastAsia="ko-KR"/>
        </w:rPr>
        <w:t>A General Quality Audit would not normally occur more than once a year, but multiple Single Person Quality Audits may occur in any year.</w:t>
      </w:r>
    </w:p>
    <w:p w:rsidR="00DF35D9" w:rsidRDefault="00DF35D9" w:rsidP="00DF35D9">
      <w:pPr>
        <w:pStyle w:val="Sub-number"/>
        <w:numPr>
          <w:ilvl w:val="1"/>
          <w:numId w:val="36"/>
        </w:numPr>
        <w:spacing w:after="120"/>
        <w:jc w:val="both"/>
        <w:rPr>
          <w:lang w:eastAsia="ko-KR"/>
        </w:rPr>
      </w:pPr>
      <w:r>
        <w:rPr>
          <w:lang w:eastAsia="ko-KR"/>
        </w:rPr>
        <w:t>The parties will work together to minimise any inconvenience to the Provider in timing of the Quality Audits.</w:t>
      </w:r>
    </w:p>
    <w:p w:rsidR="00DF35D9" w:rsidRDefault="00DF35D9" w:rsidP="00DF35D9">
      <w:pPr>
        <w:jc w:val="both"/>
        <w:rPr>
          <w:lang w:eastAsia="ko-KR"/>
        </w:rPr>
      </w:pPr>
      <w:r>
        <w:rPr>
          <w:lang w:eastAsia="ko-KR"/>
        </w:rPr>
        <w:t>The Provider must immediately notify the Purchasing Agency in writing of any significant risk such as potential fraud, inappropriate use of Flexible Disability Support Funding and safety risk to a Person.</w:t>
      </w:r>
    </w:p>
    <w:p w:rsidR="00DF35D9" w:rsidRDefault="00DF35D9" w:rsidP="00DF35D9">
      <w:pPr>
        <w:pStyle w:val="Heading3"/>
        <w:ind w:left="709" w:hanging="709"/>
      </w:pPr>
      <w:r>
        <w:t>Accountability of Provider</w:t>
      </w:r>
    </w:p>
    <w:p w:rsidR="00DF35D9" w:rsidRDefault="00DF35D9" w:rsidP="00DF35D9">
      <w:pPr>
        <w:jc w:val="both"/>
        <w:rPr>
          <w:lang w:eastAsia="ko-KR"/>
        </w:rPr>
      </w:pPr>
      <w:r>
        <w:rPr>
          <w:lang w:eastAsia="ko-KR"/>
        </w:rPr>
        <w:t>Where an overpayment has been made, or funding has not been used for the purposes it was provided for, including where Flexible Disability Supports were not delivered as claimed, or not delivered in accordance with the requirements of this Service Specification, the Provider must ensure that it repays any such overpayment to the Ministry.</w:t>
      </w:r>
      <w:r w:rsidR="005667B9">
        <w:rPr>
          <w:lang w:eastAsia="ko-KR"/>
        </w:rPr>
        <w:t xml:space="preserve">  If the overpayment is due to fraud by a Person, and the Provider could not reasonably have discovered that when conducting its payment verification activities the Payment Agency may decide not to recover the overpayment from the Provider but the Provider must take all reasonable steps to recover the funds from the Person.</w:t>
      </w:r>
    </w:p>
    <w:p w:rsidR="00DF35D9" w:rsidRPr="008C3104" w:rsidRDefault="00DF35D9" w:rsidP="00DF35D9">
      <w:pPr>
        <w:jc w:val="both"/>
        <w:rPr>
          <w:lang w:eastAsia="ko-KR"/>
        </w:rPr>
      </w:pPr>
      <w:r>
        <w:rPr>
          <w:lang w:eastAsia="ko-KR"/>
        </w:rPr>
        <w:t xml:space="preserve">The Provider </w:t>
      </w:r>
      <w:r w:rsidR="003872B1">
        <w:rPr>
          <w:lang w:eastAsia="ko-KR"/>
        </w:rPr>
        <w:t xml:space="preserve">will </w:t>
      </w:r>
      <w:r>
        <w:rPr>
          <w:lang w:eastAsia="ko-KR"/>
        </w:rPr>
        <w:t xml:space="preserve">take steps to recover the </w:t>
      </w:r>
      <w:r w:rsidR="003872B1">
        <w:rPr>
          <w:lang w:eastAsia="ko-KR"/>
        </w:rPr>
        <w:t xml:space="preserve">overpaid </w:t>
      </w:r>
      <w:r>
        <w:rPr>
          <w:lang w:eastAsia="ko-KR"/>
        </w:rPr>
        <w:t>funds from the Person.  This may include reduction of Flexible Disability Services to the Person, calculated against the total future Personal Budget to the amount equivalent to the wrongly applied funding, or the Person may repay the amount in monetary equivalent.  Other consequences may also follow for the Person, including but not limited to a greater level of management removing some of the choice otherwise available to the Person.</w:t>
      </w:r>
    </w:p>
    <w:p w:rsidR="00C0308A" w:rsidRDefault="00303AC6" w:rsidP="00E4436A">
      <w:pPr>
        <w:pStyle w:val="Heading3"/>
      </w:pPr>
      <w:r>
        <w:t xml:space="preserve">Review of </w:t>
      </w:r>
      <w:r w:rsidR="003D7797">
        <w:t>Provider</w:t>
      </w:r>
      <w:r>
        <w:t xml:space="preserve"> Fees</w:t>
      </w:r>
    </w:p>
    <w:p w:rsidR="00303AC6" w:rsidRDefault="00303AC6" w:rsidP="00E66C9D">
      <w:pPr>
        <w:jc w:val="both"/>
        <w:rPr>
          <w:lang w:eastAsia="ko-KR"/>
        </w:rPr>
      </w:pPr>
      <w:r>
        <w:rPr>
          <w:lang w:eastAsia="ko-KR"/>
        </w:rPr>
        <w:t xml:space="preserve">The Ministry is planning to </w:t>
      </w:r>
      <w:r w:rsidR="00943419">
        <w:rPr>
          <w:lang w:eastAsia="ko-KR"/>
        </w:rPr>
        <w:t xml:space="preserve">undertake </w:t>
      </w:r>
      <w:r>
        <w:rPr>
          <w:lang w:eastAsia="ko-KR"/>
        </w:rPr>
        <w:t xml:space="preserve">an </w:t>
      </w:r>
      <w:r w:rsidR="008C3104">
        <w:rPr>
          <w:lang w:eastAsia="ko-KR"/>
        </w:rPr>
        <w:t>extern</w:t>
      </w:r>
      <w:r>
        <w:rPr>
          <w:lang w:eastAsia="ko-KR"/>
        </w:rPr>
        <w:t xml:space="preserve">al </w:t>
      </w:r>
      <w:r w:rsidR="008C3104">
        <w:rPr>
          <w:lang w:eastAsia="ko-KR"/>
        </w:rPr>
        <w:t>review</w:t>
      </w:r>
      <w:r>
        <w:rPr>
          <w:lang w:eastAsia="ko-KR"/>
        </w:rPr>
        <w:t xml:space="preserve"> of </w:t>
      </w:r>
      <w:r w:rsidR="003D7797">
        <w:rPr>
          <w:lang w:eastAsia="ko-KR"/>
        </w:rPr>
        <w:t>t</w:t>
      </w:r>
      <w:r>
        <w:rPr>
          <w:lang w:eastAsia="ko-KR"/>
        </w:rPr>
        <w:t>he Hosted Funding Framework.</w:t>
      </w:r>
    </w:p>
    <w:p w:rsidR="00303AC6" w:rsidRDefault="00303AC6" w:rsidP="00E66C9D">
      <w:pPr>
        <w:jc w:val="both"/>
        <w:rPr>
          <w:lang w:eastAsia="ko-KR"/>
        </w:rPr>
      </w:pPr>
      <w:r>
        <w:rPr>
          <w:lang w:eastAsia="ko-KR"/>
        </w:rPr>
        <w:t>This review will provi</w:t>
      </w:r>
      <w:r w:rsidR="008C3104">
        <w:rPr>
          <w:lang w:eastAsia="ko-KR"/>
        </w:rPr>
        <w:t>d</w:t>
      </w:r>
      <w:r>
        <w:rPr>
          <w:lang w:eastAsia="ko-KR"/>
        </w:rPr>
        <w:t xml:space="preserve">e advice on how much a </w:t>
      </w:r>
      <w:r w:rsidR="003D7797">
        <w:rPr>
          <w:lang w:eastAsia="ko-KR"/>
        </w:rPr>
        <w:t>Provider</w:t>
      </w:r>
      <w:r>
        <w:rPr>
          <w:lang w:eastAsia="ko-KR"/>
        </w:rPr>
        <w:t xml:space="preserve"> should charge </w:t>
      </w:r>
      <w:r w:rsidR="00EB5B23">
        <w:rPr>
          <w:lang w:eastAsia="ko-KR"/>
        </w:rPr>
        <w:t xml:space="preserve">a </w:t>
      </w:r>
      <w:r w:rsidR="00E86C9B">
        <w:rPr>
          <w:lang w:eastAsia="ko-KR"/>
        </w:rPr>
        <w:t>Person (</w:t>
      </w:r>
      <w:r>
        <w:rPr>
          <w:lang w:eastAsia="ko-KR"/>
        </w:rPr>
        <w:t xml:space="preserve">from </w:t>
      </w:r>
      <w:r w:rsidR="00EB5B23">
        <w:rPr>
          <w:lang w:eastAsia="ko-KR"/>
        </w:rPr>
        <w:t>their</w:t>
      </w:r>
      <w:r>
        <w:rPr>
          <w:lang w:eastAsia="ko-KR"/>
        </w:rPr>
        <w:t xml:space="preserve"> Personal Budget</w:t>
      </w:r>
      <w:r w:rsidR="00EB5B23">
        <w:rPr>
          <w:lang w:eastAsia="ko-KR"/>
        </w:rPr>
        <w:t>)</w:t>
      </w:r>
      <w:r>
        <w:rPr>
          <w:lang w:eastAsia="ko-KR"/>
        </w:rPr>
        <w:t xml:space="preserve"> </w:t>
      </w:r>
      <w:r w:rsidR="009B11B2">
        <w:rPr>
          <w:lang w:eastAsia="ko-KR"/>
        </w:rPr>
        <w:t xml:space="preserve">where the Provider is administering direct fundholding. </w:t>
      </w:r>
    </w:p>
    <w:p w:rsidR="008C3104" w:rsidRDefault="008C3104" w:rsidP="00E66C9D">
      <w:pPr>
        <w:jc w:val="both"/>
        <w:rPr>
          <w:lang w:eastAsia="ko-KR"/>
        </w:rPr>
      </w:pPr>
      <w:r>
        <w:rPr>
          <w:lang w:eastAsia="ko-KR"/>
        </w:rPr>
        <w:t>The Minist</w:t>
      </w:r>
      <w:r w:rsidR="004115A8">
        <w:rPr>
          <w:lang w:eastAsia="ko-KR"/>
        </w:rPr>
        <w:t>r</w:t>
      </w:r>
      <w:r>
        <w:rPr>
          <w:lang w:eastAsia="ko-KR"/>
        </w:rPr>
        <w:t xml:space="preserve">y will review the Flexible Disability Support </w:t>
      </w:r>
      <w:r w:rsidR="00D410B4">
        <w:rPr>
          <w:lang w:eastAsia="ko-KR"/>
        </w:rPr>
        <w:t>Service S</w:t>
      </w:r>
      <w:r>
        <w:rPr>
          <w:lang w:eastAsia="ko-KR"/>
        </w:rPr>
        <w:t xml:space="preserve">pecification once the review of the Host Funding Framework has been </w:t>
      </w:r>
      <w:r w:rsidR="005602F8">
        <w:rPr>
          <w:lang w:eastAsia="ko-KR"/>
        </w:rPr>
        <w:t>completed</w:t>
      </w:r>
      <w:r>
        <w:rPr>
          <w:lang w:eastAsia="ko-KR"/>
        </w:rPr>
        <w:t>.</w:t>
      </w:r>
    </w:p>
    <w:p w:rsidR="00365C66" w:rsidRDefault="00365C66" w:rsidP="00E66C9D">
      <w:pPr>
        <w:jc w:val="both"/>
        <w:rPr>
          <w:lang w:eastAsia="ko-KR"/>
        </w:rPr>
      </w:pPr>
    </w:p>
    <w:p w:rsidR="00365C66" w:rsidRDefault="00365C66" w:rsidP="00E66C9D">
      <w:pPr>
        <w:jc w:val="both"/>
        <w:rPr>
          <w:lang w:eastAsia="ko-KR"/>
        </w:rPr>
      </w:pPr>
    </w:p>
    <w:p w:rsidR="008C3104" w:rsidRDefault="008C3104" w:rsidP="00CD4389">
      <w:pPr>
        <w:pStyle w:val="Heading3"/>
        <w:ind w:left="709" w:hanging="709"/>
      </w:pPr>
      <w:r>
        <w:lastRenderedPageBreak/>
        <w:t>Evaluation</w:t>
      </w:r>
    </w:p>
    <w:p w:rsidR="008C3104" w:rsidRDefault="008C3104" w:rsidP="00E66C9D">
      <w:pPr>
        <w:jc w:val="both"/>
        <w:rPr>
          <w:lang w:eastAsia="ko-KR"/>
        </w:rPr>
      </w:pPr>
      <w:r>
        <w:rPr>
          <w:lang w:eastAsia="ko-KR"/>
        </w:rPr>
        <w:t xml:space="preserve">The Provider will be expected to </w:t>
      </w:r>
      <w:r w:rsidR="004115A8">
        <w:rPr>
          <w:lang w:eastAsia="ko-KR"/>
        </w:rPr>
        <w:t xml:space="preserve">participate in the ongoing </w:t>
      </w:r>
      <w:r w:rsidR="0003406D">
        <w:rPr>
          <w:lang w:eastAsia="ko-KR"/>
        </w:rPr>
        <w:t xml:space="preserve">developmental evaluation </w:t>
      </w:r>
      <w:r w:rsidR="004115A8">
        <w:rPr>
          <w:lang w:eastAsia="ko-KR"/>
        </w:rPr>
        <w:t>of the Demonstration.</w:t>
      </w:r>
    </w:p>
    <w:p w:rsidR="002E2465" w:rsidRPr="00BD0A88" w:rsidRDefault="002E2465" w:rsidP="00E4436A">
      <w:pPr>
        <w:pStyle w:val="Heading2"/>
      </w:pPr>
      <w:r w:rsidRPr="00BD0A88">
        <w:t>Guidelines/Policies/Legislation</w:t>
      </w:r>
    </w:p>
    <w:p w:rsidR="008632B3" w:rsidRPr="00BD0A88" w:rsidRDefault="008632B3" w:rsidP="00E66C9D">
      <w:pPr>
        <w:pStyle w:val="Number"/>
        <w:numPr>
          <w:ilvl w:val="0"/>
          <w:numId w:val="0"/>
        </w:numPr>
        <w:spacing w:before="0"/>
        <w:jc w:val="both"/>
        <w:rPr>
          <w:rFonts w:cs="Arial"/>
          <w:szCs w:val="24"/>
        </w:rPr>
      </w:pPr>
      <w:r w:rsidRPr="00BD0A88">
        <w:rPr>
          <w:rFonts w:cs="Arial"/>
          <w:szCs w:val="24"/>
        </w:rPr>
        <w:t xml:space="preserve">The Service Provider must provide </w:t>
      </w:r>
      <w:r w:rsidR="009B11B2">
        <w:rPr>
          <w:rFonts w:cs="Arial"/>
          <w:szCs w:val="24"/>
        </w:rPr>
        <w:t>Flexible Disability Supports</w:t>
      </w:r>
      <w:r w:rsidR="009B11B2" w:rsidRPr="00BD0A88">
        <w:rPr>
          <w:rFonts w:cs="Arial"/>
          <w:szCs w:val="24"/>
        </w:rPr>
        <w:t xml:space="preserve"> </w:t>
      </w:r>
      <w:r w:rsidRPr="00BD0A88">
        <w:rPr>
          <w:rFonts w:cs="Arial"/>
          <w:szCs w:val="24"/>
        </w:rPr>
        <w:t>in accordance with:</w:t>
      </w:r>
    </w:p>
    <w:p w:rsidR="008632B3" w:rsidRPr="00BD0A88" w:rsidRDefault="008632B3" w:rsidP="00E33B7E">
      <w:pPr>
        <w:pStyle w:val="Sub-number"/>
        <w:numPr>
          <w:ilvl w:val="1"/>
          <w:numId w:val="28"/>
        </w:numPr>
        <w:spacing w:after="120"/>
        <w:jc w:val="both"/>
        <w:rPr>
          <w:rFonts w:cs="Arial"/>
          <w:szCs w:val="24"/>
          <w:lang w:eastAsia="ko-KR"/>
        </w:rPr>
      </w:pPr>
      <w:r w:rsidRPr="00BD0A88">
        <w:rPr>
          <w:rFonts w:cs="Arial"/>
          <w:szCs w:val="24"/>
          <w:lang w:eastAsia="ko-KR"/>
        </w:rPr>
        <w:t>The Code of Health and Disability Services Consumers’ Rights 1996</w:t>
      </w:r>
    </w:p>
    <w:p w:rsidR="008632B3" w:rsidRPr="00BD0A88" w:rsidRDefault="008632B3" w:rsidP="00E33B7E">
      <w:pPr>
        <w:pStyle w:val="Sub-number"/>
        <w:numPr>
          <w:ilvl w:val="1"/>
          <w:numId w:val="28"/>
        </w:numPr>
        <w:spacing w:after="120"/>
        <w:ind w:hanging="426"/>
        <w:jc w:val="both"/>
        <w:rPr>
          <w:rFonts w:cs="Arial"/>
          <w:szCs w:val="24"/>
          <w:lang w:eastAsia="ko-KR"/>
        </w:rPr>
      </w:pPr>
      <w:r w:rsidRPr="00BD0A88">
        <w:rPr>
          <w:rFonts w:cs="Arial"/>
          <w:szCs w:val="24"/>
          <w:lang w:eastAsia="ko-KR"/>
        </w:rPr>
        <w:t>The Health Act 1956</w:t>
      </w:r>
    </w:p>
    <w:p w:rsidR="008632B3" w:rsidRPr="00BD0A88" w:rsidRDefault="008632B3" w:rsidP="00E33B7E">
      <w:pPr>
        <w:pStyle w:val="Sub-number"/>
        <w:numPr>
          <w:ilvl w:val="1"/>
          <w:numId w:val="28"/>
        </w:numPr>
        <w:spacing w:after="120"/>
        <w:ind w:hanging="426"/>
        <w:jc w:val="both"/>
        <w:rPr>
          <w:rFonts w:cs="Arial"/>
          <w:szCs w:val="24"/>
          <w:lang w:eastAsia="ko-KR"/>
        </w:rPr>
      </w:pPr>
      <w:r w:rsidRPr="00BD0A88">
        <w:rPr>
          <w:rFonts w:cs="Arial"/>
          <w:szCs w:val="24"/>
          <w:lang w:eastAsia="ko-KR"/>
        </w:rPr>
        <w:t>The Health Information Privacy Code 1994</w:t>
      </w:r>
    </w:p>
    <w:p w:rsidR="008632B3" w:rsidRPr="00BD0A88" w:rsidRDefault="008632B3" w:rsidP="00E33B7E">
      <w:pPr>
        <w:pStyle w:val="Sub-number"/>
        <w:numPr>
          <w:ilvl w:val="1"/>
          <w:numId w:val="28"/>
        </w:numPr>
        <w:spacing w:after="120"/>
        <w:ind w:hanging="426"/>
        <w:jc w:val="both"/>
        <w:rPr>
          <w:rFonts w:cs="Arial"/>
          <w:szCs w:val="24"/>
          <w:lang w:eastAsia="ko-KR"/>
        </w:rPr>
      </w:pPr>
      <w:r w:rsidRPr="00BD0A88">
        <w:rPr>
          <w:rFonts w:cs="Arial"/>
          <w:szCs w:val="24"/>
          <w:lang w:eastAsia="ko-KR"/>
        </w:rPr>
        <w:t xml:space="preserve">The New Zealand Disability Strategy 2001 </w:t>
      </w:r>
    </w:p>
    <w:p w:rsidR="008632B3" w:rsidRDefault="008632B3" w:rsidP="00E33B7E">
      <w:pPr>
        <w:pStyle w:val="Sub-number"/>
        <w:numPr>
          <w:ilvl w:val="1"/>
          <w:numId w:val="28"/>
        </w:numPr>
        <w:spacing w:after="120"/>
        <w:ind w:hanging="426"/>
        <w:jc w:val="both"/>
        <w:rPr>
          <w:rFonts w:cs="Arial"/>
          <w:szCs w:val="24"/>
          <w:lang w:eastAsia="ko-KR"/>
        </w:rPr>
      </w:pPr>
      <w:r w:rsidRPr="00BD0A88">
        <w:rPr>
          <w:rFonts w:cs="Arial"/>
          <w:szCs w:val="24"/>
          <w:lang w:eastAsia="ko-KR"/>
        </w:rPr>
        <w:t>Health Practitioners Competence Assurance Act 2003</w:t>
      </w:r>
    </w:p>
    <w:p w:rsidR="009B11B2" w:rsidRPr="00BD0A88" w:rsidRDefault="009B11B2" w:rsidP="00E33B7E">
      <w:pPr>
        <w:pStyle w:val="Sub-number"/>
        <w:numPr>
          <w:ilvl w:val="1"/>
          <w:numId w:val="28"/>
        </w:numPr>
        <w:spacing w:after="120"/>
        <w:ind w:hanging="426"/>
        <w:jc w:val="both"/>
        <w:rPr>
          <w:rFonts w:cs="Arial"/>
          <w:szCs w:val="24"/>
          <w:lang w:eastAsia="ko-KR"/>
        </w:rPr>
      </w:pPr>
      <w:r>
        <w:rPr>
          <w:rFonts w:cs="Arial"/>
          <w:szCs w:val="24"/>
          <w:lang w:eastAsia="ko-KR"/>
        </w:rPr>
        <w:t>Ministry of Health Policy</w:t>
      </w:r>
      <w:r w:rsidR="00D141A0">
        <w:rPr>
          <w:rFonts w:cs="Arial"/>
          <w:szCs w:val="24"/>
          <w:lang w:eastAsia="ko-KR"/>
        </w:rPr>
        <w:t>, as issued by the Ministry from time to time</w:t>
      </w:r>
    </w:p>
    <w:p w:rsidR="008632B3" w:rsidRPr="00BD0A88" w:rsidRDefault="008E08B9" w:rsidP="00E33B7E">
      <w:pPr>
        <w:pStyle w:val="Sub-number"/>
        <w:numPr>
          <w:ilvl w:val="1"/>
          <w:numId w:val="28"/>
        </w:numPr>
        <w:spacing w:after="240"/>
        <w:ind w:hanging="426"/>
        <w:jc w:val="both"/>
        <w:rPr>
          <w:rFonts w:cs="Arial"/>
          <w:szCs w:val="24"/>
          <w:lang w:eastAsia="ko-KR"/>
        </w:rPr>
      </w:pPr>
      <w:proofErr w:type="gramStart"/>
      <w:r>
        <w:rPr>
          <w:rFonts w:cs="Arial"/>
          <w:szCs w:val="24"/>
          <w:lang w:eastAsia="ko-KR"/>
        </w:rPr>
        <w:t>a</w:t>
      </w:r>
      <w:r w:rsidRPr="00BD0A88">
        <w:rPr>
          <w:rFonts w:cs="Arial"/>
          <w:szCs w:val="24"/>
          <w:lang w:eastAsia="ko-KR"/>
        </w:rPr>
        <w:t>ll</w:t>
      </w:r>
      <w:proofErr w:type="gramEnd"/>
      <w:r w:rsidRPr="00BD0A88">
        <w:rPr>
          <w:rFonts w:cs="Arial"/>
          <w:szCs w:val="24"/>
          <w:lang w:eastAsia="ko-KR"/>
        </w:rPr>
        <w:t xml:space="preserve"> </w:t>
      </w:r>
      <w:r w:rsidR="008632B3" w:rsidRPr="00BD0A88">
        <w:rPr>
          <w:rFonts w:cs="Arial"/>
          <w:szCs w:val="24"/>
          <w:lang w:eastAsia="ko-KR"/>
        </w:rPr>
        <w:t>other relevant law relating to employment, health and safety, privacy.</w:t>
      </w:r>
    </w:p>
    <w:p w:rsidR="00A50AB9" w:rsidRDefault="00A50AB9" w:rsidP="00E66C9D">
      <w:pPr>
        <w:jc w:val="both"/>
        <w:rPr>
          <w:rStyle w:val="Hyperlink"/>
          <w:rFonts w:cs="Arial"/>
          <w:szCs w:val="24"/>
        </w:rPr>
      </w:pPr>
      <w:r w:rsidRPr="00BD0A88">
        <w:rPr>
          <w:rFonts w:cs="Arial"/>
          <w:szCs w:val="24"/>
        </w:rPr>
        <w:t>Providers are encouraged to make use of the Let's Get Real</w:t>
      </w:r>
      <w:r w:rsidRPr="00BD0A88">
        <w:rPr>
          <w:rFonts w:cs="Arial"/>
          <w:i/>
          <w:iCs/>
          <w:szCs w:val="24"/>
        </w:rPr>
        <w:t xml:space="preserve"> </w:t>
      </w:r>
      <w:r w:rsidRPr="00BD0A88">
        <w:rPr>
          <w:rFonts w:cs="Arial"/>
          <w:iCs/>
          <w:szCs w:val="24"/>
        </w:rPr>
        <w:t>Disability</w:t>
      </w:r>
      <w:r w:rsidRPr="00BD0A88">
        <w:rPr>
          <w:rFonts w:cs="Arial"/>
          <w:szCs w:val="24"/>
        </w:rPr>
        <w:t xml:space="preserve"> Framework: </w:t>
      </w:r>
      <w:hyperlink r:id="rId10" w:history="1">
        <w:r w:rsidRPr="00BD0A88">
          <w:rPr>
            <w:rStyle w:val="Hyperlink"/>
            <w:rFonts w:cs="Arial"/>
            <w:szCs w:val="24"/>
          </w:rPr>
          <w:t>http://www.tepou.co.nz/library/tepou/lets-get-real-disability</w:t>
        </w:r>
      </w:hyperlink>
    </w:p>
    <w:p w:rsidR="002007BD" w:rsidRPr="00A025AB" w:rsidRDefault="00187DB0" w:rsidP="00E66C9D">
      <w:pPr>
        <w:jc w:val="both"/>
      </w:pPr>
      <w:r w:rsidRPr="00A025AB">
        <w:rPr>
          <w:rStyle w:val="Hyperlink"/>
          <w:rFonts w:cs="Arial"/>
          <w:color w:val="auto"/>
          <w:szCs w:val="24"/>
          <w:u w:val="none"/>
        </w:rPr>
        <w:t>Guidelines may be co-developed as part of the Enabling Good Lives Demonstration</w:t>
      </w:r>
      <w:r w:rsidR="003922BB">
        <w:rPr>
          <w:rStyle w:val="Hyperlink"/>
          <w:rFonts w:cs="Arial"/>
          <w:color w:val="auto"/>
          <w:szCs w:val="24"/>
          <w:u w:val="none"/>
        </w:rPr>
        <w:t xml:space="preserve">.  These Guidelines </w:t>
      </w:r>
      <w:r w:rsidR="008E08B9">
        <w:rPr>
          <w:rStyle w:val="Hyperlink"/>
          <w:rFonts w:cs="Arial"/>
          <w:color w:val="auto"/>
          <w:szCs w:val="24"/>
          <w:u w:val="none"/>
        </w:rPr>
        <w:t xml:space="preserve">will </w:t>
      </w:r>
      <w:r w:rsidRPr="00A025AB">
        <w:rPr>
          <w:rStyle w:val="Hyperlink"/>
          <w:rFonts w:cs="Arial"/>
          <w:color w:val="auto"/>
          <w:szCs w:val="24"/>
          <w:u w:val="none"/>
        </w:rPr>
        <w:t xml:space="preserve">identify processes and policies </w:t>
      </w:r>
      <w:r w:rsidR="00A41070">
        <w:rPr>
          <w:rStyle w:val="Hyperlink"/>
          <w:rFonts w:cs="Arial"/>
          <w:color w:val="auto"/>
          <w:szCs w:val="24"/>
          <w:u w:val="none"/>
        </w:rPr>
        <w:t xml:space="preserve">and will be </w:t>
      </w:r>
      <w:r w:rsidRPr="00A025AB">
        <w:rPr>
          <w:rStyle w:val="Hyperlink"/>
          <w:rFonts w:cs="Arial"/>
          <w:color w:val="auto"/>
          <w:szCs w:val="24"/>
          <w:u w:val="none"/>
        </w:rPr>
        <w:t xml:space="preserve">adhered to </w:t>
      </w:r>
      <w:r w:rsidR="003922BB">
        <w:rPr>
          <w:rStyle w:val="Hyperlink"/>
          <w:rFonts w:cs="Arial"/>
          <w:color w:val="auto"/>
          <w:szCs w:val="24"/>
          <w:u w:val="none"/>
        </w:rPr>
        <w:t xml:space="preserve">by the Provider </w:t>
      </w:r>
      <w:r w:rsidRPr="00A025AB">
        <w:rPr>
          <w:rStyle w:val="Hyperlink"/>
          <w:rFonts w:cs="Arial"/>
          <w:color w:val="auto"/>
          <w:szCs w:val="24"/>
          <w:u w:val="none"/>
        </w:rPr>
        <w:t>when delivering Flexible Disability Supports.</w:t>
      </w:r>
    </w:p>
    <w:p w:rsidR="00E611B3" w:rsidRPr="00BD0A88" w:rsidRDefault="00E611B3" w:rsidP="00E4436A">
      <w:pPr>
        <w:pStyle w:val="Heading2"/>
      </w:pPr>
      <w:r w:rsidRPr="00BD0A88">
        <w:t xml:space="preserve">Purchase Units </w:t>
      </w:r>
    </w:p>
    <w:p w:rsidR="00E611B3" w:rsidRPr="00BD0A88" w:rsidRDefault="00E611B3" w:rsidP="00E66C9D">
      <w:pPr>
        <w:jc w:val="both"/>
        <w:rPr>
          <w:lang w:val="en-US"/>
        </w:rPr>
      </w:pPr>
      <w:r w:rsidRPr="00BD0A88">
        <w:rPr>
          <w:lang w:val="en-US"/>
        </w:rPr>
        <w:t xml:space="preserve">Purchase Units are defined in </w:t>
      </w:r>
      <w:r w:rsidR="008C7FF7" w:rsidRPr="00BD0A88">
        <w:rPr>
          <w:lang w:val="en-US"/>
        </w:rPr>
        <w:t xml:space="preserve">the </w:t>
      </w:r>
      <w:r w:rsidRPr="00BD0A88">
        <w:rPr>
          <w:lang w:val="en-US"/>
        </w:rPr>
        <w:t xml:space="preserve">Ministry of Health’s Nationwide Service Framework Purchase Unit Data Dictionary. The following table is a summary list of the </w:t>
      </w:r>
      <w:r w:rsidR="002007BD">
        <w:rPr>
          <w:lang w:val="en-US"/>
        </w:rPr>
        <w:t>T</w:t>
      </w:r>
      <w:r w:rsidRPr="00BD0A88">
        <w:rPr>
          <w:lang w:val="en-US"/>
        </w:rPr>
        <w:t xml:space="preserve">ier </w:t>
      </w:r>
      <w:r w:rsidR="002007BD">
        <w:rPr>
          <w:lang w:val="en-US"/>
        </w:rPr>
        <w:t>T</w:t>
      </w:r>
      <w:r w:rsidRPr="00BD0A88">
        <w:rPr>
          <w:lang w:val="en-US"/>
        </w:rPr>
        <w:t xml:space="preserve">wo </w:t>
      </w:r>
      <w:r w:rsidR="00077AC5">
        <w:rPr>
          <w:lang w:val="en-US"/>
        </w:rPr>
        <w:t>Flexible Disability Support</w:t>
      </w:r>
      <w:r w:rsidR="0052292F" w:rsidRPr="00BD0A88">
        <w:rPr>
          <w:lang w:val="en-US"/>
        </w:rPr>
        <w:t xml:space="preserve"> </w:t>
      </w:r>
      <w:r w:rsidR="00193A4E" w:rsidRPr="00BD0A88">
        <w:rPr>
          <w:lang w:val="en-US"/>
        </w:rPr>
        <w:t>Purchase Unit Codes associated with this Service.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1548"/>
        <w:gridCol w:w="2388"/>
        <w:gridCol w:w="1392"/>
        <w:gridCol w:w="3780"/>
      </w:tblGrid>
      <w:tr w:rsidR="00E611B3" w:rsidRPr="00A26AF9" w:rsidTr="00BD0A88">
        <w:tc>
          <w:tcPr>
            <w:tcW w:w="1548" w:type="dxa"/>
            <w:vAlign w:val="center"/>
          </w:tcPr>
          <w:p w:rsidR="00E611B3" w:rsidRPr="00A26AF9" w:rsidRDefault="00E611B3" w:rsidP="001E23AC">
            <w:pPr>
              <w:pStyle w:val="BodyText"/>
              <w:spacing w:after="0"/>
              <w:rPr>
                <w:rFonts w:ascii="Arial" w:hAnsi="Arial" w:cs="Arial"/>
                <w:b/>
                <w:sz w:val="22"/>
                <w:szCs w:val="22"/>
                <w:lang w:val="en-GB"/>
              </w:rPr>
            </w:pPr>
            <w:bookmarkStart w:id="2" w:name="Table2"/>
            <w:r w:rsidRPr="00A26AF9">
              <w:rPr>
                <w:rFonts w:ascii="Arial" w:hAnsi="Arial" w:cs="Arial"/>
                <w:b/>
                <w:sz w:val="22"/>
                <w:szCs w:val="22"/>
                <w:lang w:val="en-GB"/>
              </w:rPr>
              <w:t>Purchase Unit Code</w:t>
            </w:r>
            <w:r w:rsidR="00E644BE" w:rsidRPr="00A26AF9">
              <w:rPr>
                <w:rFonts w:ascii="Arial" w:hAnsi="Arial" w:cs="Arial"/>
                <w:b/>
                <w:sz w:val="22"/>
                <w:szCs w:val="22"/>
                <w:lang w:val="en-GB"/>
              </w:rPr>
              <w:t>s</w:t>
            </w:r>
          </w:p>
        </w:tc>
        <w:tc>
          <w:tcPr>
            <w:tcW w:w="2388" w:type="dxa"/>
            <w:vAlign w:val="center"/>
          </w:tcPr>
          <w:p w:rsidR="00E611B3" w:rsidRPr="00A26AF9" w:rsidRDefault="00E611B3" w:rsidP="001E23AC">
            <w:pPr>
              <w:pStyle w:val="BodyText"/>
              <w:spacing w:after="0"/>
              <w:rPr>
                <w:rFonts w:ascii="Arial" w:hAnsi="Arial" w:cs="Arial"/>
                <w:b/>
                <w:sz w:val="22"/>
                <w:szCs w:val="22"/>
                <w:lang w:val="en-GB"/>
              </w:rPr>
            </w:pPr>
            <w:r w:rsidRPr="00A26AF9">
              <w:rPr>
                <w:rFonts w:ascii="Arial" w:hAnsi="Arial" w:cs="Arial"/>
                <w:b/>
                <w:sz w:val="22"/>
                <w:szCs w:val="22"/>
                <w:lang w:val="en-GB"/>
              </w:rPr>
              <w:t>Purchase Unit</w:t>
            </w:r>
            <w:r w:rsidR="00AD6C11" w:rsidRPr="00A26AF9">
              <w:rPr>
                <w:rFonts w:ascii="Arial" w:hAnsi="Arial" w:cs="Arial"/>
                <w:b/>
                <w:sz w:val="22"/>
                <w:szCs w:val="22"/>
                <w:lang w:val="en-GB"/>
              </w:rPr>
              <w:t xml:space="preserve"> </w:t>
            </w:r>
            <w:r w:rsidR="00193A4E" w:rsidRPr="00A26AF9">
              <w:rPr>
                <w:rFonts w:ascii="Arial" w:hAnsi="Arial" w:cs="Arial"/>
                <w:b/>
                <w:sz w:val="22"/>
                <w:szCs w:val="22"/>
                <w:lang w:val="en-GB"/>
              </w:rPr>
              <w:t>Description</w:t>
            </w:r>
          </w:p>
        </w:tc>
        <w:tc>
          <w:tcPr>
            <w:tcW w:w="1392" w:type="dxa"/>
            <w:vAlign w:val="center"/>
          </w:tcPr>
          <w:p w:rsidR="00E611B3" w:rsidRPr="00A26AF9" w:rsidRDefault="00E611B3" w:rsidP="001E23AC">
            <w:pPr>
              <w:pStyle w:val="BodyText"/>
              <w:spacing w:after="0"/>
              <w:rPr>
                <w:rFonts w:ascii="Arial" w:hAnsi="Arial" w:cs="Arial"/>
                <w:b/>
                <w:sz w:val="22"/>
                <w:szCs w:val="22"/>
                <w:lang w:val="en-GB"/>
              </w:rPr>
            </w:pPr>
            <w:r w:rsidRPr="00A26AF9">
              <w:rPr>
                <w:rFonts w:ascii="Arial" w:hAnsi="Arial" w:cs="Arial"/>
                <w:b/>
                <w:sz w:val="22"/>
                <w:szCs w:val="22"/>
                <w:lang w:val="en-GB"/>
              </w:rPr>
              <w:t>Measure</w:t>
            </w:r>
          </w:p>
        </w:tc>
        <w:tc>
          <w:tcPr>
            <w:tcW w:w="3780" w:type="dxa"/>
            <w:vAlign w:val="center"/>
          </w:tcPr>
          <w:p w:rsidR="00E611B3" w:rsidRPr="00A26AF9" w:rsidRDefault="00E611B3" w:rsidP="00943419">
            <w:pPr>
              <w:pStyle w:val="BodyText"/>
              <w:spacing w:after="0"/>
              <w:rPr>
                <w:rFonts w:ascii="Arial" w:hAnsi="Arial" w:cs="Arial"/>
                <w:b/>
                <w:sz w:val="22"/>
                <w:szCs w:val="22"/>
                <w:lang w:val="en-GB"/>
              </w:rPr>
            </w:pPr>
            <w:r w:rsidRPr="00A26AF9">
              <w:rPr>
                <w:rFonts w:ascii="Arial" w:hAnsi="Arial" w:cs="Arial"/>
                <w:b/>
                <w:sz w:val="22"/>
                <w:szCs w:val="22"/>
                <w:lang w:val="en-GB"/>
              </w:rPr>
              <w:t xml:space="preserve">Purchase Measure </w:t>
            </w:r>
            <w:r w:rsidR="00943419" w:rsidRPr="00A26AF9">
              <w:rPr>
                <w:rFonts w:ascii="Arial" w:hAnsi="Arial" w:cs="Arial"/>
                <w:b/>
                <w:sz w:val="22"/>
                <w:szCs w:val="22"/>
                <w:lang w:val="en-GB"/>
              </w:rPr>
              <w:t>D</w:t>
            </w:r>
            <w:r w:rsidRPr="00A26AF9">
              <w:rPr>
                <w:rFonts w:ascii="Arial" w:hAnsi="Arial" w:cs="Arial"/>
                <w:b/>
                <w:sz w:val="22"/>
                <w:szCs w:val="22"/>
                <w:lang w:val="en-GB"/>
              </w:rPr>
              <w:t>efinition</w:t>
            </w:r>
          </w:p>
        </w:tc>
      </w:tr>
      <w:tr w:rsidR="00E611B3" w:rsidRPr="00A26AF9" w:rsidTr="00BD0A88">
        <w:tc>
          <w:tcPr>
            <w:tcW w:w="1548" w:type="dxa"/>
          </w:tcPr>
          <w:p w:rsidR="00E611B3" w:rsidRPr="00A26AF9" w:rsidRDefault="00077AC5" w:rsidP="0006780A">
            <w:pPr>
              <w:pStyle w:val="BodyText"/>
              <w:spacing w:after="0"/>
              <w:rPr>
                <w:rFonts w:ascii="Arial" w:hAnsi="Arial" w:cs="Arial"/>
                <w:sz w:val="22"/>
                <w:szCs w:val="22"/>
                <w:highlight w:val="green"/>
                <w:lang w:val="en-GB"/>
              </w:rPr>
            </w:pPr>
            <w:r w:rsidRPr="00A26AF9">
              <w:rPr>
                <w:rFonts w:ascii="Arial" w:hAnsi="Arial" w:cs="Arial"/>
                <w:sz w:val="22"/>
                <w:szCs w:val="22"/>
                <w:lang w:val="en-GB"/>
              </w:rPr>
              <w:t>DSSEGLPB</w:t>
            </w:r>
          </w:p>
        </w:tc>
        <w:tc>
          <w:tcPr>
            <w:tcW w:w="2388" w:type="dxa"/>
          </w:tcPr>
          <w:p w:rsidR="00E611B3" w:rsidRPr="00A26AF9" w:rsidRDefault="00077AC5" w:rsidP="001E23AC">
            <w:pPr>
              <w:pStyle w:val="BodyText"/>
              <w:spacing w:after="0"/>
              <w:rPr>
                <w:rFonts w:ascii="Arial" w:hAnsi="Arial" w:cs="Arial"/>
                <w:sz w:val="22"/>
                <w:szCs w:val="22"/>
                <w:highlight w:val="green"/>
                <w:lang w:val="en-GB"/>
              </w:rPr>
            </w:pPr>
            <w:r w:rsidRPr="00A26AF9">
              <w:rPr>
                <w:rFonts w:ascii="Arial" w:hAnsi="Arial" w:cs="Arial"/>
                <w:sz w:val="22"/>
                <w:szCs w:val="22"/>
                <w:lang w:val="en-GB"/>
              </w:rPr>
              <w:t>Enabling Good Lives Personal Budget</w:t>
            </w:r>
          </w:p>
        </w:tc>
        <w:tc>
          <w:tcPr>
            <w:tcW w:w="1392" w:type="dxa"/>
          </w:tcPr>
          <w:p w:rsidR="00E611B3" w:rsidRPr="00A26AF9" w:rsidRDefault="00077AC5" w:rsidP="001E23AC">
            <w:pPr>
              <w:pStyle w:val="BodyText"/>
              <w:spacing w:after="0"/>
              <w:rPr>
                <w:rFonts w:ascii="Arial" w:hAnsi="Arial" w:cs="Arial"/>
                <w:sz w:val="22"/>
                <w:szCs w:val="22"/>
                <w:highlight w:val="green"/>
                <w:lang w:val="en-GB"/>
              </w:rPr>
            </w:pPr>
            <w:r w:rsidRPr="00A26AF9">
              <w:rPr>
                <w:rFonts w:ascii="Arial" w:hAnsi="Arial" w:cs="Arial"/>
                <w:sz w:val="22"/>
                <w:szCs w:val="22"/>
                <w:lang w:val="en-GB"/>
              </w:rPr>
              <w:t>Unit</w:t>
            </w:r>
          </w:p>
        </w:tc>
        <w:tc>
          <w:tcPr>
            <w:tcW w:w="3780" w:type="dxa"/>
          </w:tcPr>
          <w:p w:rsidR="00E611B3" w:rsidRPr="00A26AF9" w:rsidRDefault="00077AC5" w:rsidP="00E66C9D">
            <w:pPr>
              <w:pStyle w:val="BodyText"/>
              <w:spacing w:after="0"/>
              <w:rPr>
                <w:rFonts w:ascii="Arial" w:hAnsi="Arial" w:cs="Arial"/>
                <w:sz w:val="22"/>
                <w:szCs w:val="22"/>
              </w:rPr>
            </w:pPr>
            <w:r w:rsidRPr="00A26AF9">
              <w:rPr>
                <w:rFonts w:ascii="Arial" w:hAnsi="Arial" w:cs="Arial"/>
                <w:sz w:val="22"/>
                <w:szCs w:val="22"/>
              </w:rPr>
              <w:t xml:space="preserve">Personal Budget allocated by a Funding Manager to a </w:t>
            </w:r>
            <w:r w:rsidR="003D7797" w:rsidRPr="00A26AF9">
              <w:rPr>
                <w:rFonts w:ascii="Arial" w:hAnsi="Arial" w:cs="Arial"/>
                <w:sz w:val="22"/>
                <w:szCs w:val="22"/>
              </w:rPr>
              <w:t>Person</w:t>
            </w:r>
            <w:r w:rsidRPr="00A26AF9">
              <w:rPr>
                <w:rFonts w:ascii="Arial" w:hAnsi="Arial" w:cs="Arial"/>
                <w:sz w:val="22"/>
                <w:szCs w:val="22"/>
              </w:rPr>
              <w:t>.</w:t>
            </w:r>
          </w:p>
          <w:p w:rsidR="00077AC5" w:rsidRPr="00A26AF9" w:rsidRDefault="00077AC5" w:rsidP="00E66C9D">
            <w:pPr>
              <w:pStyle w:val="BodyText"/>
              <w:spacing w:after="0"/>
              <w:rPr>
                <w:rFonts w:ascii="Arial" w:hAnsi="Arial" w:cs="Arial"/>
                <w:sz w:val="22"/>
                <w:szCs w:val="22"/>
                <w:highlight w:val="green"/>
              </w:rPr>
            </w:pPr>
            <w:r w:rsidRPr="00A26AF9">
              <w:rPr>
                <w:rFonts w:ascii="Arial" w:hAnsi="Arial" w:cs="Arial"/>
                <w:sz w:val="22"/>
                <w:szCs w:val="22"/>
              </w:rPr>
              <w:t xml:space="preserve">A Personal Budget is allocated to assist the </w:t>
            </w:r>
            <w:r w:rsidR="003D7797" w:rsidRPr="00A26AF9">
              <w:rPr>
                <w:rFonts w:ascii="Arial" w:hAnsi="Arial" w:cs="Arial"/>
                <w:sz w:val="22"/>
                <w:szCs w:val="22"/>
              </w:rPr>
              <w:t>Person</w:t>
            </w:r>
            <w:r w:rsidRPr="00A26AF9">
              <w:rPr>
                <w:rFonts w:ascii="Arial" w:hAnsi="Arial" w:cs="Arial"/>
                <w:sz w:val="22"/>
                <w:szCs w:val="22"/>
              </w:rPr>
              <w:t xml:space="preserve"> achieve Disability Support outcomes identified in My Plan.</w:t>
            </w:r>
          </w:p>
        </w:tc>
      </w:tr>
    </w:tbl>
    <w:bookmarkEnd w:id="2"/>
    <w:p w:rsidR="00E611B3" w:rsidRPr="00BD0A88" w:rsidRDefault="00E611B3" w:rsidP="00E4436A">
      <w:pPr>
        <w:pStyle w:val="Heading2"/>
      </w:pPr>
      <w:r w:rsidRPr="00BD0A88">
        <w:t>Reporting Requirements</w:t>
      </w:r>
    </w:p>
    <w:p w:rsidR="003C4870" w:rsidRDefault="00E47445" w:rsidP="00E66C9D">
      <w:pPr>
        <w:jc w:val="both"/>
        <w:rPr>
          <w:lang w:eastAsia="en-NZ"/>
        </w:rPr>
      </w:pPr>
      <w:r>
        <w:rPr>
          <w:lang w:eastAsia="en-NZ"/>
        </w:rPr>
        <w:t xml:space="preserve">Providers will submit a </w:t>
      </w:r>
      <w:r w:rsidR="003377CF">
        <w:rPr>
          <w:lang w:eastAsia="en-NZ"/>
        </w:rPr>
        <w:t xml:space="preserve">quarterly </w:t>
      </w:r>
      <w:r>
        <w:rPr>
          <w:lang w:eastAsia="en-NZ"/>
        </w:rPr>
        <w:t>report to the Demonstration</w:t>
      </w:r>
      <w:r w:rsidR="0003406D">
        <w:rPr>
          <w:lang w:eastAsia="en-NZ"/>
        </w:rPr>
        <w:t xml:space="preserve"> Office</w:t>
      </w:r>
      <w:r>
        <w:rPr>
          <w:lang w:eastAsia="en-NZ"/>
        </w:rPr>
        <w:t xml:space="preserve"> and the Ministry </w:t>
      </w:r>
      <w:r w:rsidR="00943419">
        <w:rPr>
          <w:lang w:eastAsia="en-NZ"/>
        </w:rPr>
        <w:t>that outline</w:t>
      </w:r>
      <w:r w:rsidR="003C4870">
        <w:rPr>
          <w:lang w:eastAsia="en-NZ"/>
        </w:rPr>
        <w:t>:</w:t>
      </w:r>
    </w:p>
    <w:p w:rsidR="003C4870" w:rsidRDefault="00E47445" w:rsidP="003377CF">
      <w:pPr>
        <w:pStyle w:val="ListParagraph"/>
        <w:numPr>
          <w:ilvl w:val="0"/>
          <w:numId w:val="17"/>
        </w:numPr>
        <w:ind w:left="426"/>
        <w:rPr>
          <w:lang w:eastAsia="en-NZ"/>
        </w:rPr>
      </w:pPr>
      <w:r>
        <w:rPr>
          <w:lang w:eastAsia="en-NZ"/>
        </w:rPr>
        <w:t xml:space="preserve">what </w:t>
      </w:r>
      <w:r w:rsidR="00943419">
        <w:rPr>
          <w:lang w:eastAsia="en-NZ"/>
        </w:rPr>
        <w:t xml:space="preserve">purchases and </w:t>
      </w:r>
      <w:r>
        <w:rPr>
          <w:lang w:eastAsia="en-NZ"/>
        </w:rPr>
        <w:t>supports have been provided under the Purchasing Guidelines</w:t>
      </w:r>
      <w:r w:rsidR="003C4870">
        <w:rPr>
          <w:lang w:eastAsia="en-NZ"/>
        </w:rPr>
        <w:t xml:space="preserve"> </w:t>
      </w:r>
      <w:r w:rsidR="003377CF">
        <w:rPr>
          <w:lang w:eastAsia="en-NZ"/>
        </w:rPr>
        <w:t>(</w:t>
      </w:r>
      <w:r w:rsidR="003C4870">
        <w:rPr>
          <w:lang w:eastAsia="en-NZ"/>
        </w:rPr>
        <w:t>in a template that will be provided</w:t>
      </w:r>
      <w:r w:rsidR="003377CF">
        <w:rPr>
          <w:lang w:eastAsia="en-NZ"/>
        </w:rPr>
        <w:t xml:space="preserve"> by Funders)</w:t>
      </w:r>
    </w:p>
    <w:p w:rsidR="003C4870" w:rsidRDefault="003377CF" w:rsidP="003377CF">
      <w:pPr>
        <w:pStyle w:val="ListParagraph"/>
        <w:numPr>
          <w:ilvl w:val="0"/>
          <w:numId w:val="17"/>
        </w:numPr>
        <w:ind w:left="426"/>
        <w:rPr>
          <w:lang w:eastAsia="en-NZ"/>
        </w:rPr>
      </w:pPr>
      <w:r>
        <w:rPr>
          <w:lang w:eastAsia="en-NZ"/>
        </w:rPr>
        <w:lastRenderedPageBreak/>
        <w:t xml:space="preserve">how </w:t>
      </w:r>
      <w:r w:rsidR="003C4870">
        <w:rPr>
          <w:lang w:eastAsia="en-NZ"/>
        </w:rPr>
        <w:t xml:space="preserve">they have used the Enabling Good Lives Organisational Self Review </w:t>
      </w:r>
      <w:r w:rsidR="00B929CD">
        <w:rPr>
          <w:lang w:eastAsia="en-NZ"/>
        </w:rPr>
        <w:t>T</w:t>
      </w:r>
      <w:r w:rsidR="003C4870">
        <w:rPr>
          <w:lang w:eastAsia="en-NZ"/>
        </w:rPr>
        <w:t>ool to develop their organisation and what actions they have made progress on within the reporting period</w:t>
      </w:r>
    </w:p>
    <w:p w:rsidR="003377CF" w:rsidRDefault="003377CF" w:rsidP="003377CF">
      <w:pPr>
        <w:pStyle w:val="ListParagraph"/>
        <w:numPr>
          <w:ilvl w:val="0"/>
          <w:numId w:val="17"/>
        </w:numPr>
        <w:ind w:left="426"/>
        <w:rPr>
          <w:lang w:eastAsia="en-NZ"/>
        </w:rPr>
      </w:pPr>
      <w:proofErr w:type="gramStart"/>
      <w:r>
        <w:rPr>
          <w:lang w:eastAsia="en-NZ"/>
        </w:rPr>
        <w:t>performance</w:t>
      </w:r>
      <w:proofErr w:type="gramEnd"/>
      <w:r>
        <w:rPr>
          <w:lang w:eastAsia="en-NZ"/>
        </w:rPr>
        <w:t xml:space="preserve"> against the Performance </w:t>
      </w:r>
      <w:r w:rsidR="002007BD">
        <w:rPr>
          <w:lang w:eastAsia="en-NZ"/>
        </w:rPr>
        <w:t>M</w:t>
      </w:r>
      <w:r>
        <w:rPr>
          <w:lang w:eastAsia="en-NZ"/>
        </w:rPr>
        <w:t xml:space="preserve">easures outlined in </w:t>
      </w:r>
      <w:r w:rsidR="003E52B9">
        <w:rPr>
          <w:lang w:eastAsia="en-NZ"/>
        </w:rPr>
        <w:t xml:space="preserve">clause </w:t>
      </w:r>
      <w:r>
        <w:rPr>
          <w:lang w:eastAsia="en-NZ"/>
        </w:rPr>
        <w:t xml:space="preserve">4.0 of this </w:t>
      </w:r>
      <w:r w:rsidR="00D410B4">
        <w:rPr>
          <w:lang w:eastAsia="en-NZ"/>
        </w:rPr>
        <w:t xml:space="preserve">Service </w:t>
      </w:r>
      <w:r>
        <w:rPr>
          <w:lang w:eastAsia="en-NZ"/>
        </w:rPr>
        <w:t>Specification</w:t>
      </w:r>
      <w:r w:rsidR="003E52B9">
        <w:rPr>
          <w:lang w:eastAsia="en-NZ"/>
        </w:rPr>
        <w:t xml:space="preserve"> and Annex A of the Outcome Agreement terms</w:t>
      </w:r>
      <w:r>
        <w:rPr>
          <w:lang w:eastAsia="en-NZ"/>
        </w:rPr>
        <w:t>.</w:t>
      </w:r>
    </w:p>
    <w:p w:rsidR="003377CF" w:rsidRDefault="003377CF" w:rsidP="003E6BF1">
      <w:pPr>
        <w:spacing w:after="0"/>
        <w:rPr>
          <w:lang w:eastAsia="en-NZ"/>
        </w:rPr>
      </w:pPr>
    </w:p>
    <w:p w:rsidR="008632B3" w:rsidRDefault="0085371D" w:rsidP="00E66C9D">
      <w:pPr>
        <w:spacing w:after="0" w:line="240" w:lineRule="auto"/>
        <w:jc w:val="both"/>
        <w:rPr>
          <w:lang w:eastAsia="en-NZ"/>
        </w:rPr>
      </w:pPr>
      <w:r w:rsidRPr="00BD0A88">
        <w:rPr>
          <w:lang w:eastAsia="en-NZ"/>
        </w:rPr>
        <w:t>Fu</w:t>
      </w:r>
      <w:r w:rsidR="00E33B7E">
        <w:rPr>
          <w:lang w:eastAsia="en-NZ"/>
        </w:rPr>
        <w:t>rther</w:t>
      </w:r>
      <w:r w:rsidRPr="00BD0A88">
        <w:rPr>
          <w:lang w:eastAsia="en-NZ"/>
        </w:rPr>
        <w:t xml:space="preserve"> Reporting Requirements (including any Provider specific reporting requirements) are included in Appendix 3 of the Outcome Agreement.</w:t>
      </w:r>
    </w:p>
    <w:p w:rsidR="00107726" w:rsidRDefault="00107726" w:rsidP="00E66C9D">
      <w:pPr>
        <w:spacing w:after="0" w:line="240" w:lineRule="auto"/>
        <w:jc w:val="both"/>
        <w:rPr>
          <w:lang w:eastAsia="en-NZ"/>
        </w:rPr>
      </w:pPr>
    </w:p>
    <w:p w:rsidR="00101110" w:rsidRDefault="00101110" w:rsidP="00E66C9D">
      <w:pPr>
        <w:spacing w:after="0" w:line="240" w:lineRule="auto"/>
        <w:jc w:val="both"/>
        <w:rPr>
          <w:lang w:eastAsia="en-NZ"/>
        </w:rPr>
      </w:pPr>
    </w:p>
    <w:p w:rsidR="00101110" w:rsidRDefault="00101110" w:rsidP="00E66C9D">
      <w:pPr>
        <w:spacing w:after="0" w:line="240" w:lineRule="auto"/>
        <w:jc w:val="both"/>
        <w:rPr>
          <w:lang w:eastAsia="en-NZ"/>
        </w:rPr>
      </w:pPr>
    </w:p>
    <w:p w:rsidR="00107726" w:rsidRDefault="00107726" w:rsidP="00E66C9D">
      <w:pPr>
        <w:spacing w:after="0" w:line="240" w:lineRule="auto"/>
        <w:jc w:val="both"/>
        <w:rPr>
          <w:rFonts w:cs="Arial"/>
          <w:szCs w:val="24"/>
        </w:rPr>
        <w:sectPr w:rsidR="00107726" w:rsidSect="00F40F1E">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18" w:left="1418" w:header="454" w:footer="454" w:gutter="0"/>
          <w:cols w:space="708"/>
          <w:docGrid w:linePitch="360"/>
        </w:sectPr>
      </w:pPr>
    </w:p>
    <w:p w:rsidR="00187DB0" w:rsidRPr="005B7EC5" w:rsidRDefault="00187DB0" w:rsidP="00E66C9D">
      <w:pPr>
        <w:spacing w:after="0" w:line="240" w:lineRule="auto"/>
        <w:jc w:val="both"/>
        <w:rPr>
          <w:rFonts w:cs="Arial"/>
          <w:b/>
          <w:szCs w:val="24"/>
        </w:rPr>
      </w:pPr>
      <w:r w:rsidRPr="005B7EC5">
        <w:rPr>
          <w:rFonts w:cs="Arial"/>
          <w:b/>
          <w:szCs w:val="24"/>
        </w:rPr>
        <w:lastRenderedPageBreak/>
        <w:t xml:space="preserve">Appendix </w:t>
      </w:r>
      <w:r>
        <w:rPr>
          <w:rFonts w:cs="Arial"/>
          <w:b/>
          <w:szCs w:val="24"/>
        </w:rPr>
        <w:t>A</w:t>
      </w:r>
      <w:r w:rsidRPr="005B7EC5">
        <w:rPr>
          <w:rFonts w:cs="Arial"/>
          <w:b/>
          <w:szCs w:val="24"/>
        </w:rPr>
        <w:t xml:space="preserve">: </w:t>
      </w:r>
      <w:r>
        <w:rPr>
          <w:rFonts w:cs="Arial"/>
          <w:b/>
          <w:szCs w:val="24"/>
        </w:rPr>
        <w:t>Enabling Good Lives Purchasing Guidelines</w:t>
      </w:r>
      <w:r w:rsidRPr="005B7EC5">
        <w:rPr>
          <w:rFonts w:cs="Arial"/>
          <w:b/>
          <w:szCs w:val="24"/>
        </w:rPr>
        <w:t xml:space="preserve"> </w:t>
      </w:r>
    </w:p>
    <w:p w:rsidR="00187DB0" w:rsidRPr="00187DB0" w:rsidRDefault="00187DB0" w:rsidP="00E66C9D">
      <w:pPr>
        <w:spacing w:after="0" w:line="240" w:lineRule="auto"/>
        <w:jc w:val="both"/>
        <w:rPr>
          <w:rFonts w:cs="Arial"/>
          <w:szCs w:val="24"/>
        </w:rPr>
      </w:pPr>
    </w:p>
    <w:bookmarkStart w:id="3" w:name="_MON_1502190652"/>
    <w:bookmarkEnd w:id="3"/>
    <w:p w:rsidR="00187DB0" w:rsidRDefault="00187DB0" w:rsidP="00E66C9D">
      <w:pPr>
        <w:jc w:val="both"/>
        <w:rPr>
          <w:rFonts w:cs="Arial"/>
          <w:b/>
          <w:szCs w:val="24"/>
        </w:rPr>
      </w:pPr>
      <w:r>
        <w:rPr>
          <w:rFonts w:cs="Arial"/>
          <w:b/>
          <w:szCs w:val="24"/>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9.6pt" o:ole="">
            <v:imagedata r:id="rId17" o:title=""/>
          </v:shape>
          <o:OLEObject Type="Embed" ProgID="Word.Document.8" ShapeID="_x0000_i1025" DrawAspect="Icon" ObjectID="_1510118098" r:id="rId18">
            <o:FieldCodes>\s</o:FieldCodes>
          </o:OLEObject>
        </w:object>
      </w:r>
      <w:r>
        <w:rPr>
          <w:rFonts w:cs="Arial"/>
          <w:b/>
          <w:szCs w:val="24"/>
        </w:rPr>
        <w:br w:type="page"/>
      </w:r>
    </w:p>
    <w:p w:rsidR="00187DB0" w:rsidRPr="00CC1010" w:rsidRDefault="00187DB0" w:rsidP="00187DB0">
      <w:pPr>
        <w:spacing w:after="0" w:line="240" w:lineRule="auto"/>
        <w:jc w:val="both"/>
        <w:rPr>
          <w:rFonts w:cs="Arial"/>
          <w:b/>
          <w:szCs w:val="24"/>
        </w:rPr>
      </w:pPr>
      <w:r w:rsidRPr="00CC1010">
        <w:rPr>
          <w:rFonts w:cs="Arial"/>
          <w:b/>
          <w:szCs w:val="24"/>
        </w:rPr>
        <w:lastRenderedPageBreak/>
        <w:t xml:space="preserve">Appendix B: Supported Decision Making </w:t>
      </w:r>
    </w:p>
    <w:p w:rsidR="00187DB0" w:rsidRPr="00187DB0" w:rsidRDefault="00187DB0" w:rsidP="00187DB0">
      <w:pPr>
        <w:spacing w:after="0" w:line="240" w:lineRule="auto"/>
        <w:jc w:val="both"/>
        <w:rPr>
          <w:rFonts w:cs="Arial"/>
          <w:szCs w:val="24"/>
        </w:rPr>
      </w:pPr>
    </w:p>
    <w:p w:rsidR="00187DB0" w:rsidRPr="00187DB0" w:rsidRDefault="00187DB0" w:rsidP="00187DB0">
      <w:pPr>
        <w:pStyle w:val="NormalWeb"/>
        <w:shd w:val="clear" w:color="auto" w:fill="FFFFFF"/>
        <w:spacing w:before="0" w:beforeAutospacing="0"/>
        <w:jc w:val="both"/>
        <w:rPr>
          <w:rFonts w:ascii="Arial" w:hAnsi="Arial" w:cs="Arial"/>
          <w:i/>
          <w:color w:val="000000"/>
          <w:lang w:val="en"/>
        </w:rPr>
      </w:pPr>
      <w:r w:rsidRPr="00187DB0" w:rsidDel="00187DB0">
        <w:rPr>
          <w:rFonts w:cs="Arial"/>
          <w:b/>
          <w:bCs/>
        </w:rPr>
        <w:t xml:space="preserve"> </w:t>
      </w:r>
      <w:r w:rsidRPr="00187DB0">
        <w:rPr>
          <w:rFonts w:ascii="Arial" w:hAnsi="Arial" w:cs="Arial"/>
          <w:i/>
          <w:color w:val="000000"/>
          <w:lang w:val="en"/>
        </w:rPr>
        <w:t>“With supported decision-making, the presumption is always in favour of the person with a disability who will be affected by the decision. The individual is the decision maker; the support person(s) explain(s) the issues, when necessary, and interpret(s) the signs and preferences of the individual. Even when an individual with a disability requires total support, the support person(s) should enable the individual to exercise his/her legal capacity to the greatest extent possible, according to the wishes of the individual. This distinguishes supported decision-making from substituted decision-making, such as advance directives and legal mentors/friends, where the guardian or tutor has court-authorized power to make decisions on behalf of the individual without necessarily having to demonstrate that those decisions are in the individual’s best interest or according to his/her wishes. Paragraph 4 of article 12 calls for safeguards to be put in place to protect against abuse of these support mechanisms. </w:t>
      </w:r>
    </w:p>
    <w:p w:rsidR="00187DB0" w:rsidRPr="00187DB0" w:rsidRDefault="00187DB0" w:rsidP="00187DB0">
      <w:pPr>
        <w:pStyle w:val="NormalWeb"/>
        <w:shd w:val="clear" w:color="auto" w:fill="FFFFFF"/>
        <w:jc w:val="both"/>
        <w:rPr>
          <w:rFonts w:ascii="Arial" w:hAnsi="Arial" w:cs="Arial"/>
          <w:i/>
          <w:color w:val="000000"/>
          <w:lang w:val="en"/>
        </w:rPr>
      </w:pPr>
      <w:r w:rsidRPr="00187DB0">
        <w:rPr>
          <w:rFonts w:ascii="Arial" w:hAnsi="Arial" w:cs="Arial"/>
          <w:i/>
          <w:color w:val="000000"/>
          <w:lang w:val="en"/>
        </w:rPr>
        <w:t>Supported decision-making can take many forms. Those assisting a person may communicate the individual’s intentions to others or help him/her understand the choices at hand. They may help others to realize that a person with significant disabilities is also a person with a history, interests and aims in life, and is someone capable of exercising his/her legal capacity.”</w:t>
      </w:r>
    </w:p>
    <w:p w:rsidR="00187DB0" w:rsidRPr="00187DB0" w:rsidRDefault="00187DB0" w:rsidP="00187DB0">
      <w:pPr>
        <w:rPr>
          <w:szCs w:val="24"/>
          <w:lang w:val="en"/>
        </w:rPr>
      </w:pPr>
      <w:r w:rsidRPr="00187DB0">
        <w:rPr>
          <w:szCs w:val="24"/>
          <w:lang w:val="en"/>
        </w:rPr>
        <w:t xml:space="preserve">Source: UN Enable, Chapter Six From provisions to practice: implementing the Convention – Legal Capacity and Supported Decision Making </w:t>
      </w:r>
    </w:p>
    <w:p w:rsidR="00CC1010" w:rsidRDefault="00187DB0" w:rsidP="00187DB0">
      <w:pPr>
        <w:rPr>
          <w:szCs w:val="24"/>
          <w:lang w:val="en"/>
        </w:rPr>
      </w:pPr>
      <w:r w:rsidRPr="00187DB0">
        <w:rPr>
          <w:szCs w:val="24"/>
          <w:lang w:val="en"/>
        </w:rPr>
        <w:t>(http://www.un.org/disabilities/default.asp?id=242)</w:t>
      </w:r>
    </w:p>
    <w:p w:rsidR="00CC1010" w:rsidRDefault="00CC1010" w:rsidP="00CC1010">
      <w:pPr>
        <w:rPr>
          <w:lang w:val="en"/>
        </w:rPr>
      </w:pPr>
      <w:r>
        <w:rPr>
          <w:lang w:val="en"/>
        </w:rPr>
        <w:br w:type="page"/>
      </w:r>
    </w:p>
    <w:p w:rsidR="00187DB0" w:rsidRPr="00187DB0" w:rsidRDefault="00187DB0" w:rsidP="00187DB0">
      <w:pPr>
        <w:rPr>
          <w:szCs w:val="24"/>
          <w:lang w:val="en"/>
        </w:rPr>
      </w:pPr>
    </w:p>
    <w:p w:rsidR="00CC1010" w:rsidRPr="005B7EC5" w:rsidRDefault="00CC1010" w:rsidP="00CC1010">
      <w:pPr>
        <w:spacing w:after="0" w:line="240" w:lineRule="auto"/>
        <w:jc w:val="both"/>
        <w:rPr>
          <w:rFonts w:cs="Arial"/>
          <w:b/>
          <w:szCs w:val="24"/>
        </w:rPr>
      </w:pPr>
      <w:r w:rsidRPr="005B7EC5">
        <w:rPr>
          <w:rFonts w:cs="Arial"/>
          <w:b/>
          <w:szCs w:val="24"/>
        </w:rPr>
        <w:t xml:space="preserve">Appendix </w:t>
      </w:r>
      <w:r>
        <w:rPr>
          <w:rFonts w:cs="Arial"/>
          <w:b/>
          <w:szCs w:val="24"/>
        </w:rPr>
        <w:t>C</w:t>
      </w:r>
      <w:r w:rsidRPr="005B7EC5">
        <w:rPr>
          <w:rFonts w:cs="Arial"/>
          <w:b/>
          <w:szCs w:val="24"/>
        </w:rPr>
        <w:t xml:space="preserve">: </w:t>
      </w:r>
      <w:r w:rsidRPr="00CC1010">
        <w:rPr>
          <w:rFonts w:cs="Arial"/>
          <w:b/>
          <w:szCs w:val="24"/>
        </w:rPr>
        <w:t>Hosted Personal Budgets</w:t>
      </w:r>
      <w:r>
        <w:rPr>
          <w:rFonts w:cs="Arial"/>
          <w:b/>
          <w:szCs w:val="24"/>
        </w:rPr>
        <w:t xml:space="preserve"> </w:t>
      </w:r>
      <w:r w:rsidR="00FE1177">
        <w:rPr>
          <w:rFonts w:cs="Arial"/>
          <w:b/>
          <w:szCs w:val="24"/>
        </w:rPr>
        <w:t xml:space="preserve">Service </w:t>
      </w:r>
      <w:r>
        <w:rPr>
          <w:rFonts w:cs="Arial"/>
          <w:b/>
          <w:szCs w:val="24"/>
        </w:rPr>
        <w:t>Specification and Guidelines</w:t>
      </w:r>
    </w:p>
    <w:p w:rsidR="00CC1010" w:rsidRDefault="00CC1010">
      <w:pPr>
        <w:rPr>
          <w:rFonts w:cs="Arial"/>
          <w:szCs w:val="24"/>
        </w:rPr>
      </w:pPr>
    </w:p>
    <w:p w:rsidR="00CC1010" w:rsidRDefault="00CC1010">
      <w:pPr>
        <w:rPr>
          <w:rFonts w:cs="Arial"/>
          <w:szCs w:val="24"/>
        </w:rPr>
      </w:pPr>
      <w:r>
        <w:rPr>
          <w:rFonts w:cs="Arial"/>
          <w:szCs w:val="24"/>
        </w:rPr>
        <w:t xml:space="preserve">The current Hosted Personal Budgets </w:t>
      </w:r>
      <w:r w:rsidR="00FE1177">
        <w:rPr>
          <w:rFonts w:cs="Arial"/>
          <w:szCs w:val="24"/>
        </w:rPr>
        <w:t xml:space="preserve">Service </w:t>
      </w:r>
      <w:r>
        <w:rPr>
          <w:rFonts w:cs="Arial"/>
          <w:szCs w:val="24"/>
        </w:rPr>
        <w:t xml:space="preserve">Specification and Guidelines are attached as part of this Tier Two </w:t>
      </w:r>
      <w:r w:rsidR="00FE1177">
        <w:rPr>
          <w:rFonts w:cs="Arial"/>
          <w:szCs w:val="24"/>
        </w:rPr>
        <w:t>Service Specification</w:t>
      </w:r>
      <w:r>
        <w:rPr>
          <w:rFonts w:cs="Arial"/>
          <w:szCs w:val="24"/>
        </w:rPr>
        <w:t xml:space="preserve">. </w:t>
      </w:r>
    </w:p>
    <w:p w:rsidR="00187DB0" w:rsidRDefault="00CC1010">
      <w:pPr>
        <w:rPr>
          <w:rFonts w:cs="Arial"/>
          <w:szCs w:val="24"/>
        </w:rPr>
      </w:pPr>
      <w:r>
        <w:rPr>
          <w:rFonts w:cs="Arial"/>
          <w:szCs w:val="24"/>
        </w:rPr>
        <w:t xml:space="preserve">New versions of this </w:t>
      </w:r>
      <w:r w:rsidR="00FE1177">
        <w:rPr>
          <w:rFonts w:cs="Arial"/>
          <w:szCs w:val="24"/>
        </w:rPr>
        <w:t>Service S</w:t>
      </w:r>
      <w:r>
        <w:rPr>
          <w:rFonts w:cs="Arial"/>
          <w:szCs w:val="24"/>
        </w:rPr>
        <w:t>pecification and Guidelines will be sent to all affected providers when they are updated</w:t>
      </w:r>
      <w:r w:rsidR="00C81E2A">
        <w:rPr>
          <w:rFonts w:cs="Arial"/>
          <w:szCs w:val="24"/>
        </w:rPr>
        <w:t>, and will be binding on the providers once received</w:t>
      </w:r>
      <w:r>
        <w:rPr>
          <w:rFonts w:cs="Arial"/>
          <w:szCs w:val="24"/>
        </w:rPr>
        <w:t>.</w:t>
      </w:r>
    </w:p>
    <w:bookmarkStart w:id="4" w:name="_MON_1503210823"/>
    <w:bookmarkEnd w:id="4"/>
    <w:p w:rsidR="00FE1177" w:rsidRDefault="0067268E">
      <w:pPr>
        <w:rPr>
          <w:rFonts w:cs="Arial"/>
          <w:szCs w:val="24"/>
        </w:rPr>
      </w:pPr>
      <w:r>
        <w:rPr>
          <w:rFonts w:cs="Arial"/>
          <w:szCs w:val="24"/>
        </w:rPr>
        <w:object w:dxaOrig="2069" w:dyaOrig="1320">
          <v:shape id="_x0000_i1026" type="#_x0000_t75" style="width:103.25pt;height:65.9pt" o:ole="">
            <v:imagedata r:id="rId19" o:title=""/>
          </v:shape>
          <o:OLEObject Type="Embed" ProgID="Word.Document.8" ShapeID="_x0000_i1026" DrawAspect="Icon" ObjectID="_1510118099" r:id="rId20">
            <o:FieldCodes>\s</o:FieldCodes>
          </o:OLEObject>
        </w:object>
      </w:r>
    </w:p>
    <w:bookmarkStart w:id="5" w:name="_MON_1503210587"/>
    <w:bookmarkEnd w:id="5"/>
    <w:p w:rsidR="0003406D" w:rsidRDefault="00FE1177">
      <w:pPr>
        <w:rPr>
          <w:rFonts w:cs="Arial"/>
          <w:szCs w:val="24"/>
        </w:rPr>
      </w:pPr>
      <w:r>
        <w:rPr>
          <w:rFonts w:cs="Arial"/>
          <w:szCs w:val="24"/>
        </w:rPr>
        <w:object w:dxaOrig="1551" w:dyaOrig="991">
          <v:shape id="_x0000_i1027" type="#_x0000_t75" style="width:77.45pt;height:49.6pt" o:ole="">
            <v:imagedata r:id="rId21" o:title=""/>
          </v:shape>
          <o:OLEObject Type="Embed" ProgID="Word.Document.12" ShapeID="_x0000_i1027" DrawAspect="Icon" ObjectID="_1510118100" r:id="rId22">
            <o:FieldCodes>\s</o:FieldCodes>
          </o:OLEObject>
        </w:object>
      </w:r>
    </w:p>
    <w:p w:rsidR="00107726" w:rsidRPr="00BD0A88" w:rsidRDefault="00107726" w:rsidP="00187DB0">
      <w:pPr>
        <w:spacing w:after="0" w:line="240" w:lineRule="auto"/>
        <w:jc w:val="both"/>
        <w:rPr>
          <w:rFonts w:cs="Arial"/>
          <w:szCs w:val="24"/>
        </w:rPr>
      </w:pPr>
    </w:p>
    <w:sectPr w:rsidR="00107726" w:rsidRPr="00BD0A88" w:rsidSect="009954E9">
      <w:pgSz w:w="11906" w:h="16838" w:code="9"/>
      <w:pgMar w:top="1440" w:right="1440" w:bottom="1134"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10" w:rsidRDefault="00A26310" w:rsidP="007C1345">
      <w:pPr>
        <w:spacing w:after="0" w:line="240" w:lineRule="auto"/>
      </w:pPr>
      <w:r>
        <w:separator/>
      </w:r>
    </w:p>
  </w:endnote>
  <w:endnote w:type="continuationSeparator" w:id="0">
    <w:p w:rsidR="00A26310" w:rsidRDefault="00A26310" w:rsidP="007C1345">
      <w:pPr>
        <w:spacing w:after="0" w:line="240" w:lineRule="auto"/>
      </w:pPr>
      <w:r>
        <w:continuationSeparator/>
      </w:r>
    </w:p>
  </w:endnote>
  <w:endnote w:type="continuationNotice" w:id="1">
    <w:p w:rsidR="00A26310" w:rsidRDefault="00A2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Mäori">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Mäori">
    <w:altName w:val="Arial"/>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DE" w:rsidRDefault="000C6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613989"/>
      <w:docPartObj>
        <w:docPartGallery w:val="Page Numbers (Bottom of Page)"/>
        <w:docPartUnique/>
      </w:docPartObj>
    </w:sdtPr>
    <w:sdtEndPr>
      <w:rPr>
        <w:sz w:val="8"/>
      </w:rPr>
    </w:sdtEndPr>
    <w:sdtContent>
      <w:sdt>
        <w:sdtPr>
          <w:id w:val="-463352395"/>
          <w:docPartObj>
            <w:docPartGallery w:val="Page Numbers (Top of Page)"/>
            <w:docPartUnique/>
          </w:docPartObj>
        </w:sdtPr>
        <w:sdtEndPr>
          <w:rPr>
            <w:sz w:val="8"/>
          </w:rPr>
        </w:sdtEndPr>
        <w:sdtContent>
          <w:sdt>
            <w:sdtPr>
              <w:rPr>
                <w:rFonts w:ascii="Arial" w:eastAsiaTheme="minorHAnsi" w:hAnsi="Arial" w:cstheme="minorBidi"/>
                <w:szCs w:val="22"/>
              </w:rPr>
              <w:id w:val="132679875"/>
              <w:docPartObj>
                <w:docPartGallery w:val="Page Numbers (Top of Page)"/>
                <w:docPartUnique/>
              </w:docPartObj>
            </w:sdtPr>
            <w:sdtEndPr>
              <w:rPr>
                <w:rFonts w:cs="Arial"/>
                <w:sz w:val="2"/>
              </w:rPr>
            </w:sdtEndPr>
            <w:sdtContent>
              <w:p w:rsidR="009C1F1B" w:rsidRPr="00BD0A88" w:rsidRDefault="009C1F1B" w:rsidP="00BD0A88">
                <w:pPr>
                  <w:pStyle w:val="Footer"/>
                  <w:pBdr>
                    <w:bottom w:val="single" w:sz="4" w:space="1" w:color="auto"/>
                  </w:pBdr>
                  <w:tabs>
                    <w:tab w:val="clear" w:pos="4153"/>
                    <w:tab w:val="center" w:pos="4536"/>
                  </w:tabs>
                  <w:jc w:val="center"/>
                  <w:rPr>
                    <w:sz w:val="16"/>
                  </w:rPr>
                </w:pPr>
              </w:p>
              <w:p w:rsidR="009C1F1B" w:rsidRDefault="009C1F1B" w:rsidP="009E3CF5">
                <w:pPr>
                  <w:pStyle w:val="Footer"/>
                  <w:jc w:val="center"/>
                  <w:rPr>
                    <w:rFonts w:cs="Arial"/>
                    <w:sz w:val="8"/>
                  </w:rPr>
                </w:pPr>
              </w:p>
              <w:p w:rsidR="009C1F1B" w:rsidRPr="00BD0A88" w:rsidRDefault="009C1F1B" w:rsidP="00BD0A88">
                <w:pPr>
                  <w:pStyle w:val="Footer"/>
                  <w:tabs>
                    <w:tab w:val="clear" w:pos="4153"/>
                    <w:tab w:val="clear" w:pos="8306"/>
                    <w:tab w:val="center" w:pos="5245"/>
                    <w:tab w:val="right" w:pos="9072"/>
                  </w:tabs>
                  <w:ind w:right="-46"/>
                  <w:rPr>
                    <w:rFonts w:ascii="Arial" w:hAnsi="Arial" w:cs="Arial"/>
                    <w:sz w:val="16"/>
                  </w:rPr>
                </w:pPr>
                <w:r>
                  <w:rPr>
                    <w:rFonts w:ascii="Arial" w:hAnsi="Arial" w:cs="Arial"/>
                    <w:sz w:val="16"/>
                  </w:rPr>
                  <w:t>Flexible Disability Supports</w:t>
                </w:r>
                <w:r w:rsidRPr="00BD0A88">
                  <w:rPr>
                    <w:rFonts w:ascii="Arial" w:hAnsi="Arial" w:cs="Arial"/>
                    <w:sz w:val="16"/>
                  </w:rPr>
                  <w:tab/>
                </w:r>
                <w:sdt>
                  <w:sdtPr>
                    <w:rPr>
                      <w:rFonts w:ascii="Arial" w:hAnsi="Arial" w:cs="Arial"/>
                      <w:sz w:val="16"/>
                    </w:rPr>
                    <w:id w:val="-101952941"/>
                    <w:docPartObj>
                      <w:docPartGallery w:val="Page Numbers (Top of Page)"/>
                      <w:docPartUnique/>
                    </w:docPartObj>
                  </w:sdtPr>
                  <w:sdtEndPr/>
                  <w:sdtContent>
                    <w:r w:rsidRPr="00BD0A88">
                      <w:rPr>
                        <w:rFonts w:ascii="Arial" w:hAnsi="Arial" w:cs="Arial"/>
                        <w:sz w:val="16"/>
                      </w:rPr>
                      <w:t xml:space="preserve">Page </w:t>
                    </w:r>
                    <w:r w:rsidRPr="00BD0A88">
                      <w:rPr>
                        <w:rFonts w:ascii="Arial" w:hAnsi="Arial" w:cs="Arial"/>
                        <w:bCs/>
                        <w:sz w:val="16"/>
                      </w:rPr>
                      <w:fldChar w:fldCharType="begin"/>
                    </w:r>
                    <w:r w:rsidRPr="00BD0A88">
                      <w:rPr>
                        <w:rFonts w:ascii="Arial" w:hAnsi="Arial" w:cs="Arial"/>
                        <w:bCs/>
                        <w:sz w:val="16"/>
                      </w:rPr>
                      <w:instrText xml:space="preserve"> PAGE </w:instrText>
                    </w:r>
                    <w:r w:rsidRPr="00BD0A88">
                      <w:rPr>
                        <w:rFonts w:ascii="Arial" w:hAnsi="Arial" w:cs="Arial"/>
                        <w:bCs/>
                        <w:sz w:val="16"/>
                      </w:rPr>
                      <w:fldChar w:fldCharType="separate"/>
                    </w:r>
                    <w:r w:rsidR="005E0A3D">
                      <w:rPr>
                        <w:rFonts w:ascii="Arial" w:hAnsi="Arial" w:cs="Arial"/>
                        <w:bCs/>
                        <w:noProof/>
                        <w:sz w:val="16"/>
                      </w:rPr>
                      <w:t>22</w:t>
                    </w:r>
                    <w:r w:rsidRPr="00BD0A88">
                      <w:rPr>
                        <w:rFonts w:ascii="Arial" w:hAnsi="Arial" w:cs="Arial"/>
                        <w:bCs/>
                        <w:sz w:val="16"/>
                      </w:rPr>
                      <w:fldChar w:fldCharType="end"/>
                    </w:r>
                    <w:r w:rsidRPr="00BD0A88">
                      <w:rPr>
                        <w:rFonts w:ascii="Arial" w:hAnsi="Arial" w:cs="Arial"/>
                        <w:sz w:val="16"/>
                      </w:rPr>
                      <w:t xml:space="preserve"> of </w:t>
                    </w:r>
                    <w:r w:rsidRPr="00BD0A88">
                      <w:rPr>
                        <w:rFonts w:ascii="Arial" w:hAnsi="Arial" w:cs="Arial"/>
                        <w:bCs/>
                        <w:sz w:val="16"/>
                      </w:rPr>
                      <w:fldChar w:fldCharType="begin"/>
                    </w:r>
                    <w:r w:rsidRPr="00BD0A88">
                      <w:rPr>
                        <w:rFonts w:ascii="Arial" w:hAnsi="Arial" w:cs="Arial"/>
                        <w:bCs/>
                        <w:sz w:val="16"/>
                      </w:rPr>
                      <w:instrText xml:space="preserve"> NUMPAGES  </w:instrText>
                    </w:r>
                    <w:r w:rsidRPr="00BD0A88">
                      <w:rPr>
                        <w:rFonts w:ascii="Arial" w:hAnsi="Arial" w:cs="Arial"/>
                        <w:bCs/>
                        <w:sz w:val="16"/>
                      </w:rPr>
                      <w:fldChar w:fldCharType="separate"/>
                    </w:r>
                    <w:r w:rsidR="005E0A3D">
                      <w:rPr>
                        <w:rFonts w:ascii="Arial" w:hAnsi="Arial" w:cs="Arial"/>
                        <w:bCs/>
                        <w:noProof/>
                        <w:sz w:val="16"/>
                      </w:rPr>
                      <w:t>22</w:t>
                    </w:r>
                    <w:r w:rsidRPr="00BD0A88">
                      <w:rPr>
                        <w:rFonts w:ascii="Arial" w:hAnsi="Arial" w:cs="Arial"/>
                        <w:bCs/>
                        <w:sz w:val="16"/>
                      </w:rPr>
                      <w:fldChar w:fldCharType="end"/>
                    </w:r>
                    <w:r w:rsidRPr="00BD0A88">
                      <w:rPr>
                        <w:rFonts w:ascii="Arial" w:hAnsi="Arial" w:cs="Arial"/>
                        <w:bCs/>
                        <w:sz w:val="16"/>
                      </w:rPr>
                      <w:t xml:space="preserve"> </w:t>
                    </w:r>
                  </w:sdtContent>
                </w:sdt>
                <w:r w:rsidRPr="00BD0A88">
                  <w:rPr>
                    <w:rFonts w:ascii="Arial" w:hAnsi="Arial" w:cs="Arial"/>
                    <w:bCs/>
                    <w:sz w:val="16"/>
                  </w:rPr>
                  <w:tab/>
                </w:r>
                <w:r w:rsidRPr="00BD0A88">
                  <w:rPr>
                    <w:rFonts w:ascii="Arial" w:hAnsi="Arial" w:cs="Arial"/>
                    <w:sz w:val="16"/>
                  </w:rPr>
                  <w:t xml:space="preserve">Version </w:t>
                </w:r>
                <w:r>
                  <w:rPr>
                    <w:rFonts w:ascii="Arial" w:hAnsi="Arial" w:cs="Arial"/>
                    <w:sz w:val="16"/>
                  </w:rPr>
                  <w:t>1.</w:t>
                </w:r>
                <w:r w:rsidR="000C60DE">
                  <w:rPr>
                    <w:rFonts w:ascii="Arial" w:hAnsi="Arial" w:cs="Arial"/>
                    <w:sz w:val="16"/>
                  </w:rPr>
                  <w:t>4</w:t>
                </w:r>
              </w:p>
              <w:p w:rsidR="009C1F1B" w:rsidRPr="009E3CF5" w:rsidRDefault="009C1F1B">
                <w:pPr>
                  <w:tabs>
                    <w:tab w:val="center" w:pos="4678"/>
                    <w:tab w:val="right" w:pos="9072"/>
                  </w:tabs>
                  <w:spacing w:after="0" w:line="240" w:lineRule="auto"/>
                  <w:ind w:right="-46"/>
                  <w:rPr>
                    <w:rFonts w:cs="Arial"/>
                    <w:sz w:val="16"/>
                  </w:rPr>
                </w:pPr>
                <w:r w:rsidRPr="009E3CF5">
                  <w:rPr>
                    <w:rFonts w:cs="Arial"/>
                    <w:sz w:val="16"/>
                  </w:rPr>
                  <w:t xml:space="preserve">Tier </w:t>
                </w:r>
                <w:r>
                  <w:rPr>
                    <w:rFonts w:cs="Arial"/>
                    <w:sz w:val="16"/>
                  </w:rPr>
                  <w:t>Two</w:t>
                </w:r>
                <w:r w:rsidRPr="009E3CF5">
                  <w:rPr>
                    <w:rFonts w:cs="Arial"/>
                    <w:sz w:val="16"/>
                  </w:rPr>
                  <w:t xml:space="preserve"> Service Specification</w:t>
                </w:r>
                <w:r w:rsidRPr="009E3CF5">
                  <w:rPr>
                    <w:rFonts w:cs="Arial"/>
                    <w:sz w:val="16"/>
                  </w:rPr>
                  <w:tab/>
                </w:r>
                <w:r w:rsidRPr="009E3CF5">
                  <w:rPr>
                    <w:rFonts w:cs="Arial"/>
                    <w:sz w:val="16"/>
                  </w:rPr>
                  <w:tab/>
                </w:r>
                <w:r>
                  <w:rPr>
                    <w:rFonts w:cs="Arial"/>
                    <w:sz w:val="16"/>
                  </w:rPr>
                  <w:t>October</w:t>
                </w:r>
                <w:r w:rsidRPr="009E3CF5">
                  <w:rPr>
                    <w:rFonts w:cs="Arial"/>
                    <w:sz w:val="16"/>
                  </w:rPr>
                  <w:t xml:space="preserve"> 2015</w:t>
                </w:r>
              </w:p>
              <w:p w:rsidR="009C1F1B" w:rsidRPr="00BD0A88" w:rsidRDefault="009C1F1B" w:rsidP="00BD0A88">
                <w:pPr>
                  <w:tabs>
                    <w:tab w:val="right" w:pos="9072"/>
                  </w:tabs>
                  <w:spacing w:after="0" w:line="240" w:lineRule="auto"/>
                  <w:rPr>
                    <w:rFonts w:cs="Arial"/>
                    <w:sz w:val="2"/>
                  </w:rPr>
                </w:pPr>
                <w:r w:rsidRPr="009E3CF5">
                  <w:rPr>
                    <w:rFonts w:cs="Arial"/>
                    <w:sz w:val="16"/>
                  </w:rPr>
                  <w:t>Disability Support Services</w:t>
                </w:r>
              </w:p>
            </w:sdtContent>
          </w:sdt>
          <w:p w:rsidR="009C1F1B" w:rsidRPr="00BD0A88" w:rsidRDefault="005E0A3D" w:rsidP="00BD0A88">
            <w:pPr>
              <w:pStyle w:val="Footer"/>
              <w:tabs>
                <w:tab w:val="clear" w:pos="4153"/>
                <w:tab w:val="clear" w:pos="8306"/>
                <w:tab w:val="right" w:pos="9072"/>
              </w:tabs>
              <w:jc w:val="center"/>
              <w:rPr>
                <w:sz w:val="8"/>
              </w:rP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DE" w:rsidRDefault="000C60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10" w:rsidRDefault="00A26310" w:rsidP="007C1345">
      <w:pPr>
        <w:spacing w:after="0" w:line="240" w:lineRule="auto"/>
      </w:pPr>
      <w:r>
        <w:separator/>
      </w:r>
    </w:p>
  </w:footnote>
  <w:footnote w:type="continuationSeparator" w:id="0">
    <w:p w:rsidR="00A26310" w:rsidRDefault="00A26310" w:rsidP="007C1345">
      <w:pPr>
        <w:spacing w:after="0" w:line="240" w:lineRule="auto"/>
      </w:pPr>
      <w:r>
        <w:continuationSeparator/>
      </w:r>
    </w:p>
  </w:footnote>
  <w:footnote w:type="continuationNotice" w:id="1">
    <w:p w:rsidR="00A26310" w:rsidRDefault="00A26310">
      <w:pPr>
        <w:spacing w:after="0" w:line="240" w:lineRule="auto"/>
      </w:pPr>
    </w:p>
  </w:footnote>
  <w:footnote w:id="2">
    <w:p w:rsidR="009C1F1B" w:rsidRPr="004465A6" w:rsidRDefault="009C1F1B" w:rsidP="004A5E8E">
      <w:pPr>
        <w:pStyle w:val="FootnoteText"/>
        <w:rPr>
          <w:rFonts w:ascii="Arial" w:hAnsi="Arial" w:cs="Arial"/>
          <w:sz w:val="18"/>
          <w:szCs w:val="18"/>
          <w:lang w:val="en-NZ"/>
        </w:rPr>
      </w:pPr>
      <w:r w:rsidRPr="004465A6">
        <w:rPr>
          <w:rStyle w:val="FootnoteReference"/>
          <w:rFonts w:ascii="Arial" w:hAnsi="Arial" w:cs="Arial"/>
          <w:sz w:val="18"/>
          <w:szCs w:val="18"/>
          <w:lang w:val="en-NZ"/>
        </w:rPr>
        <w:footnoteRef/>
      </w:r>
      <w:r w:rsidRPr="004465A6">
        <w:rPr>
          <w:rFonts w:ascii="Arial" w:hAnsi="Arial" w:cs="Arial"/>
          <w:sz w:val="18"/>
          <w:szCs w:val="18"/>
          <w:lang w:val="en-NZ"/>
        </w:rPr>
        <w:t xml:space="preserve"> “Commissioning support” recognises arrangements other than directly employing support staff. A provider may look at other options for achieving a particular outcome provided that option is consistent with the EGL Purchasing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DE" w:rsidRDefault="000C6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F1B" w:rsidRDefault="009C1F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DE" w:rsidRDefault="000C6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1014"/>
    <w:multiLevelType w:val="multilevel"/>
    <w:tmpl w:val="103E9B72"/>
    <w:lvl w:ilvl="0">
      <w:start w:val="1"/>
      <w:numFmt w:val="decimal"/>
      <w:lvlText w:val="%1."/>
      <w:lvlJc w:val="left"/>
      <w:pPr>
        <w:tabs>
          <w:tab w:val="num" w:pos="567"/>
        </w:tabs>
        <w:ind w:left="567" w:hanging="567"/>
      </w:pPr>
      <w:rPr>
        <w:rFonts w:ascii="Arial" w:hAnsi="Arial" w:hint="default"/>
        <w:sz w:val="28"/>
        <w:szCs w:val="28"/>
      </w:rPr>
    </w:lvl>
    <w:lvl w:ilvl="1">
      <w:start w:val="1"/>
      <w:numFmt w:val="lowerLetter"/>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196041A"/>
    <w:multiLevelType w:val="multilevel"/>
    <w:tmpl w:val="103E9B72"/>
    <w:lvl w:ilvl="0">
      <w:start w:val="1"/>
      <w:numFmt w:val="decimal"/>
      <w:lvlText w:val="%1."/>
      <w:lvlJc w:val="left"/>
      <w:pPr>
        <w:tabs>
          <w:tab w:val="num" w:pos="567"/>
        </w:tabs>
        <w:ind w:left="567" w:hanging="567"/>
      </w:pPr>
      <w:rPr>
        <w:rFonts w:ascii="Arial" w:hAnsi="Arial" w:hint="default"/>
        <w:sz w:val="28"/>
        <w:szCs w:val="28"/>
      </w:rPr>
    </w:lvl>
    <w:lvl w:ilvl="1">
      <w:start w:val="1"/>
      <w:numFmt w:val="lowerLetter"/>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1D503DD"/>
    <w:multiLevelType w:val="multilevel"/>
    <w:tmpl w:val="103E9B72"/>
    <w:lvl w:ilvl="0">
      <w:start w:val="1"/>
      <w:numFmt w:val="decimal"/>
      <w:lvlText w:val="%1."/>
      <w:lvlJc w:val="left"/>
      <w:pPr>
        <w:tabs>
          <w:tab w:val="num" w:pos="567"/>
        </w:tabs>
        <w:ind w:left="567" w:hanging="567"/>
      </w:pPr>
      <w:rPr>
        <w:rFonts w:ascii="Arial" w:hAnsi="Arial" w:hint="default"/>
        <w:sz w:val="28"/>
        <w:szCs w:val="28"/>
      </w:rPr>
    </w:lvl>
    <w:lvl w:ilvl="1">
      <w:start w:val="1"/>
      <w:numFmt w:val="lowerLetter"/>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D534B8B"/>
    <w:multiLevelType w:val="hybridMultilevel"/>
    <w:tmpl w:val="9686055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14B2C4C"/>
    <w:multiLevelType w:val="multilevel"/>
    <w:tmpl w:val="32263126"/>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1F211F1"/>
    <w:multiLevelType w:val="hybridMultilevel"/>
    <w:tmpl w:val="2CE2696E"/>
    <w:lvl w:ilvl="0" w:tplc="14090019">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6">
    <w:nsid w:val="183431C1"/>
    <w:multiLevelType w:val="hybridMultilevel"/>
    <w:tmpl w:val="3698ADE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6CB7C95"/>
    <w:multiLevelType w:val="hybridMultilevel"/>
    <w:tmpl w:val="1FB016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272561A7"/>
    <w:multiLevelType w:val="hybridMultilevel"/>
    <w:tmpl w:val="2CE2696E"/>
    <w:lvl w:ilvl="0" w:tplc="14090019">
      <w:start w:val="1"/>
      <w:numFmt w:val="low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9">
    <w:nsid w:val="2C881C69"/>
    <w:multiLevelType w:val="multilevel"/>
    <w:tmpl w:val="CFF2F19A"/>
    <w:lvl w:ilvl="0">
      <w:start w:val="1"/>
      <w:numFmt w:val="decimal"/>
      <w:lvlText w:val="%1."/>
      <w:lvlJc w:val="left"/>
      <w:pPr>
        <w:tabs>
          <w:tab w:val="num" w:pos="567"/>
        </w:tabs>
        <w:ind w:left="567" w:hanging="567"/>
      </w:pPr>
      <w:rPr>
        <w:rFonts w:ascii="Arial" w:hAnsi="Arial" w:hint="default"/>
        <w:sz w:val="28"/>
        <w:szCs w:val="28"/>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E8D0BDA"/>
    <w:multiLevelType w:val="hybridMultilevel"/>
    <w:tmpl w:val="B68E0956"/>
    <w:lvl w:ilvl="0" w:tplc="D70A29DC">
      <w:start w:val="1"/>
      <w:numFmt w:val="bullet"/>
      <w:pStyle w:val="Bullet"/>
      <w:lvlText w:val=""/>
      <w:lvlJc w:val="left"/>
      <w:pPr>
        <w:tabs>
          <w:tab w:val="num" w:pos="851"/>
        </w:tabs>
        <w:ind w:left="851" w:hanging="284"/>
      </w:pPr>
      <w:rPr>
        <w:rFonts w:ascii="Symbol" w:hAnsi="Symbol" w:hint="default"/>
        <w:sz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7B8596D"/>
    <w:multiLevelType w:val="hybridMultilevel"/>
    <w:tmpl w:val="CBE4A7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462E034F"/>
    <w:multiLevelType w:val="hybridMultilevel"/>
    <w:tmpl w:val="20F847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872770F"/>
    <w:multiLevelType w:val="hybridMultilevel"/>
    <w:tmpl w:val="78EA17DC"/>
    <w:lvl w:ilvl="0" w:tplc="08090001">
      <w:start w:val="1"/>
      <w:numFmt w:val="bullet"/>
      <w:lvlText w:val=""/>
      <w:lvlJc w:val="left"/>
      <w:pPr>
        <w:ind w:left="1800" w:hanging="360"/>
      </w:pPr>
      <w:rPr>
        <w:rFonts w:ascii="Symbol" w:hAnsi="Symbol" w:hint="default"/>
      </w:rPr>
    </w:lvl>
    <w:lvl w:ilvl="1" w:tplc="14090003">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nsid w:val="4D8064D9"/>
    <w:multiLevelType w:val="hybridMultilevel"/>
    <w:tmpl w:val="31A870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570656B3"/>
    <w:multiLevelType w:val="multilevel"/>
    <w:tmpl w:val="103E9B72"/>
    <w:lvl w:ilvl="0">
      <w:start w:val="1"/>
      <w:numFmt w:val="decimal"/>
      <w:lvlText w:val="%1."/>
      <w:lvlJc w:val="left"/>
      <w:pPr>
        <w:tabs>
          <w:tab w:val="num" w:pos="567"/>
        </w:tabs>
        <w:ind w:left="567" w:hanging="567"/>
      </w:pPr>
      <w:rPr>
        <w:rFonts w:ascii="Arial" w:hAnsi="Arial" w:hint="default"/>
        <w:sz w:val="28"/>
        <w:szCs w:val="28"/>
      </w:rPr>
    </w:lvl>
    <w:lvl w:ilvl="1">
      <w:start w:val="1"/>
      <w:numFmt w:val="lowerLetter"/>
      <w:lvlText w:val="%2."/>
      <w:lvlJc w:val="left"/>
      <w:pPr>
        <w:tabs>
          <w:tab w:val="num" w:pos="567"/>
        </w:tabs>
        <w:ind w:left="567" w:hanging="567"/>
      </w:pPr>
      <w:rPr>
        <w:rFonts w:hint="default"/>
        <w:b w:val="0"/>
        <w:i w:val="0"/>
        <w:sz w:val="24"/>
        <w:szCs w:val="24"/>
      </w:rPr>
    </w:lvl>
    <w:lvl w:ilvl="2">
      <w:start w:val="1"/>
      <w:numFmt w:val="lowerLetter"/>
      <w:lvlText w:val="%3."/>
      <w:lvlJc w:val="left"/>
      <w:pPr>
        <w:tabs>
          <w:tab w:val="num" w:pos="794"/>
        </w:tabs>
        <w:ind w:left="794" w:hanging="227"/>
      </w:pPr>
      <w:rPr>
        <w:rFonts w:hint="default"/>
        <w:sz w:val="22"/>
        <w:szCs w:val="22"/>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AF0797B"/>
    <w:multiLevelType w:val="hybridMultilevel"/>
    <w:tmpl w:val="8B4C6D92"/>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5B644576"/>
    <w:multiLevelType w:val="hybridMultilevel"/>
    <w:tmpl w:val="B45CB0D0"/>
    <w:lvl w:ilvl="0" w:tplc="C1185BC8">
      <w:start w:val="1"/>
      <w:numFmt w:val="decimal"/>
      <w:lvlText w:val="%1."/>
      <w:lvlJc w:val="left"/>
      <w:pPr>
        <w:ind w:left="360" w:hanging="360"/>
      </w:pPr>
      <w:rPr>
        <w:rFonts w:ascii="Arial" w:hAnsi="Arial" w:cs="Arial"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62702418"/>
    <w:multiLevelType w:val="multilevel"/>
    <w:tmpl w:val="69DE01C0"/>
    <w:lvl w:ilvl="0">
      <w:start w:val="1"/>
      <w:numFmt w:val="decimal"/>
      <w:pStyle w:val="StyleHeading1LatinArialComplexArial"/>
      <w:lvlText w:val="%1."/>
      <w:lvlJc w:val="left"/>
      <w:pPr>
        <w:tabs>
          <w:tab w:val="num" w:pos="567"/>
        </w:tabs>
        <w:ind w:left="567" w:hanging="567"/>
      </w:pPr>
      <w:rPr>
        <w:rFonts w:ascii="Arial" w:hAnsi="Arial" w:hint="default"/>
        <w:sz w:val="28"/>
        <w:szCs w:val="28"/>
      </w:rPr>
    </w:lvl>
    <w:lvl w:ilvl="1">
      <w:start w:val="1"/>
      <w:numFmt w:val="decimal"/>
      <w:pStyle w:val="Number"/>
      <w:lvlText w:val="%1.%2"/>
      <w:lvlJc w:val="left"/>
      <w:pPr>
        <w:tabs>
          <w:tab w:val="num" w:pos="567"/>
        </w:tabs>
        <w:ind w:left="567" w:hanging="567"/>
      </w:pPr>
      <w:rPr>
        <w:rFonts w:ascii="Arial" w:hAnsi="Arial" w:hint="default"/>
        <w:b w:val="0"/>
        <w:i w:val="0"/>
        <w:sz w:val="24"/>
        <w:szCs w:val="24"/>
      </w:rPr>
    </w:lvl>
    <w:lvl w:ilvl="2">
      <w:start w:val="1"/>
      <w:numFmt w:val="lowerLetter"/>
      <w:pStyle w:val="Sub-number"/>
      <w:lvlText w:val="%3"/>
      <w:lvlJc w:val="left"/>
      <w:pPr>
        <w:tabs>
          <w:tab w:val="num" w:pos="1276"/>
        </w:tabs>
        <w:ind w:left="1276" w:hanging="709"/>
      </w:pPr>
      <w:rPr>
        <w:rFonts w:ascii="Arial" w:hAnsi="Arial" w:hint="default"/>
        <w:b w:val="0"/>
        <w:i w:val="0"/>
        <w:sz w:val="24"/>
        <w:szCs w:val="24"/>
      </w:rPr>
    </w:lvl>
    <w:lvl w:ilvl="3">
      <w:start w:val="1"/>
      <w:numFmt w:val="lowerRoman"/>
      <w:lvlText w:val="%4"/>
      <w:lvlJc w:val="left"/>
      <w:pPr>
        <w:tabs>
          <w:tab w:val="num" w:pos="2160"/>
        </w:tabs>
        <w:ind w:left="1728" w:hanging="48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63CA7724"/>
    <w:multiLevelType w:val="hybridMultilevel"/>
    <w:tmpl w:val="A6BE4EFA"/>
    <w:lvl w:ilvl="0" w:tplc="E00AA51C">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6C31C9F"/>
    <w:multiLevelType w:val="hybridMultilevel"/>
    <w:tmpl w:val="4A840A80"/>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21">
    <w:nsid w:val="69105F82"/>
    <w:multiLevelType w:val="hybridMultilevel"/>
    <w:tmpl w:val="B6F684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9FE0619"/>
    <w:multiLevelType w:val="hybridMultilevel"/>
    <w:tmpl w:val="241E0B56"/>
    <w:lvl w:ilvl="0" w:tplc="14090001">
      <w:start w:val="1"/>
      <w:numFmt w:val="bullet"/>
      <w:lvlText w:val=""/>
      <w:lvlJc w:val="left"/>
      <w:pPr>
        <w:ind w:left="788" w:hanging="360"/>
      </w:pPr>
      <w:rPr>
        <w:rFonts w:ascii="Symbol" w:hAnsi="Symbol" w:hint="default"/>
      </w:rPr>
    </w:lvl>
    <w:lvl w:ilvl="1" w:tplc="14090003">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23">
    <w:nsid w:val="6F501EEC"/>
    <w:multiLevelType w:val="hybridMultilevel"/>
    <w:tmpl w:val="1C623910"/>
    <w:lvl w:ilvl="0" w:tplc="14090001">
      <w:start w:val="1"/>
      <w:numFmt w:val="bullet"/>
      <w:lvlText w:val=""/>
      <w:lvlJc w:val="left"/>
      <w:pPr>
        <w:ind w:left="394" w:hanging="360"/>
      </w:pPr>
      <w:rPr>
        <w:rFonts w:ascii="Symbol" w:hAnsi="Symbol" w:hint="default"/>
      </w:rPr>
    </w:lvl>
    <w:lvl w:ilvl="1" w:tplc="14090003">
      <w:start w:val="1"/>
      <w:numFmt w:val="bullet"/>
      <w:lvlText w:val="o"/>
      <w:lvlJc w:val="left"/>
      <w:pPr>
        <w:ind w:left="1114" w:hanging="360"/>
      </w:pPr>
      <w:rPr>
        <w:rFonts w:ascii="Courier New" w:hAnsi="Courier New" w:cs="Courier New" w:hint="default"/>
      </w:rPr>
    </w:lvl>
    <w:lvl w:ilvl="2" w:tplc="14090005">
      <w:start w:val="1"/>
      <w:numFmt w:val="bullet"/>
      <w:lvlText w:val=""/>
      <w:lvlJc w:val="left"/>
      <w:pPr>
        <w:ind w:left="1834" w:hanging="360"/>
      </w:pPr>
      <w:rPr>
        <w:rFonts w:ascii="Wingdings" w:hAnsi="Wingdings" w:hint="default"/>
      </w:rPr>
    </w:lvl>
    <w:lvl w:ilvl="3" w:tplc="14090001" w:tentative="1">
      <w:start w:val="1"/>
      <w:numFmt w:val="bullet"/>
      <w:lvlText w:val=""/>
      <w:lvlJc w:val="left"/>
      <w:pPr>
        <w:ind w:left="2554" w:hanging="360"/>
      </w:pPr>
      <w:rPr>
        <w:rFonts w:ascii="Symbol" w:hAnsi="Symbol" w:hint="default"/>
      </w:rPr>
    </w:lvl>
    <w:lvl w:ilvl="4" w:tplc="14090003" w:tentative="1">
      <w:start w:val="1"/>
      <w:numFmt w:val="bullet"/>
      <w:lvlText w:val="o"/>
      <w:lvlJc w:val="left"/>
      <w:pPr>
        <w:ind w:left="3274" w:hanging="360"/>
      </w:pPr>
      <w:rPr>
        <w:rFonts w:ascii="Courier New" w:hAnsi="Courier New" w:cs="Courier New" w:hint="default"/>
      </w:rPr>
    </w:lvl>
    <w:lvl w:ilvl="5" w:tplc="14090005" w:tentative="1">
      <w:start w:val="1"/>
      <w:numFmt w:val="bullet"/>
      <w:lvlText w:val=""/>
      <w:lvlJc w:val="left"/>
      <w:pPr>
        <w:ind w:left="3994" w:hanging="360"/>
      </w:pPr>
      <w:rPr>
        <w:rFonts w:ascii="Wingdings" w:hAnsi="Wingdings" w:hint="default"/>
      </w:rPr>
    </w:lvl>
    <w:lvl w:ilvl="6" w:tplc="14090001" w:tentative="1">
      <w:start w:val="1"/>
      <w:numFmt w:val="bullet"/>
      <w:lvlText w:val=""/>
      <w:lvlJc w:val="left"/>
      <w:pPr>
        <w:ind w:left="4714" w:hanging="360"/>
      </w:pPr>
      <w:rPr>
        <w:rFonts w:ascii="Symbol" w:hAnsi="Symbol" w:hint="default"/>
      </w:rPr>
    </w:lvl>
    <w:lvl w:ilvl="7" w:tplc="14090003" w:tentative="1">
      <w:start w:val="1"/>
      <w:numFmt w:val="bullet"/>
      <w:lvlText w:val="o"/>
      <w:lvlJc w:val="left"/>
      <w:pPr>
        <w:ind w:left="5434" w:hanging="360"/>
      </w:pPr>
      <w:rPr>
        <w:rFonts w:ascii="Courier New" w:hAnsi="Courier New" w:cs="Courier New" w:hint="default"/>
      </w:rPr>
    </w:lvl>
    <w:lvl w:ilvl="8" w:tplc="14090005" w:tentative="1">
      <w:start w:val="1"/>
      <w:numFmt w:val="bullet"/>
      <w:lvlText w:val=""/>
      <w:lvlJc w:val="left"/>
      <w:pPr>
        <w:ind w:left="6154" w:hanging="360"/>
      </w:pPr>
      <w:rPr>
        <w:rFonts w:ascii="Wingdings" w:hAnsi="Wingdings" w:hint="default"/>
      </w:rPr>
    </w:lvl>
  </w:abstractNum>
  <w:abstractNum w:abstractNumId="24">
    <w:nsid w:val="749714F7"/>
    <w:multiLevelType w:val="hybridMultilevel"/>
    <w:tmpl w:val="1C9ABFBE"/>
    <w:lvl w:ilvl="0" w:tplc="14090001">
      <w:start w:val="1"/>
      <w:numFmt w:val="bullet"/>
      <w:lvlText w:val=""/>
      <w:lvlJc w:val="left"/>
      <w:pPr>
        <w:ind w:left="788" w:hanging="360"/>
      </w:pPr>
      <w:rPr>
        <w:rFonts w:ascii="Symbol" w:hAnsi="Symbol" w:hint="default"/>
      </w:rPr>
    </w:lvl>
    <w:lvl w:ilvl="1" w:tplc="14090003" w:tentative="1">
      <w:start w:val="1"/>
      <w:numFmt w:val="bullet"/>
      <w:lvlText w:val="o"/>
      <w:lvlJc w:val="left"/>
      <w:pPr>
        <w:ind w:left="1508" w:hanging="360"/>
      </w:pPr>
      <w:rPr>
        <w:rFonts w:ascii="Courier New" w:hAnsi="Courier New" w:cs="Courier New" w:hint="default"/>
      </w:rPr>
    </w:lvl>
    <w:lvl w:ilvl="2" w:tplc="14090005" w:tentative="1">
      <w:start w:val="1"/>
      <w:numFmt w:val="bullet"/>
      <w:lvlText w:val=""/>
      <w:lvlJc w:val="left"/>
      <w:pPr>
        <w:ind w:left="2228" w:hanging="360"/>
      </w:pPr>
      <w:rPr>
        <w:rFonts w:ascii="Wingdings" w:hAnsi="Wingdings" w:hint="default"/>
      </w:rPr>
    </w:lvl>
    <w:lvl w:ilvl="3" w:tplc="14090001" w:tentative="1">
      <w:start w:val="1"/>
      <w:numFmt w:val="bullet"/>
      <w:lvlText w:val=""/>
      <w:lvlJc w:val="left"/>
      <w:pPr>
        <w:ind w:left="2948" w:hanging="360"/>
      </w:pPr>
      <w:rPr>
        <w:rFonts w:ascii="Symbol" w:hAnsi="Symbol" w:hint="default"/>
      </w:rPr>
    </w:lvl>
    <w:lvl w:ilvl="4" w:tplc="14090003" w:tentative="1">
      <w:start w:val="1"/>
      <w:numFmt w:val="bullet"/>
      <w:lvlText w:val="o"/>
      <w:lvlJc w:val="left"/>
      <w:pPr>
        <w:ind w:left="3668" w:hanging="360"/>
      </w:pPr>
      <w:rPr>
        <w:rFonts w:ascii="Courier New" w:hAnsi="Courier New" w:cs="Courier New" w:hint="default"/>
      </w:rPr>
    </w:lvl>
    <w:lvl w:ilvl="5" w:tplc="14090005" w:tentative="1">
      <w:start w:val="1"/>
      <w:numFmt w:val="bullet"/>
      <w:lvlText w:val=""/>
      <w:lvlJc w:val="left"/>
      <w:pPr>
        <w:ind w:left="4388" w:hanging="360"/>
      </w:pPr>
      <w:rPr>
        <w:rFonts w:ascii="Wingdings" w:hAnsi="Wingdings" w:hint="default"/>
      </w:rPr>
    </w:lvl>
    <w:lvl w:ilvl="6" w:tplc="14090001" w:tentative="1">
      <w:start w:val="1"/>
      <w:numFmt w:val="bullet"/>
      <w:lvlText w:val=""/>
      <w:lvlJc w:val="left"/>
      <w:pPr>
        <w:ind w:left="5108" w:hanging="360"/>
      </w:pPr>
      <w:rPr>
        <w:rFonts w:ascii="Symbol" w:hAnsi="Symbol" w:hint="default"/>
      </w:rPr>
    </w:lvl>
    <w:lvl w:ilvl="7" w:tplc="14090003" w:tentative="1">
      <w:start w:val="1"/>
      <w:numFmt w:val="bullet"/>
      <w:lvlText w:val="o"/>
      <w:lvlJc w:val="left"/>
      <w:pPr>
        <w:ind w:left="5828" w:hanging="360"/>
      </w:pPr>
      <w:rPr>
        <w:rFonts w:ascii="Courier New" w:hAnsi="Courier New" w:cs="Courier New" w:hint="default"/>
      </w:rPr>
    </w:lvl>
    <w:lvl w:ilvl="8" w:tplc="14090005" w:tentative="1">
      <w:start w:val="1"/>
      <w:numFmt w:val="bullet"/>
      <w:lvlText w:val=""/>
      <w:lvlJc w:val="left"/>
      <w:pPr>
        <w:ind w:left="6548" w:hanging="360"/>
      </w:pPr>
      <w:rPr>
        <w:rFonts w:ascii="Wingdings" w:hAnsi="Wingdings" w:hint="default"/>
      </w:rPr>
    </w:lvl>
  </w:abstractNum>
  <w:abstractNum w:abstractNumId="25">
    <w:nsid w:val="7B0125C0"/>
    <w:multiLevelType w:val="multilevel"/>
    <w:tmpl w:val="D52806F6"/>
    <w:lvl w:ilvl="0">
      <w:start w:val="1"/>
      <w:numFmt w:val="decimal"/>
      <w:pStyle w:val="Heading2"/>
      <w:lvlText w:val="%1.0"/>
      <w:lvlJc w:val="left"/>
      <w:pPr>
        <w:ind w:left="720" w:hanging="720"/>
      </w:pPr>
      <w:rPr>
        <w:rFonts w:hint="default"/>
      </w:rPr>
    </w:lvl>
    <w:lvl w:ilvl="1">
      <w:start w:val="1"/>
      <w:numFmt w:val="decimal"/>
      <w:pStyle w:val="Heading3"/>
      <w:lvlText w:val="%1.%2"/>
      <w:lvlJc w:val="left"/>
      <w:pPr>
        <w:ind w:left="1855"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FA12B11"/>
    <w:multiLevelType w:val="hybridMultilevel"/>
    <w:tmpl w:val="BA480D9C"/>
    <w:lvl w:ilvl="0" w:tplc="C584117C">
      <w:start w:val="1"/>
      <w:numFmt w:val="lowerLetter"/>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0"/>
  </w:num>
  <w:num w:numId="3">
    <w:abstractNumId w:val="23"/>
  </w:num>
  <w:num w:numId="4">
    <w:abstractNumId w:val="17"/>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6"/>
  </w:num>
  <w:num w:numId="9">
    <w:abstractNumId w:val="12"/>
  </w:num>
  <w:num w:numId="10">
    <w:abstractNumId w:val="13"/>
  </w:num>
  <w:num w:numId="11">
    <w:abstractNumId w:val="19"/>
  </w:num>
  <w:num w:numId="12">
    <w:abstractNumId w:val="3"/>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4"/>
  </w:num>
  <w:num w:numId="16">
    <w:abstractNumId w:val="7"/>
  </w:num>
  <w:num w:numId="17">
    <w:abstractNumId w:val="20"/>
  </w:num>
  <w:num w:numId="18">
    <w:abstractNumId w:val="19"/>
  </w:num>
  <w:num w:numId="19">
    <w:abstractNumId w:val="18"/>
  </w:num>
  <w:num w:numId="20">
    <w:abstractNumId w:val="18"/>
  </w:num>
  <w:num w:numId="21">
    <w:abstractNumId w:val="4"/>
  </w:num>
  <w:num w:numId="22">
    <w:abstractNumId w:val="0"/>
  </w:num>
  <w:num w:numId="23">
    <w:abstractNumId w:val="18"/>
  </w:num>
  <w:num w:numId="24">
    <w:abstractNumId w:val="18"/>
  </w:num>
  <w:num w:numId="25">
    <w:abstractNumId w:val="24"/>
  </w:num>
  <w:num w:numId="26">
    <w:abstractNumId w:val="22"/>
  </w:num>
  <w:num w:numId="27">
    <w:abstractNumId w:val="19"/>
  </w:num>
  <w:num w:numId="28">
    <w:abstractNumId w:val="15"/>
  </w:num>
  <w:num w:numId="29">
    <w:abstractNumId w:val="21"/>
  </w:num>
  <w:num w:numId="30">
    <w:abstractNumId w:val="11"/>
  </w:num>
  <w:num w:numId="31">
    <w:abstractNumId w:val="1"/>
  </w:num>
  <w:num w:numId="32">
    <w:abstractNumId w:val="6"/>
  </w:num>
  <w:num w:numId="33">
    <w:abstractNumId w:val="25"/>
  </w:num>
  <w:num w:numId="34">
    <w:abstractNumId w:val="25"/>
  </w:num>
  <w:num w:numId="35">
    <w:abstractNumId w:val="18"/>
  </w:num>
  <w:num w:numId="3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78"/>
    <w:rsid w:val="00001544"/>
    <w:rsid w:val="000033F8"/>
    <w:rsid w:val="00011700"/>
    <w:rsid w:val="0002652F"/>
    <w:rsid w:val="000270BA"/>
    <w:rsid w:val="00031EA1"/>
    <w:rsid w:val="0003406D"/>
    <w:rsid w:val="0004017E"/>
    <w:rsid w:val="000449C2"/>
    <w:rsid w:val="000604CC"/>
    <w:rsid w:val="00061D59"/>
    <w:rsid w:val="000626E8"/>
    <w:rsid w:val="00062EAB"/>
    <w:rsid w:val="0006780A"/>
    <w:rsid w:val="00071D18"/>
    <w:rsid w:val="00077AC5"/>
    <w:rsid w:val="00082C3F"/>
    <w:rsid w:val="00093B74"/>
    <w:rsid w:val="000A4A22"/>
    <w:rsid w:val="000B4589"/>
    <w:rsid w:val="000C60DE"/>
    <w:rsid w:val="000D65AC"/>
    <w:rsid w:val="000E0CF0"/>
    <w:rsid w:val="000E1A64"/>
    <w:rsid w:val="000E39DD"/>
    <w:rsid w:val="000F323D"/>
    <w:rsid w:val="000F3D00"/>
    <w:rsid w:val="000F5540"/>
    <w:rsid w:val="00101110"/>
    <w:rsid w:val="00104E63"/>
    <w:rsid w:val="00107726"/>
    <w:rsid w:val="00111D50"/>
    <w:rsid w:val="00115409"/>
    <w:rsid w:val="0012327E"/>
    <w:rsid w:val="001353B2"/>
    <w:rsid w:val="00137FCA"/>
    <w:rsid w:val="0014238C"/>
    <w:rsid w:val="001429E5"/>
    <w:rsid w:val="00151F8E"/>
    <w:rsid w:val="00152999"/>
    <w:rsid w:val="00152B26"/>
    <w:rsid w:val="00164CE3"/>
    <w:rsid w:val="00167DC3"/>
    <w:rsid w:val="00175A53"/>
    <w:rsid w:val="001763EE"/>
    <w:rsid w:val="00177D1D"/>
    <w:rsid w:val="00187DB0"/>
    <w:rsid w:val="00192589"/>
    <w:rsid w:val="00193A4E"/>
    <w:rsid w:val="001A08EC"/>
    <w:rsid w:val="001C0325"/>
    <w:rsid w:val="001C62B3"/>
    <w:rsid w:val="001C68CC"/>
    <w:rsid w:val="001C6D25"/>
    <w:rsid w:val="001D38A3"/>
    <w:rsid w:val="001E161A"/>
    <w:rsid w:val="001E23AC"/>
    <w:rsid w:val="001E6EF5"/>
    <w:rsid w:val="002007BD"/>
    <w:rsid w:val="00205B79"/>
    <w:rsid w:val="00214E4B"/>
    <w:rsid w:val="0022577C"/>
    <w:rsid w:val="00230CD4"/>
    <w:rsid w:val="0024777A"/>
    <w:rsid w:val="00250B16"/>
    <w:rsid w:val="00260DC3"/>
    <w:rsid w:val="0026178E"/>
    <w:rsid w:val="002619CE"/>
    <w:rsid w:val="0026525B"/>
    <w:rsid w:val="00265ADD"/>
    <w:rsid w:val="00265E97"/>
    <w:rsid w:val="002663C6"/>
    <w:rsid w:val="00275125"/>
    <w:rsid w:val="00294A11"/>
    <w:rsid w:val="002C0454"/>
    <w:rsid w:val="002C4C71"/>
    <w:rsid w:val="002C68E1"/>
    <w:rsid w:val="002C6B5D"/>
    <w:rsid w:val="002D4149"/>
    <w:rsid w:val="002D4B52"/>
    <w:rsid w:val="002D62EB"/>
    <w:rsid w:val="002E2465"/>
    <w:rsid w:val="002E2900"/>
    <w:rsid w:val="002E5FAE"/>
    <w:rsid w:val="002E7FC3"/>
    <w:rsid w:val="00303AC6"/>
    <w:rsid w:val="00305EF1"/>
    <w:rsid w:val="00306DB9"/>
    <w:rsid w:val="00313BA8"/>
    <w:rsid w:val="00322B3A"/>
    <w:rsid w:val="00327017"/>
    <w:rsid w:val="00327388"/>
    <w:rsid w:val="003369CD"/>
    <w:rsid w:val="003377CF"/>
    <w:rsid w:val="00342709"/>
    <w:rsid w:val="00345033"/>
    <w:rsid w:val="00360BF4"/>
    <w:rsid w:val="0036299F"/>
    <w:rsid w:val="00363F66"/>
    <w:rsid w:val="0036437E"/>
    <w:rsid w:val="00365C66"/>
    <w:rsid w:val="00377155"/>
    <w:rsid w:val="00384472"/>
    <w:rsid w:val="003872B1"/>
    <w:rsid w:val="003922BB"/>
    <w:rsid w:val="003964E7"/>
    <w:rsid w:val="00397C8E"/>
    <w:rsid w:val="003A041D"/>
    <w:rsid w:val="003A32C2"/>
    <w:rsid w:val="003A4A20"/>
    <w:rsid w:val="003A75F1"/>
    <w:rsid w:val="003B31AA"/>
    <w:rsid w:val="003B66A0"/>
    <w:rsid w:val="003C4870"/>
    <w:rsid w:val="003D25FF"/>
    <w:rsid w:val="003D7797"/>
    <w:rsid w:val="003E44B2"/>
    <w:rsid w:val="003E52B9"/>
    <w:rsid w:val="003E6BF1"/>
    <w:rsid w:val="003E7778"/>
    <w:rsid w:val="003F1B6E"/>
    <w:rsid w:val="003F5C2B"/>
    <w:rsid w:val="004070FF"/>
    <w:rsid w:val="004115A8"/>
    <w:rsid w:val="0042115C"/>
    <w:rsid w:val="00423D1E"/>
    <w:rsid w:val="00442FC5"/>
    <w:rsid w:val="004465A6"/>
    <w:rsid w:val="00452826"/>
    <w:rsid w:val="00460FDC"/>
    <w:rsid w:val="0047037E"/>
    <w:rsid w:val="004722FB"/>
    <w:rsid w:val="00484651"/>
    <w:rsid w:val="004907EC"/>
    <w:rsid w:val="00493BF9"/>
    <w:rsid w:val="00496D79"/>
    <w:rsid w:val="004A30E9"/>
    <w:rsid w:val="004A416D"/>
    <w:rsid w:val="004A5E8E"/>
    <w:rsid w:val="004B46C2"/>
    <w:rsid w:val="004C53DC"/>
    <w:rsid w:val="004E02E0"/>
    <w:rsid w:val="004E053B"/>
    <w:rsid w:val="004E48BD"/>
    <w:rsid w:val="004E72A0"/>
    <w:rsid w:val="004F2AE3"/>
    <w:rsid w:val="004F7B5D"/>
    <w:rsid w:val="00506C82"/>
    <w:rsid w:val="00511F2B"/>
    <w:rsid w:val="0052292F"/>
    <w:rsid w:val="00526613"/>
    <w:rsid w:val="005322B4"/>
    <w:rsid w:val="00534CF3"/>
    <w:rsid w:val="0054327C"/>
    <w:rsid w:val="00553750"/>
    <w:rsid w:val="00560093"/>
    <w:rsid w:val="005602F8"/>
    <w:rsid w:val="0056234F"/>
    <w:rsid w:val="005667B9"/>
    <w:rsid w:val="00567CB5"/>
    <w:rsid w:val="00571DC2"/>
    <w:rsid w:val="00572340"/>
    <w:rsid w:val="00584C64"/>
    <w:rsid w:val="005913A7"/>
    <w:rsid w:val="00591E24"/>
    <w:rsid w:val="005A0D34"/>
    <w:rsid w:val="005A11A2"/>
    <w:rsid w:val="005A64DD"/>
    <w:rsid w:val="005C5688"/>
    <w:rsid w:val="005C5702"/>
    <w:rsid w:val="005C6725"/>
    <w:rsid w:val="005D1CAF"/>
    <w:rsid w:val="005D2903"/>
    <w:rsid w:val="005D4AFE"/>
    <w:rsid w:val="005D5327"/>
    <w:rsid w:val="005E0551"/>
    <w:rsid w:val="005E0A3D"/>
    <w:rsid w:val="005F04A0"/>
    <w:rsid w:val="005F132C"/>
    <w:rsid w:val="005F6CE1"/>
    <w:rsid w:val="00607EBB"/>
    <w:rsid w:val="006226A7"/>
    <w:rsid w:val="006243CC"/>
    <w:rsid w:val="00630E86"/>
    <w:rsid w:val="006319EA"/>
    <w:rsid w:val="00631D3E"/>
    <w:rsid w:val="00634F96"/>
    <w:rsid w:val="006350D2"/>
    <w:rsid w:val="00642CAD"/>
    <w:rsid w:val="006513B8"/>
    <w:rsid w:val="00654B78"/>
    <w:rsid w:val="00656F62"/>
    <w:rsid w:val="0067057F"/>
    <w:rsid w:val="0067268E"/>
    <w:rsid w:val="00682301"/>
    <w:rsid w:val="00683A5F"/>
    <w:rsid w:val="0068558A"/>
    <w:rsid w:val="00685611"/>
    <w:rsid w:val="0069514C"/>
    <w:rsid w:val="00696C75"/>
    <w:rsid w:val="0069706E"/>
    <w:rsid w:val="006A1A4E"/>
    <w:rsid w:val="006B129D"/>
    <w:rsid w:val="006B1C17"/>
    <w:rsid w:val="006B53B8"/>
    <w:rsid w:val="006B71FC"/>
    <w:rsid w:val="006C385E"/>
    <w:rsid w:val="006C39FB"/>
    <w:rsid w:val="006D04EC"/>
    <w:rsid w:val="006D1D98"/>
    <w:rsid w:val="006D310A"/>
    <w:rsid w:val="006E2801"/>
    <w:rsid w:val="006E3321"/>
    <w:rsid w:val="006F092A"/>
    <w:rsid w:val="006F2C42"/>
    <w:rsid w:val="006F4AC9"/>
    <w:rsid w:val="00710C48"/>
    <w:rsid w:val="007158E8"/>
    <w:rsid w:val="00715C58"/>
    <w:rsid w:val="0071698F"/>
    <w:rsid w:val="007169E0"/>
    <w:rsid w:val="00730ACF"/>
    <w:rsid w:val="00731033"/>
    <w:rsid w:val="00732940"/>
    <w:rsid w:val="00733C50"/>
    <w:rsid w:val="007353B1"/>
    <w:rsid w:val="0073556F"/>
    <w:rsid w:val="0073587C"/>
    <w:rsid w:val="00743FEC"/>
    <w:rsid w:val="00745A1D"/>
    <w:rsid w:val="0074701E"/>
    <w:rsid w:val="00753E59"/>
    <w:rsid w:val="00776643"/>
    <w:rsid w:val="007879D5"/>
    <w:rsid w:val="007A1204"/>
    <w:rsid w:val="007A1DFE"/>
    <w:rsid w:val="007B7C50"/>
    <w:rsid w:val="007C1345"/>
    <w:rsid w:val="007C1ED7"/>
    <w:rsid w:val="007C2C00"/>
    <w:rsid w:val="007C329A"/>
    <w:rsid w:val="007C4805"/>
    <w:rsid w:val="007C62A1"/>
    <w:rsid w:val="007C712B"/>
    <w:rsid w:val="007E7084"/>
    <w:rsid w:val="007E7FC1"/>
    <w:rsid w:val="007F4F62"/>
    <w:rsid w:val="007F7B18"/>
    <w:rsid w:val="00805D13"/>
    <w:rsid w:val="0081460B"/>
    <w:rsid w:val="00815B0F"/>
    <w:rsid w:val="00822CF6"/>
    <w:rsid w:val="0083350C"/>
    <w:rsid w:val="00840DA4"/>
    <w:rsid w:val="0085371D"/>
    <w:rsid w:val="00857AE2"/>
    <w:rsid w:val="00860A96"/>
    <w:rsid w:val="008632B3"/>
    <w:rsid w:val="00865572"/>
    <w:rsid w:val="008701EE"/>
    <w:rsid w:val="008733DC"/>
    <w:rsid w:val="008773E8"/>
    <w:rsid w:val="00877CE6"/>
    <w:rsid w:val="00883BE7"/>
    <w:rsid w:val="00893062"/>
    <w:rsid w:val="008942FD"/>
    <w:rsid w:val="00895FD2"/>
    <w:rsid w:val="00896727"/>
    <w:rsid w:val="008977F1"/>
    <w:rsid w:val="008A5025"/>
    <w:rsid w:val="008B01BB"/>
    <w:rsid w:val="008B4E77"/>
    <w:rsid w:val="008B6DDF"/>
    <w:rsid w:val="008C3104"/>
    <w:rsid w:val="008C7FF7"/>
    <w:rsid w:val="008D5E23"/>
    <w:rsid w:val="008E08B9"/>
    <w:rsid w:val="008E1786"/>
    <w:rsid w:val="008E6BF5"/>
    <w:rsid w:val="008F1C1C"/>
    <w:rsid w:val="008F5430"/>
    <w:rsid w:val="0091313F"/>
    <w:rsid w:val="009138C8"/>
    <w:rsid w:val="00914E60"/>
    <w:rsid w:val="00923381"/>
    <w:rsid w:val="00932C56"/>
    <w:rsid w:val="0093777D"/>
    <w:rsid w:val="009409A1"/>
    <w:rsid w:val="00943419"/>
    <w:rsid w:val="00943A92"/>
    <w:rsid w:val="009458A2"/>
    <w:rsid w:val="00945FC7"/>
    <w:rsid w:val="009474B8"/>
    <w:rsid w:val="00950167"/>
    <w:rsid w:val="00951143"/>
    <w:rsid w:val="0095514C"/>
    <w:rsid w:val="0098429C"/>
    <w:rsid w:val="009866FE"/>
    <w:rsid w:val="009909AC"/>
    <w:rsid w:val="00993243"/>
    <w:rsid w:val="0099371B"/>
    <w:rsid w:val="009954E9"/>
    <w:rsid w:val="009B11B2"/>
    <w:rsid w:val="009C0610"/>
    <w:rsid w:val="009C1F1B"/>
    <w:rsid w:val="009C7824"/>
    <w:rsid w:val="009D1080"/>
    <w:rsid w:val="009D3FBF"/>
    <w:rsid w:val="009D4812"/>
    <w:rsid w:val="009E3CF5"/>
    <w:rsid w:val="009E5FAA"/>
    <w:rsid w:val="009F772D"/>
    <w:rsid w:val="00A025AB"/>
    <w:rsid w:val="00A02F5E"/>
    <w:rsid w:val="00A03ED7"/>
    <w:rsid w:val="00A07A4E"/>
    <w:rsid w:val="00A15902"/>
    <w:rsid w:val="00A2396B"/>
    <w:rsid w:val="00A24644"/>
    <w:rsid w:val="00A26310"/>
    <w:rsid w:val="00A26AF9"/>
    <w:rsid w:val="00A33C8E"/>
    <w:rsid w:val="00A37032"/>
    <w:rsid w:val="00A41070"/>
    <w:rsid w:val="00A5014E"/>
    <w:rsid w:val="00A50AB9"/>
    <w:rsid w:val="00A55A4B"/>
    <w:rsid w:val="00A62253"/>
    <w:rsid w:val="00A71776"/>
    <w:rsid w:val="00A8506A"/>
    <w:rsid w:val="00A946D9"/>
    <w:rsid w:val="00A974EB"/>
    <w:rsid w:val="00AA3474"/>
    <w:rsid w:val="00AA40A2"/>
    <w:rsid w:val="00AA7E28"/>
    <w:rsid w:val="00AB51F5"/>
    <w:rsid w:val="00AC6274"/>
    <w:rsid w:val="00AC631E"/>
    <w:rsid w:val="00AD6C11"/>
    <w:rsid w:val="00AE126C"/>
    <w:rsid w:val="00AF2313"/>
    <w:rsid w:val="00AF3065"/>
    <w:rsid w:val="00AF31E4"/>
    <w:rsid w:val="00AF411C"/>
    <w:rsid w:val="00B028F3"/>
    <w:rsid w:val="00B04F4E"/>
    <w:rsid w:val="00B1498A"/>
    <w:rsid w:val="00B15145"/>
    <w:rsid w:val="00B167B4"/>
    <w:rsid w:val="00B252FE"/>
    <w:rsid w:val="00B33CDF"/>
    <w:rsid w:val="00B402A5"/>
    <w:rsid w:val="00B40A13"/>
    <w:rsid w:val="00B440AC"/>
    <w:rsid w:val="00B4514D"/>
    <w:rsid w:val="00B46E08"/>
    <w:rsid w:val="00B530B8"/>
    <w:rsid w:val="00B541FE"/>
    <w:rsid w:val="00B627D1"/>
    <w:rsid w:val="00B62EB9"/>
    <w:rsid w:val="00B63853"/>
    <w:rsid w:val="00B6388A"/>
    <w:rsid w:val="00B644E6"/>
    <w:rsid w:val="00B64AFA"/>
    <w:rsid w:val="00B76971"/>
    <w:rsid w:val="00B813D3"/>
    <w:rsid w:val="00B81906"/>
    <w:rsid w:val="00B91638"/>
    <w:rsid w:val="00B929CD"/>
    <w:rsid w:val="00BB0678"/>
    <w:rsid w:val="00BB2D03"/>
    <w:rsid w:val="00BC3AE8"/>
    <w:rsid w:val="00BC4BE9"/>
    <w:rsid w:val="00BD0A88"/>
    <w:rsid w:val="00BD3518"/>
    <w:rsid w:val="00BD4FC4"/>
    <w:rsid w:val="00BF5FD1"/>
    <w:rsid w:val="00C0308A"/>
    <w:rsid w:val="00C111AE"/>
    <w:rsid w:val="00C161F2"/>
    <w:rsid w:val="00C16C3B"/>
    <w:rsid w:val="00C34553"/>
    <w:rsid w:val="00C36642"/>
    <w:rsid w:val="00C45CAB"/>
    <w:rsid w:val="00C5215D"/>
    <w:rsid w:val="00C566A6"/>
    <w:rsid w:val="00C6617D"/>
    <w:rsid w:val="00C670A3"/>
    <w:rsid w:val="00C81E2A"/>
    <w:rsid w:val="00C81F80"/>
    <w:rsid w:val="00C8473D"/>
    <w:rsid w:val="00C9310B"/>
    <w:rsid w:val="00C934D5"/>
    <w:rsid w:val="00C96BFA"/>
    <w:rsid w:val="00CA04B7"/>
    <w:rsid w:val="00CA1587"/>
    <w:rsid w:val="00CA5B01"/>
    <w:rsid w:val="00CA791D"/>
    <w:rsid w:val="00CB2A9A"/>
    <w:rsid w:val="00CC0DAE"/>
    <w:rsid w:val="00CC1010"/>
    <w:rsid w:val="00CC4825"/>
    <w:rsid w:val="00CC60EB"/>
    <w:rsid w:val="00CD4389"/>
    <w:rsid w:val="00CE2A49"/>
    <w:rsid w:val="00CE499E"/>
    <w:rsid w:val="00CF1B40"/>
    <w:rsid w:val="00CF22BD"/>
    <w:rsid w:val="00D00509"/>
    <w:rsid w:val="00D0319E"/>
    <w:rsid w:val="00D1316C"/>
    <w:rsid w:val="00D141A0"/>
    <w:rsid w:val="00D141D0"/>
    <w:rsid w:val="00D212C1"/>
    <w:rsid w:val="00D30D55"/>
    <w:rsid w:val="00D368DD"/>
    <w:rsid w:val="00D410B4"/>
    <w:rsid w:val="00D41235"/>
    <w:rsid w:val="00D57374"/>
    <w:rsid w:val="00D60A91"/>
    <w:rsid w:val="00D621F4"/>
    <w:rsid w:val="00D70710"/>
    <w:rsid w:val="00D75AAF"/>
    <w:rsid w:val="00D771F8"/>
    <w:rsid w:val="00D81FEC"/>
    <w:rsid w:val="00D95258"/>
    <w:rsid w:val="00D97524"/>
    <w:rsid w:val="00DB2C41"/>
    <w:rsid w:val="00DD4FD7"/>
    <w:rsid w:val="00DD69A8"/>
    <w:rsid w:val="00DE1A9E"/>
    <w:rsid w:val="00DE2BAA"/>
    <w:rsid w:val="00DF0C63"/>
    <w:rsid w:val="00DF23F3"/>
    <w:rsid w:val="00DF32E4"/>
    <w:rsid w:val="00DF35D9"/>
    <w:rsid w:val="00E020BC"/>
    <w:rsid w:val="00E33B7E"/>
    <w:rsid w:val="00E4158B"/>
    <w:rsid w:val="00E43E5F"/>
    <w:rsid w:val="00E4436A"/>
    <w:rsid w:val="00E4495E"/>
    <w:rsid w:val="00E457E8"/>
    <w:rsid w:val="00E47445"/>
    <w:rsid w:val="00E611B3"/>
    <w:rsid w:val="00E644BE"/>
    <w:rsid w:val="00E65F43"/>
    <w:rsid w:val="00E66C9D"/>
    <w:rsid w:val="00E6759A"/>
    <w:rsid w:val="00E67A9D"/>
    <w:rsid w:val="00E7169D"/>
    <w:rsid w:val="00E71C94"/>
    <w:rsid w:val="00E72982"/>
    <w:rsid w:val="00E74D9B"/>
    <w:rsid w:val="00E75ED3"/>
    <w:rsid w:val="00E80018"/>
    <w:rsid w:val="00E840D4"/>
    <w:rsid w:val="00E86C9B"/>
    <w:rsid w:val="00E91105"/>
    <w:rsid w:val="00E9148E"/>
    <w:rsid w:val="00EA3312"/>
    <w:rsid w:val="00EA7B92"/>
    <w:rsid w:val="00EB5089"/>
    <w:rsid w:val="00EB5B23"/>
    <w:rsid w:val="00EB7C08"/>
    <w:rsid w:val="00EB7DC7"/>
    <w:rsid w:val="00EC14E8"/>
    <w:rsid w:val="00EC19F7"/>
    <w:rsid w:val="00EC3487"/>
    <w:rsid w:val="00EC38DC"/>
    <w:rsid w:val="00EC4B5D"/>
    <w:rsid w:val="00EC5ABE"/>
    <w:rsid w:val="00ED25DB"/>
    <w:rsid w:val="00ED51CD"/>
    <w:rsid w:val="00EE0637"/>
    <w:rsid w:val="00EE4D22"/>
    <w:rsid w:val="00EF0172"/>
    <w:rsid w:val="00F00CC6"/>
    <w:rsid w:val="00F01DD4"/>
    <w:rsid w:val="00F03378"/>
    <w:rsid w:val="00F10AC2"/>
    <w:rsid w:val="00F23AFA"/>
    <w:rsid w:val="00F35D20"/>
    <w:rsid w:val="00F37BA5"/>
    <w:rsid w:val="00F40F1E"/>
    <w:rsid w:val="00F4104C"/>
    <w:rsid w:val="00F51CFD"/>
    <w:rsid w:val="00F53C5E"/>
    <w:rsid w:val="00F549DD"/>
    <w:rsid w:val="00F609C6"/>
    <w:rsid w:val="00F72EC4"/>
    <w:rsid w:val="00F86AE0"/>
    <w:rsid w:val="00F86C2D"/>
    <w:rsid w:val="00F92946"/>
    <w:rsid w:val="00F9507A"/>
    <w:rsid w:val="00F95899"/>
    <w:rsid w:val="00F970BF"/>
    <w:rsid w:val="00FA0333"/>
    <w:rsid w:val="00FB2270"/>
    <w:rsid w:val="00FB2FD2"/>
    <w:rsid w:val="00FB6F11"/>
    <w:rsid w:val="00FC76F2"/>
    <w:rsid w:val="00FE012A"/>
    <w:rsid w:val="00FE1177"/>
    <w:rsid w:val="00FE5315"/>
    <w:rsid w:val="00FF6E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qFormat/>
    <w:rsid w:val="007C62A1"/>
    <w:pPr>
      <w:numPr>
        <w:numId w:val="7"/>
      </w:numPr>
      <w:spacing w:before="360" w:after="240"/>
      <w:ind w:left="709" w:hanging="709"/>
      <w:contextualSpacing w:val="0"/>
      <w:outlineLvl w:val="1"/>
    </w:pPr>
    <w:rPr>
      <w:b/>
      <w:bCs/>
    </w:rPr>
  </w:style>
  <w:style w:type="paragraph" w:styleId="Heading3">
    <w:name w:val="heading 3"/>
    <w:basedOn w:val="Heading2"/>
    <w:next w:val="Normal"/>
    <w:link w:val="Heading3Char"/>
    <w:uiPriority w:val="9"/>
    <w:unhideWhenUsed/>
    <w:qFormat/>
    <w:rsid w:val="00DE1A9E"/>
    <w:pPr>
      <w:numPr>
        <w:ilvl w:val="1"/>
      </w:numPr>
      <w:ind w:left="720"/>
      <w:outlineLvl w:val="2"/>
    </w:p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E23AC"/>
    <w:pPr>
      <w:numPr>
        <w:numId w:val="11"/>
      </w:numPr>
      <w:spacing w:after="0" w:line="240" w:lineRule="auto"/>
      <w:contextualSpacing/>
      <w:jc w:val="both"/>
    </w:pPr>
    <w:rPr>
      <w:rFonts w:eastAsia="Times New Roman" w:cs="Arial"/>
      <w:szCs w:val="24"/>
      <w:lang w:eastAsia="ko-KR"/>
    </w:rPr>
  </w:style>
  <w:style w:type="character" w:customStyle="1" w:styleId="ListParagraphChar">
    <w:name w:val="List Paragraph Char"/>
    <w:link w:val="ListParagraph"/>
    <w:uiPriority w:val="99"/>
    <w:rsid w:val="001E23AC"/>
    <w:rPr>
      <w:rFonts w:eastAsia="Times New Roman" w:cs="Arial"/>
      <w:szCs w:val="24"/>
      <w:lang w:eastAsia="ko-KR"/>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semiHidden/>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semiHidden/>
    <w:rsid w:val="008632B3"/>
    <w:rPr>
      <w:rFonts w:ascii="Times" w:eastAsia="Times New Roman" w:hAnsi="Times" w:cs="Times New Roman"/>
      <w:sz w:val="20"/>
      <w:szCs w:val="20"/>
      <w:lang w:val="en-US"/>
    </w:rPr>
  </w:style>
  <w:style w:type="character" w:styleId="FootnoteReference">
    <w:name w:val="footnote reference"/>
    <w:rsid w:val="008632B3"/>
    <w:rPr>
      <w:vertAlign w:val="superscript"/>
    </w:rPr>
  </w:style>
  <w:style w:type="paragraph" w:customStyle="1" w:styleId="Number">
    <w:name w:val="Number"/>
    <w:basedOn w:val="Normal"/>
    <w:rsid w:val="008632B3"/>
    <w:pPr>
      <w:numPr>
        <w:ilvl w:val="1"/>
        <w:numId w:val="1"/>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1"/>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1"/>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7C62A1"/>
    <w:rPr>
      <w:rFonts w:eastAsia="Times New Roman" w:cs="Arial"/>
      <w:b/>
      <w:bCs/>
      <w:szCs w:val="24"/>
      <w:lang w:eastAsia="ko-KR"/>
    </w:rPr>
  </w:style>
  <w:style w:type="character" w:customStyle="1" w:styleId="Heading3Char">
    <w:name w:val="Heading 3 Char"/>
    <w:basedOn w:val="DefaultParagraphFont"/>
    <w:link w:val="Heading3"/>
    <w:uiPriority w:val="9"/>
    <w:rsid w:val="00DE1A9E"/>
    <w:rPr>
      <w:rFonts w:eastAsia="Times New Roman" w:cs="Arial"/>
      <w:b/>
      <w:bCs/>
      <w:szCs w:val="24"/>
      <w:lang w:eastAsia="ko-KR"/>
    </w:rPr>
  </w:style>
  <w:style w:type="paragraph" w:customStyle="1" w:styleId="Bullet">
    <w:name w:val="Bullet"/>
    <w:basedOn w:val="Normal"/>
    <w:rsid w:val="008632B3"/>
    <w:pPr>
      <w:numPr>
        <w:numId w:val="2"/>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87DB0"/>
    <w:pPr>
      <w:spacing w:before="100" w:beforeAutospacing="1" w:after="100" w:afterAutospacing="1" w:line="240" w:lineRule="auto"/>
    </w:pPr>
    <w:rPr>
      <w:rFonts w:ascii="Times New Roman" w:eastAsia="Times New Roman" w:hAnsi="Times New Roman" w:cs="Times New Roman"/>
      <w:szCs w:val="24"/>
      <w:lang w:eastAsia="en-NZ"/>
    </w:rPr>
  </w:style>
  <w:style w:type="character" w:styleId="FollowedHyperlink">
    <w:name w:val="FollowedHyperlink"/>
    <w:basedOn w:val="DefaultParagraphFont"/>
    <w:uiPriority w:val="99"/>
    <w:semiHidden/>
    <w:unhideWhenUsed/>
    <w:rsid w:val="000626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B78"/>
  </w:style>
  <w:style w:type="paragraph" w:styleId="Heading1">
    <w:name w:val="heading 1"/>
    <w:basedOn w:val="Normal"/>
    <w:next w:val="Normal"/>
    <w:link w:val="Heading1Char"/>
    <w:qFormat/>
    <w:rsid w:val="009E3CF5"/>
    <w:pPr>
      <w:spacing w:before="120" w:after="120" w:line="240" w:lineRule="auto"/>
      <w:jc w:val="center"/>
      <w:outlineLvl w:val="0"/>
    </w:pPr>
    <w:rPr>
      <w:rFonts w:cs="Arial"/>
      <w:b/>
      <w:sz w:val="28"/>
      <w:szCs w:val="28"/>
    </w:rPr>
  </w:style>
  <w:style w:type="paragraph" w:styleId="Heading2">
    <w:name w:val="heading 2"/>
    <w:basedOn w:val="ListParagraph"/>
    <w:next w:val="Normal"/>
    <w:link w:val="Heading2Char"/>
    <w:qFormat/>
    <w:rsid w:val="007C62A1"/>
    <w:pPr>
      <w:numPr>
        <w:numId w:val="7"/>
      </w:numPr>
      <w:spacing w:before="360" w:after="240"/>
      <w:ind w:left="709" w:hanging="709"/>
      <w:contextualSpacing w:val="0"/>
      <w:outlineLvl w:val="1"/>
    </w:pPr>
    <w:rPr>
      <w:b/>
      <w:bCs/>
    </w:rPr>
  </w:style>
  <w:style w:type="paragraph" w:styleId="Heading3">
    <w:name w:val="heading 3"/>
    <w:basedOn w:val="Heading2"/>
    <w:next w:val="Normal"/>
    <w:link w:val="Heading3Char"/>
    <w:uiPriority w:val="9"/>
    <w:unhideWhenUsed/>
    <w:qFormat/>
    <w:rsid w:val="00DE1A9E"/>
    <w:pPr>
      <w:numPr>
        <w:ilvl w:val="1"/>
      </w:numPr>
      <w:ind w:left="720"/>
      <w:outlineLvl w:val="2"/>
    </w:pPr>
  </w:style>
  <w:style w:type="paragraph" w:styleId="Heading4">
    <w:name w:val="heading 4"/>
    <w:basedOn w:val="Normal"/>
    <w:next w:val="Normal"/>
    <w:link w:val="Heading4Char"/>
    <w:uiPriority w:val="9"/>
    <w:unhideWhenUsed/>
    <w:qFormat/>
    <w:rsid w:val="001925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654B78"/>
    <w:rPr>
      <w:sz w:val="16"/>
      <w:szCs w:val="16"/>
    </w:rPr>
  </w:style>
  <w:style w:type="paragraph" w:styleId="CommentText">
    <w:name w:val="annotation text"/>
    <w:basedOn w:val="Normal"/>
    <w:link w:val="CommentTextChar"/>
    <w:semiHidden/>
    <w:rsid w:val="00654B78"/>
    <w:pPr>
      <w:spacing w:after="0" w:line="240" w:lineRule="auto"/>
      <w:jc w:val="both"/>
    </w:pPr>
    <w:rPr>
      <w:rFonts w:ascii="Times New Roman Mäori" w:eastAsia="Times New Roman" w:hAnsi="Times New Roman Mäori" w:cs="Times New Roman"/>
      <w:sz w:val="20"/>
      <w:szCs w:val="20"/>
    </w:rPr>
  </w:style>
  <w:style w:type="character" w:customStyle="1" w:styleId="CommentTextChar">
    <w:name w:val="Comment Text Char"/>
    <w:basedOn w:val="DefaultParagraphFont"/>
    <w:link w:val="CommentText"/>
    <w:semiHidden/>
    <w:rsid w:val="00654B78"/>
    <w:rPr>
      <w:rFonts w:ascii="Times New Roman Mäori" w:eastAsia="Times New Roman" w:hAnsi="Times New Roman Mäori" w:cs="Times New Roman"/>
      <w:sz w:val="20"/>
      <w:szCs w:val="20"/>
    </w:rPr>
  </w:style>
  <w:style w:type="paragraph" w:styleId="BalloonText">
    <w:name w:val="Balloon Text"/>
    <w:basedOn w:val="Normal"/>
    <w:link w:val="BalloonTextChar"/>
    <w:uiPriority w:val="99"/>
    <w:semiHidden/>
    <w:unhideWhenUsed/>
    <w:rsid w:val="00654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B78"/>
    <w:rPr>
      <w:rFonts w:ascii="Tahoma" w:hAnsi="Tahoma" w:cs="Tahoma"/>
      <w:sz w:val="16"/>
      <w:szCs w:val="16"/>
    </w:rPr>
  </w:style>
  <w:style w:type="paragraph" w:styleId="BodyText">
    <w:name w:val="Body Text"/>
    <w:basedOn w:val="Normal"/>
    <w:link w:val="BodyTextChar"/>
    <w:rsid w:val="00BC4BE9"/>
    <w:pPr>
      <w:spacing w:after="120" w:line="240" w:lineRule="auto"/>
      <w:jc w:val="both"/>
    </w:pPr>
    <w:rPr>
      <w:rFonts w:ascii="Times New Roman Mäori" w:eastAsia="Times New Roman" w:hAnsi="Times New Roman Mäori" w:cs="Times New Roman"/>
      <w:szCs w:val="24"/>
    </w:rPr>
  </w:style>
  <w:style w:type="character" w:customStyle="1" w:styleId="BodyTextChar">
    <w:name w:val="Body Text Char"/>
    <w:basedOn w:val="DefaultParagraphFont"/>
    <w:link w:val="BodyText"/>
    <w:rsid w:val="00BC4BE9"/>
    <w:rPr>
      <w:rFonts w:ascii="Times New Roman Mäori" w:eastAsia="Times New Roman" w:hAnsi="Times New Roman Mäori" w:cs="Times New Roman"/>
      <w:szCs w:val="24"/>
    </w:rPr>
  </w:style>
  <w:style w:type="paragraph" w:styleId="BodyTextIndent3">
    <w:name w:val="Body Text Indent 3"/>
    <w:basedOn w:val="Normal"/>
    <w:link w:val="BodyTextIndent3Char"/>
    <w:rsid w:val="00BC4BE9"/>
    <w:pPr>
      <w:spacing w:after="120" w:line="240" w:lineRule="auto"/>
      <w:ind w:left="283"/>
    </w:pPr>
    <w:rPr>
      <w:rFonts w:ascii="Arial Mäori" w:eastAsia="Times New Roman" w:hAnsi="Arial Mäori" w:cs="Times New Roman"/>
      <w:sz w:val="16"/>
      <w:szCs w:val="16"/>
    </w:rPr>
  </w:style>
  <w:style w:type="character" w:customStyle="1" w:styleId="BodyTextIndent3Char">
    <w:name w:val="Body Text Indent 3 Char"/>
    <w:basedOn w:val="DefaultParagraphFont"/>
    <w:link w:val="BodyTextIndent3"/>
    <w:rsid w:val="00BC4BE9"/>
    <w:rPr>
      <w:rFonts w:ascii="Arial Mäori" w:eastAsia="Times New Roman" w:hAnsi="Arial Mäori" w:cs="Times New Roman"/>
      <w:sz w:val="16"/>
      <w:szCs w:val="16"/>
    </w:rPr>
  </w:style>
  <w:style w:type="table" w:styleId="TableGrid">
    <w:name w:val="Table Grid"/>
    <w:basedOn w:val="TableNormal"/>
    <w:uiPriority w:val="39"/>
    <w:rsid w:val="00BC4BE9"/>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1E23AC"/>
    <w:pPr>
      <w:numPr>
        <w:numId w:val="11"/>
      </w:numPr>
      <w:spacing w:after="0" w:line="240" w:lineRule="auto"/>
      <w:contextualSpacing/>
      <w:jc w:val="both"/>
    </w:pPr>
    <w:rPr>
      <w:rFonts w:eastAsia="Times New Roman" w:cs="Arial"/>
      <w:szCs w:val="24"/>
      <w:lang w:eastAsia="ko-KR"/>
    </w:rPr>
  </w:style>
  <w:style w:type="character" w:customStyle="1" w:styleId="ListParagraphChar">
    <w:name w:val="List Paragraph Char"/>
    <w:link w:val="ListParagraph"/>
    <w:uiPriority w:val="99"/>
    <w:rsid w:val="001E23AC"/>
    <w:rPr>
      <w:rFonts w:eastAsia="Times New Roman" w:cs="Arial"/>
      <w:szCs w:val="24"/>
      <w:lang w:eastAsia="ko-KR"/>
    </w:rPr>
  </w:style>
  <w:style w:type="paragraph" w:styleId="Footer">
    <w:name w:val="footer"/>
    <w:basedOn w:val="Normal"/>
    <w:link w:val="FooterChar"/>
    <w:uiPriority w:val="99"/>
    <w:rsid w:val="00496D79"/>
    <w:pPr>
      <w:tabs>
        <w:tab w:val="center" w:pos="4153"/>
        <w:tab w:val="right" w:pos="8306"/>
      </w:tabs>
      <w:spacing w:after="0" w:line="240" w:lineRule="auto"/>
      <w:jc w:val="both"/>
    </w:pPr>
    <w:rPr>
      <w:rFonts w:ascii="Times New Roman Mäori" w:eastAsia="Times New Roman" w:hAnsi="Times New Roman Mäori" w:cs="Times New Roman"/>
      <w:szCs w:val="24"/>
    </w:rPr>
  </w:style>
  <w:style w:type="character" w:customStyle="1" w:styleId="FooterChar">
    <w:name w:val="Footer Char"/>
    <w:basedOn w:val="DefaultParagraphFont"/>
    <w:link w:val="Footer"/>
    <w:uiPriority w:val="99"/>
    <w:rsid w:val="00496D79"/>
    <w:rPr>
      <w:rFonts w:ascii="Times New Roman Mäori" w:eastAsia="Times New Roman" w:hAnsi="Times New Roman Mäori" w:cs="Times New Roman"/>
      <w:szCs w:val="24"/>
    </w:rPr>
  </w:style>
  <w:style w:type="paragraph" w:styleId="Header">
    <w:name w:val="header"/>
    <w:basedOn w:val="Normal"/>
    <w:link w:val="HeaderChar"/>
    <w:uiPriority w:val="99"/>
    <w:unhideWhenUsed/>
    <w:rsid w:val="007C1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345"/>
  </w:style>
  <w:style w:type="paragraph" w:styleId="FootnoteText">
    <w:name w:val="footnote text"/>
    <w:basedOn w:val="Normal"/>
    <w:link w:val="FootnoteTextChar"/>
    <w:semiHidden/>
    <w:rsid w:val="008632B3"/>
    <w:pPr>
      <w:spacing w:after="0" w:line="240" w:lineRule="auto"/>
    </w:pPr>
    <w:rPr>
      <w:rFonts w:ascii="Times" w:eastAsia="Times New Roman" w:hAnsi="Times" w:cs="Times New Roman"/>
      <w:sz w:val="20"/>
      <w:szCs w:val="20"/>
      <w:lang w:val="en-US"/>
    </w:rPr>
  </w:style>
  <w:style w:type="character" w:customStyle="1" w:styleId="FootnoteTextChar">
    <w:name w:val="Footnote Text Char"/>
    <w:basedOn w:val="DefaultParagraphFont"/>
    <w:link w:val="FootnoteText"/>
    <w:semiHidden/>
    <w:rsid w:val="008632B3"/>
    <w:rPr>
      <w:rFonts w:ascii="Times" w:eastAsia="Times New Roman" w:hAnsi="Times" w:cs="Times New Roman"/>
      <w:sz w:val="20"/>
      <w:szCs w:val="20"/>
      <w:lang w:val="en-US"/>
    </w:rPr>
  </w:style>
  <w:style w:type="character" w:styleId="FootnoteReference">
    <w:name w:val="footnote reference"/>
    <w:rsid w:val="008632B3"/>
    <w:rPr>
      <w:vertAlign w:val="superscript"/>
    </w:rPr>
  </w:style>
  <w:style w:type="paragraph" w:customStyle="1" w:styleId="Number">
    <w:name w:val="Number"/>
    <w:basedOn w:val="Normal"/>
    <w:rsid w:val="008632B3"/>
    <w:pPr>
      <w:numPr>
        <w:ilvl w:val="1"/>
        <w:numId w:val="1"/>
      </w:numPr>
      <w:spacing w:before="240" w:after="0" w:line="240" w:lineRule="auto"/>
    </w:pPr>
    <w:rPr>
      <w:rFonts w:eastAsia="Times New Roman" w:cs="Times New Roman"/>
      <w:szCs w:val="20"/>
      <w:lang w:eastAsia="en-GB"/>
    </w:rPr>
  </w:style>
  <w:style w:type="paragraph" w:customStyle="1" w:styleId="Sub-number">
    <w:name w:val="Sub-number"/>
    <w:basedOn w:val="Normal"/>
    <w:rsid w:val="008632B3"/>
    <w:pPr>
      <w:numPr>
        <w:ilvl w:val="2"/>
        <w:numId w:val="1"/>
      </w:numPr>
      <w:spacing w:before="120" w:after="0" w:line="240" w:lineRule="auto"/>
    </w:pPr>
    <w:rPr>
      <w:rFonts w:eastAsia="Times New Roman" w:cs="Times New Roman"/>
      <w:szCs w:val="20"/>
      <w:lang w:eastAsia="en-GB"/>
    </w:rPr>
  </w:style>
  <w:style w:type="paragraph" w:customStyle="1" w:styleId="StyleHeading1LatinArialComplexArial">
    <w:name w:val="Style Heading 1 + (Latin) Arial (Complex) Arial"/>
    <w:basedOn w:val="Heading1"/>
    <w:rsid w:val="008632B3"/>
    <w:pPr>
      <w:numPr>
        <w:numId w:val="1"/>
      </w:numPr>
      <w:tabs>
        <w:tab w:val="clear" w:pos="567"/>
        <w:tab w:val="num" w:pos="360"/>
      </w:tabs>
      <w:ind w:left="360" w:hanging="360"/>
    </w:pPr>
    <w:rPr>
      <w:rFonts w:eastAsia="Times New Roman"/>
      <w:b w:val="0"/>
      <w:bCs/>
      <w:szCs w:val="24"/>
      <w:lang w:eastAsia="en-GB"/>
    </w:rPr>
  </w:style>
  <w:style w:type="character" w:customStyle="1" w:styleId="Heading1Char">
    <w:name w:val="Heading 1 Char"/>
    <w:basedOn w:val="DefaultParagraphFont"/>
    <w:link w:val="Heading1"/>
    <w:rsid w:val="009E3CF5"/>
    <w:rPr>
      <w:rFonts w:cs="Arial"/>
      <w:b/>
      <w:sz w:val="28"/>
      <w:szCs w:val="28"/>
    </w:rPr>
  </w:style>
  <w:style w:type="character" w:customStyle="1" w:styleId="Heading2Char">
    <w:name w:val="Heading 2 Char"/>
    <w:basedOn w:val="DefaultParagraphFont"/>
    <w:link w:val="Heading2"/>
    <w:rsid w:val="007C62A1"/>
    <w:rPr>
      <w:rFonts w:eastAsia="Times New Roman" w:cs="Arial"/>
      <w:b/>
      <w:bCs/>
      <w:szCs w:val="24"/>
      <w:lang w:eastAsia="ko-KR"/>
    </w:rPr>
  </w:style>
  <w:style w:type="character" w:customStyle="1" w:styleId="Heading3Char">
    <w:name w:val="Heading 3 Char"/>
    <w:basedOn w:val="DefaultParagraphFont"/>
    <w:link w:val="Heading3"/>
    <w:uiPriority w:val="9"/>
    <w:rsid w:val="00DE1A9E"/>
    <w:rPr>
      <w:rFonts w:eastAsia="Times New Roman" w:cs="Arial"/>
      <w:b/>
      <w:bCs/>
      <w:szCs w:val="24"/>
      <w:lang w:eastAsia="ko-KR"/>
    </w:rPr>
  </w:style>
  <w:style w:type="paragraph" w:customStyle="1" w:styleId="Bullet">
    <w:name w:val="Bullet"/>
    <w:basedOn w:val="Normal"/>
    <w:rsid w:val="008632B3"/>
    <w:pPr>
      <w:numPr>
        <w:numId w:val="2"/>
      </w:numPr>
      <w:spacing w:before="120" w:after="0" w:line="240" w:lineRule="auto"/>
    </w:pPr>
    <w:rPr>
      <w:rFonts w:eastAsia="Times New Roman" w:cs="Times New Roman"/>
      <w:szCs w:val="20"/>
      <w:lang w:eastAsia="en-GB"/>
    </w:rPr>
  </w:style>
  <w:style w:type="paragraph" w:styleId="CommentSubject">
    <w:name w:val="annotation subject"/>
    <w:basedOn w:val="CommentText"/>
    <w:next w:val="CommentText"/>
    <w:link w:val="CommentSubjectChar"/>
    <w:uiPriority w:val="99"/>
    <w:semiHidden/>
    <w:unhideWhenUsed/>
    <w:rsid w:val="00AF31E4"/>
    <w:pPr>
      <w:spacing w:after="20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AF31E4"/>
    <w:rPr>
      <w:rFonts w:ascii="Times New Roman Mäori" w:eastAsia="Times New Roman" w:hAnsi="Times New Roman Mäori" w:cs="Times New Roman"/>
      <w:b/>
      <w:bCs/>
      <w:sz w:val="20"/>
      <w:szCs w:val="20"/>
    </w:rPr>
  </w:style>
  <w:style w:type="paragraph" w:styleId="Revision">
    <w:name w:val="Revision"/>
    <w:hidden/>
    <w:uiPriority w:val="99"/>
    <w:semiHidden/>
    <w:rsid w:val="00776643"/>
    <w:pPr>
      <w:spacing w:after="0" w:line="240" w:lineRule="auto"/>
    </w:pPr>
  </w:style>
  <w:style w:type="character" w:styleId="Hyperlink">
    <w:name w:val="Hyperlink"/>
    <w:basedOn w:val="DefaultParagraphFont"/>
    <w:uiPriority w:val="99"/>
    <w:unhideWhenUsed/>
    <w:rsid w:val="00A50AB9"/>
    <w:rPr>
      <w:color w:val="0000FF" w:themeColor="hyperlink"/>
      <w:u w:val="single"/>
    </w:rPr>
  </w:style>
  <w:style w:type="character" w:customStyle="1" w:styleId="Heading4Char">
    <w:name w:val="Heading 4 Char"/>
    <w:basedOn w:val="DefaultParagraphFont"/>
    <w:link w:val="Heading4"/>
    <w:uiPriority w:val="9"/>
    <w:rsid w:val="00192589"/>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87DB0"/>
    <w:pPr>
      <w:spacing w:before="100" w:beforeAutospacing="1" w:after="100" w:afterAutospacing="1" w:line="240" w:lineRule="auto"/>
    </w:pPr>
    <w:rPr>
      <w:rFonts w:ascii="Times New Roman" w:eastAsia="Times New Roman" w:hAnsi="Times New Roman" w:cs="Times New Roman"/>
      <w:szCs w:val="24"/>
      <w:lang w:eastAsia="en-NZ"/>
    </w:rPr>
  </w:style>
  <w:style w:type="character" w:styleId="FollowedHyperlink">
    <w:name w:val="FollowedHyperlink"/>
    <w:basedOn w:val="DefaultParagraphFont"/>
    <w:uiPriority w:val="99"/>
    <w:semiHidden/>
    <w:unhideWhenUsed/>
    <w:rsid w:val="00062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4946">
      <w:bodyDiv w:val="1"/>
      <w:marLeft w:val="0"/>
      <w:marRight w:val="0"/>
      <w:marTop w:val="0"/>
      <w:marBottom w:val="0"/>
      <w:divBdr>
        <w:top w:val="none" w:sz="0" w:space="0" w:color="auto"/>
        <w:left w:val="none" w:sz="0" w:space="0" w:color="auto"/>
        <w:bottom w:val="none" w:sz="0" w:space="0" w:color="auto"/>
        <w:right w:val="none" w:sz="0" w:space="0" w:color="auto"/>
      </w:divBdr>
    </w:div>
    <w:div w:id="221408107">
      <w:bodyDiv w:val="1"/>
      <w:marLeft w:val="0"/>
      <w:marRight w:val="0"/>
      <w:marTop w:val="0"/>
      <w:marBottom w:val="0"/>
      <w:divBdr>
        <w:top w:val="none" w:sz="0" w:space="0" w:color="auto"/>
        <w:left w:val="none" w:sz="0" w:space="0" w:color="auto"/>
        <w:bottom w:val="none" w:sz="0" w:space="0" w:color="FFFFFF"/>
        <w:right w:val="none" w:sz="0" w:space="0" w:color="auto"/>
      </w:divBdr>
      <w:divsChild>
        <w:div w:id="248465957">
          <w:marLeft w:val="0"/>
          <w:marRight w:val="0"/>
          <w:marTop w:val="0"/>
          <w:marBottom w:val="0"/>
          <w:divBdr>
            <w:top w:val="single" w:sz="36" w:space="0" w:color="C1B2C1"/>
            <w:left w:val="single" w:sz="36" w:space="0" w:color="C1B2C1"/>
            <w:bottom w:val="single" w:sz="36" w:space="0" w:color="C1B2C1"/>
            <w:right w:val="single" w:sz="36" w:space="0" w:color="C1B2C1"/>
          </w:divBdr>
          <w:divsChild>
            <w:div w:id="567107891">
              <w:marLeft w:val="0"/>
              <w:marRight w:val="0"/>
              <w:marTop w:val="0"/>
              <w:marBottom w:val="0"/>
              <w:divBdr>
                <w:top w:val="none" w:sz="0" w:space="0" w:color="auto"/>
                <w:left w:val="none" w:sz="0" w:space="0" w:color="auto"/>
                <w:bottom w:val="none" w:sz="0" w:space="0" w:color="auto"/>
                <w:right w:val="none" w:sz="0" w:space="0" w:color="auto"/>
              </w:divBdr>
              <w:divsChild>
                <w:div w:id="442841400">
                  <w:marLeft w:val="2775"/>
                  <w:marRight w:val="0"/>
                  <w:marTop w:val="0"/>
                  <w:marBottom w:val="0"/>
                  <w:divBdr>
                    <w:top w:val="none" w:sz="0" w:space="0" w:color="auto"/>
                    <w:left w:val="none" w:sz="0" w:space="0" w:color="auto"/>
                    <w:bottom w:val="none" w:sz="0" w:space="0" w:color="auto"/>
                    <w:right w:val="none" w:sz="0" w:space="0" w:color="auto"/>
                  </w:divBdr>
                  <w:divsChild>
                    <w:div w:id="646856489">
                      <w:marLeft w:val="0"/>
                      <w:marRight w:val="0"/>
                      <w:marTop w:val="0"/>
                      <w:marBottom w:val="0"/>
                      <w:divBdr>
                        <w:top w:val="none" w:sz="0" w:space="0" w:color="auto"/>
                        <w:left w:val="none" w:sz="0" w:space="0" w:color="auto"/>
                        <w:bottom w:val="none" w:sz="0" w:space="0" w:color="FFFFFF"/>
                        <w:right w:val="none" w:sz="0" w:space="0" w:color="auto"/>
                      </w:divBdr>
                    </w:div>
                  </w:divsChild>
                </w:div>
              </w:divsChild>
            </w:div>
          </w:divsChild>
        </w:div>
      </w:divsChild>
    </w:div>
    <w:div w:id="1620717582">
      <w:bodyDiv w:val="1"/>
      <w:marLeft w:val="0"/>
      <w:marRight w:val="0"/>
      <w:marTop w:val="0"/>
      <w:marBottom w:val="0"/>
      <w:divBdr>
        <w:top w:val="none" w:sz="0" w:space="0" w:color="auto"/>
        <w:left w:val="none" w:sz="0" w:space="0" w:color="auto"/>
        <w:bottom w:val="none" w:sz="0" w:space="0" w:color="auto"/>
        <w:right w:val="none" w:sz="0" w:space="0" w:color="auto"/>
      </w:divBdr>
    </w:div>
    <w:div w:id="2036611545">
      <w:bodyDiv w:val="1"/>
      <w:marLeft w:val="0"/>
      <w:marRight w:val="0"/>
      <w:marTop w:val="0"/>
      <w:marBottom w:val="0"/>
      <w:divBdr>
        <w:top w:val="none" w:sz="0" w:space="0" w:color="auto"/>
        <w:left w:val="none" w:sz="0" w:space="0" w:color="auto"/>
        <w:bottom w:val="none" w:sz="0" w:space="0" w:color="auto"/>
        <w:right w:val="none" w:sz="0" w:space="0" w:color="auto"/>
      </w:divBdr>
      <w:divsChild>
        <w:div w:id="623274328">
          <w:marLeft w:val="0"/>
          <w:marRight w:val="0"/>
          <w:marTop w:val="0"/>
          <w:marBottom w:val="0"/>
          <w:divBdr>
            <w:top w:val="none" w:sz="0" w:space="0" w:color="auto"/>
            <w:left w:val="none" w:sz="0" w:space="0" w:color="auto"/>
            <w:bottom w:val="none" w:sz="0" w:space="0" w:color="auto"/>
            <w:right w:val="none" w:sz="0" w:space="0" w:color="auto"/>
          </w:divBdr>
          <w:divsChild>
            <w:div w:id="97721550">
              <w:marLeft w:val="0"/>
              <w:marRight w:val="0"/>
              <w:marTop w:val="0"/>
              <w:marBottom w:val="0"/>
              <w:divBdr>
                <w:top w:val="none" w:sz="0" w:space="0" w:color="auto"/>
                <w:left w:val="none" w:sz="0" w:space="0" w:color="auto"/>
                <w:bottom w:val="none" w:sz="0" w:space="0" w:color="auto"/>
                <w:right w:val="none" w:sz="0" w:space="0" w:color="auto"/>
              </w:divBdr>
              <w:divsChild>
                <w:div w:id="150105089">
                  <w:marLeft w:val="0"/>
                  <w:marRight w:val="0"/>
                  <w:marTop w:val="0"/>
                  <w:marBottom w:val="0"/>
                  <w:divBdr>
                    <w:top w:val="none" w:sz="0" w:space="0" w:color="auto"/>
                    <w:left w:val="none" w:sz="0" w:space="0" w:color="auto"/>
                    <w:bottom w:val="none" w:sz="0" w:space="0" w:color="auto"/>
                    <w:right w:val="none" w:sz="0" w:space="0" w:color="auto"/>
                  </w:divBdr>
                  <w:divsChild>
                    <w:div w:id="1941987802">
                      <w:marLeft w:val="0"/>
                      <w:marRight w:val="0"/>
                      <w:marTop w:val="0"/>
                      <w:marBottom w:val="0"/>
                      <w:divBdr>
                        <w:top w:val="none" w:sz="0" w:space="0" w:color="auto"/>
                        <w:left w:val="none" w:sz="0" w:space="0" w:color="auto"/>
                        <w:bottom w:val="none" w:sz="0" w:space="0" w:color="auto"/>
                        <w:right w:val="none" w:sz="0" w:space="0" w:color="auto"/>
                      </w:divBdr>
                      <w:divsChild>
                        <w:div w:id="417674644">
                          <w:marLeft w:val="0"/>
                          <w:marRight w:val="0"/>
                          <w:marTop w:val="0"/>
                          <w:marBottom w:val="0"/>
                          <w:divBdr>
                            <w:top w:val="none" w:sz="0" w:space="0" w:color="auto"/>
                            <w:left w:val="none" w:sz="0" w:space="0" w:color="auto"/>
                            <w:bottom w:val="none" w:sz="0" w:space="0" w:color="auto"/>
                            <w:right w:val="none" w:sz="0" w:space="0" w:color="auto"/>
                          </w:divBdr>
                          <w:divsChild>
                            <w:div w:id="861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7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oleObject" Target="embeddings/Microsoft_Word_97_-_2003_Document1.doc"/><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Microsoft_Word_97_-_2003_Document2.doc"/><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tepou.co.nz/library/tepou/lets-get-real-disability"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www.enablinggoodlives.co.nz/about-egl/resources/provider-resources/organisational-self-review/" TargetMode="External"/><Relationship Id="rId14" Type="http://schemas.openxmlformats.org/officeDocument/2006/relationships/footer" Target="footer2.xml"/><Relationship Id="rId22"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C9F9-AB99-40EF-B469-C3B5C950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6124</Words>
  <Characters>34912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Murray Penman</cp:lastModifiedBy>
  <cp:revision>2</cp:revision>
  <cp:lastPrinted>2015-10-21T06:23:00Z</cp:lastPrinted>
  <dcterms:created xsi:type="dcterms:W3CDTF">2015-11-01T23:13:00Z</dcterms:created>
  <dcterms:modified xsi:type="dcterms:W3CDTF">2015-11-26T19:26:00Z</dcterms:modified>
</cp:coreProperties>
</file>