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5181" w14:textId="5ABFBC3C" w:rsidR="00654B78" w:rsidRPr="0071761F" w:rsidRDefault="00654B78" w:rsidP="0071761F">
      <w:pPr>
        <w:spacing w:after="0" w:line="240" w:lineRule="auto"/>
        <w:jc w:val="center"/>
        <w:rPr>
          <w:rFonts w:cs="Arial"/>
          <w:b/>
          <w:szCs w:val="24"/>
        </w:rPr>
      </w:pPr>
      <w:r w:rsidRPr="0071761F">
        <w:rPr>
          <w:rFonts w:cs="Arial"/>
          <w:b/>
          <w:szCs w:val="24"/>
        </w:rPr>
        <w:t>Disability Support Services</w:t>
      </w:r>
      <w:r w:rsidR="00944171">
        <w:rPr>
          <w:rFonts w:cs="Arial"/>
          <w:b/>
          <w:szCs w:val="24"/>
        </w:rPr>
        <w:t xml:space="preserve"> (DSS)</w:t>
      </w:r>
    </w:p>
    <w:p w14:paraId="37D692F0" w14:textId="0F75FB53" w:rsidR="00654B78" w:rsidRPr="0071761F" w:rsidRDefault="000E0CF0" w:rsidP="0071761F">
      <w:pPr>
        <w:spacing w:after="0" w:line="240" w:lineRule="auto"/>
        <w:jc w:val="center"/>
        <w:rPr>
          <w:rFonts w:cs="Arial"/>
          <w:b/>
          <w:szCs w:val="24"/>
        </w:rPr>
      </w:pPr>
      <w:r w:rsidRPr="0071761F">
        <w:rPr>
          <w:rFonts w:cs="Arial"/>
          <w:b/>
          <w:szCs w:val="24"/>
        </w:rPr>
        <w:t xml:space="preserve">Tier Two </w:t>
      </w:r>
      <w:r w:rsidR="00654B78" w:rsidRPr="0071761F">
        <w:rPr>
          <w:rFonts w:cs="Arial"/>
          <w:b/>
          <w:szCs w:val="24"/>
        </w:rPr>
        <w:t>Service Specification</w:t>
      </w:r>
    </w:p>
    <w:p w14:paraId="3DCFC932" w14:textId="36C727AD" w:rsidR="009E3CF5" w:rsidRPr="0071761F" w:rsidRDefault="0071761F" w:rsidP="0071761F">
      <w:pPr>
        <w:spacing w:after="0" w:line="240" w:lineRule="auto"/>
        <w:jc w:val="center"/>
        <w:rPr>
          <w:rFonts w:cs="Arial"/>
          <w:b/>
          <w:szCs w:val="24"/>
        </w:rPr>
      </w:pPr>
      <w:r>
        <w:rPr>
          <w:rFonts w:cs="Arial"/>
          <w:b/>
          <w:szCs w:val="24"/>
        </w:rPr>
        <w:t>DSSCCL CHOICE IN COMMUNITY LIVING</w:t>
      </w:r>
    </w:p>
    <w:p w14:paraId="08D42215" w14:textId="77777777" w:rsidR="0071761F" w:rsidRDefault="0071761F" w:rsidP="0071761F">
      <w:pPr>
        <w:spacing w:before="120"/>
        <w:rPr>
          <w:rFonts w:cs="Arial"/>
          <w:b/>
          <w:bCs/>
          <w:szCs w:val="24"/>
        </w:rPr>
      </w:pPr>
    </w:p>
    <w:p w14:paraId="67664BFE" w14:textId="77777777" w:rsidR="009954E9" w:rsidRPr="0071761F" w:rsidRDefault="00654B78" w:rsidP="0071761F">
      <w:pPr>
        <w:numPr>
          <w:ilvl w:val="0"/>
          <w:numId w:val="4"/>
        </w:numPr>
        <w:spacing w:before="240"/>
        <w:ind w:left="0" w:firstLine="0"/>
        <w:rPr>
          <w:rFonts w:cs="Arial"/>
          <w:b/>
          <w:bCs/>
          <w:szCs w:val="24"/>
        </w:rPr>
      </w:pPr>
      <w:r w:rsidRPr="0071761F">
        <w:rPr>
          <w:rFonts w:cs="Arial"/>
          <w:b/>
          <w:bCs/>
          <w:szCs w:val="24"/>
        </w:rPr>
        <w:t>Introduction</w:t>
      </w:r>
    </w:p>
    <w:p w14:paraId="5A7E3E64" w14:textId="08256D3D" w:rsidR="00654B78" w:rsidRPr="00BD0A88" w:rsidRDefault="00654B78" w:rsidP="001E23AC">
      <w:pPr>
        <w:jc w:val="both"/>
      </w:pPr>
      <w:r w:rsidRPr="00BD0A88">
        <w:t xml:space="preserve">This </w:t>
      </w:r>
      <w:r w:rsidR="00B40A13" w:rsidRPr="00BD0A88">
        <w:t>T</w:t>
      </w:r>
      <w:r w:rsidRPr="00BD0A88">
        <w:t xml:space="preserve">ier </w:t>
      </w:r>
      <w:r w:rsidR="00B40A13" w:rsidRPr="00BD0A88">
        <w:t>T</w:t>
      </w:r>
      <w:r w:rsidRPr="00BD0A88">
        <w:t xml:space="preserve">wo </w:t>
      </w:r>
      <w:r w:rsidR="00B40A13" w:rsidRPr="00BD0A88">
        <w:t>S</w:t>
      </w:r>
      <w:r w:rsidRPr="00BD0A88">
        <w:t xml:space="preserve">ervice </w:t>
      </w:r>
      <w:r w:rsidR="00B40A13" w:rsidRPr="00BD0A88">
        <w:t>S</w:t>
      </w:r>
      <w:r w:rsidRPr="00BD0A88">
        <w:t>pecifi</w:t>
      </w:r>
      <w:r w:rsidR="00FA0064">
        <w:t xml:space="preserve">cation defines what service providers </w:t>
      </w:r>
      <w:r w:rsidR="008F0810">
        <w:t xml:space="preserve">will </w:t>
      </w:r>
      <w:r w:rsidR="00842D24">
        <w:t xml:space="preserve">deliver through </w:t>
      </w:r>
      <w:r w:rsidR="00FA0064">
        <w:t>Choice in Community Living</w:t>
      </w:r>
      <w:r w:rsidR="00193A4E" w:rsidRPr="00BD0A88">
        <w:t>.</w:t>
      </w:r>
      <w:r w:rsidR="00104024">
        <w:t xml:space="preserve"> The</w:t>
      </w:r>
      <w:r w:rsidR="005F47C4">
        <w:t xml:space="preserve"> specification</w:t>
      </w:r>
      <w:r w:rsidR="000033F8" w:rsidRPr="00BD0A88">
        <w:t xml:space="preserve"> should be </w:t>
      </w:r>
      <w:r w:rsidR="00943A92" w:rsidRPr="00BD0A88">
        <w:t>read</w:t>
      </w:r>
      <w:r w:rsidR="00F4007E">
        <w:t xml:space="preserve"> in conjunction with</w:t>
      </w:r>
      <w:r w:rsidR="000033F8" w:rsidRPr="00BD0A88">
        <w:t xml:space="preserve"> </w:t>
      </w:r>
      <w:r w:rsidR="005F6945">
        <w:t xml:space="preserve">the Outcome Agreement terms and </w:t>
      </w:r>
      <w:r w:rsidR="000033F8" w:rsidRPr="00BD0A88">
        <w:t>DSS</w:t>
      </w:r>
      <w:r w:rsidR="00F4007E">
        <w:t>’s</w:t>
      </w:r>
      <w:r w:rsidR="000033F8" w:rsidRPr="00BD0A88">
        <w:t xml:space="preserve"> Tier One Service Specification, which details </w:t>
      </w:r>
      <w:r w:rsidR="00B40A13" w:rsidRPr="00BD0A88">
        <w:t>r</w:t>
      </w:r>
      <w:r w:rsidR="000033F8" w:rsidRPr="00BD0A88">
        <w:t xml:space="preserve">equirements common to all services funded by </w:t>
      </w:r>
      <w:r w:rsidR="00D403F5">
        <w:t>Whaikaha – Ministry of Disabled People</w:t>
      </w:r>
      <w:r w:rsidR="000033F8" w:rsidRPr="00BD0A88">
        <w:t>.</w:t>
      </w:r>
    </w:p>
    <w:p w14:paraId="382C6A7B" w14:textId="77777777" w:rsidR="009866FE" w:rsidRPr="0071761F" w:rsidRDefault="00164CE3" w:rsidP="0071761F">
      <w:pPr>
        <w:numPr>
          <w:ilvl w:val="0"/>
          <w:numId w:val="4"/>
        </w:numPr>
        <w:spacing w:before="120"/>
        <w:ind w:left="0" w:firstLine="0"/>
        <w:rPr>
          <w:rFonts w:cs="Arial"/>
          <w:b/>
          <w:bCs/>
          <w:szCs w:val="24"/>
        </w:rPr>
      </w:pPr>
      <w:r w:rsidRPr="0071761F">
        <w:rPr>
          <w:rFonts w:cs="Arial"/>
          <w:b/>
          <w:bCs/>
          <w:szCs w:val="24"/>
        </w:rPr>
        <w:t xml:space="preserve">Service </w:t>
      </w:r>
      <w:r w:rsidR="00BC4BE9" w:rsidRPr="0071761F">
        <w:rPr>
          <w:rFonts w:cs="Arial"/>
          <w:b/>
          <w:bCs/>
          <w:szCs w:val="24"/>
        </w:rPr>
        <w:t>Definition</w:t>
      </w:r>
    </w:p>
    <w:p w14:paraId="1AFDB698" w14:textId="77DE608B" w:rsidR="008632B3" w:rsidRPr="004B04A0" w:rsidRDefault="00ED40D8" w:rsidP="001E23AC">
      <w:pPr>
        <w:jc w:val="both"/>
        <w:rPr>
          <w:bCs/>
        </w:rPr>
      </w:pPr>
      <w:r>
        <w:t>Choice in Community Living</w:t>
      </w:r>
      <w:r w:rsidR="004F75F8" w:rsidRPr="004B04A0">
        <w:rPr>
          <w:bCs/>
        </w:rPr>
        <w:t xml:space="preserve"> provides individual support for </w:t>
      </w:r>
      <w:r w:rsidR="00D3128B" w:rsidRPr="004B04A0">
        <w:rPr>
          <w:bCs/>
        </w:rPr>
        <w:t>a disabled person</w:t>
      </w:r>
      <w:r w:rsidR="00C35B48">
        <w:rPr>
          <w:bCs/>
        </w:rPr>
        <w:t>,</w:t>
      </w:r>
      <w:r w:rsidR="004F75F8" w:rsidRPr="004B04A0">
        <w:rPr>
          <w:bCs/>
        </w:rPr>
        <w:t xml:space="preserve"> who might otherwise need residential services</w:t>
      </w:r>
      <w:r w:rsidR="00DF3FB9" w:rsidRPr="004B04A0">
        <w:rPr>
          <w:bCs/>
        </w:rPr>
        <w:t>,</w:t>
      </w:r>
      <w:r w:rsidR="004F75F8" w:rsidRPr="004B04A0">
        <w:rPr>
          <w:bCs/>
        </w:rPr>
        <w:t xml:space="preserve"> to plan for and live</w:t>
      </w:r>
      <w:r w:rsidR="000B11C3">
        <w:rPr>
          <w:bCs/>
        </w:rPr>
        <w:t xml:space="preserve"> more</w:t>
      </w:r>
      <w:r w:rsidR="001757C7" w:rsidRPr="004B04A0">
        <w:rPr>
          <w:bCs/>
        </w:rPr>
        <w:t xml:space="preserve"> independently</w:t>
      </w:r>
      <w:r w:rsidR="004F75F8" w:rsidRPr="004B04A0">
        <w:rPr>
          <w:bCs/>
        </w:rPr>
        <w:t xml:space="preserve"> in a home of their choice.</w:t>
      </w:r>
    </w:p>
    <w:p w14:paraId="1252AAC1" w14:textId="0BF376B5" w:rsidR="002E16F8" w:rsidRPr="004B04A0" w:rsidRDefault="001757C7" w:rsidP="001E23AC">
      <w:pPr>
        <w:jc w:val="both"/>
        <w:rPr>
          <w:bCs/>
        </w:rPr>
      </w:pPr>
      <w:r w:rsidRPr="004B04A0">
        <w:rPr>
          <w:bCs/>
        </w:rPr>
        <w:t xml:space="preserve">A </w:t>
      </w:r>
      <w:r w:rsidR="003D7797" w:rsidRPr="004B04A0">
        <w:rPr>
          <w:bCs/>
        </w:rPr>
        <w:t>Provider</w:t>
      </w:r>
      <w:r w:rsidR="008F0810">
        <w:rPr>
          <w:bCs/>
        </w:rPr>
        <w:t xml:space="preserve"> delivering</w:t>
      </w:r>
      <w:r w:rsidR="002E16F8" w:rsidRPr="004B04A0">
        <w:rPr>
          <w:bCs/>
        </w:rPr>
        <w:t xml:space="preserve"> </w:t>
      </w:r>
      <w:r w:rsidR="00ED40D8">
        <w:t>Choice in Community Living</w:t>
      </w:r>
      <w:r w:rsidRPr="004B04A0">
        <w:rPr>
          <w:bCs/>
        </w:rPr>
        <w:t xml:space="preserve"> </w:t>
      </w:r>
      <w:r w:rsidR="006F092A" w:rsidRPr="004B04A0">
        <w:rPr>
          <w:bCs/>
        </w:rPr>
        <w:t>will work with</w:t>
      </w:r>
      <w:r w:rsidR="00D3128B" w:rsidRPr="004B04A0">
        <w:rPr>
          <w:bCs/>
        </w:rPr>
        <w:t xml:space="preserve"> each P</w:t>
      </w:r>
      <w:r w:rsidRPr="004B04A0">
        <w:rPr>
          <w:bCs/>
        </w:rPr>
        <w:t xml:space="preserve">erson to purchase and/or </w:t>
      </w:r>
      <w:r w:rsidR="006F092A" w:rsidRPr="004B04A0">
        <w:rPr>
          <w:bCs/>
        </w:rPr>
        <w:t xml:space="preserve">provide supports that are directed by the </w:t>
      </w:r>
      <w:r w:rsidR="003D7797" w:rsidRPr="004B04A0">
        <w:rPr>
          <w:bCs/>
        </w:rPr>
        <w:t>Person</w:t>
      </w:r>
      <w:r w:rsidR="006F092A" w:rsidRPr="004B04A0">
        <w:rPr>
          <w:bCs/>
        </w:rPr>
        <w:t xml:space="preserve"> (and their representative/ family/</w:t>
      </w:r>
      <w:r w:rsidR="00745BBA">
        <w:rPr>
          <w:bCs/>
        </w:rPr>
        <w:t>whān</w:t>
      </w:r>
      <w:r w:rsidR="00D403F5">
        <w:rPr>
          <w:bCs/>
        </w:rPr>
        <w:t>a</w:t>
      </w:r>
      <w:r w:rsidR="0074701E" w:rsidRPr="004B04A0">
        <w:rPr>
          <w:bCs/>
        </w:rPr>
        <w:t>u</w:t>
      </w:r>
      <w:r w:rsidR="006F092A" w:rsidRPr="004B04A0">
        <w:rPr>
          <w:bCs/>
        </w:rPr>
        <w:t>)</w:t>
      </w:r>
      <w:r w:rsidRPr="004B04A0">
        <w:rPr>
          <w:bCs/>
        </w:rPr>
        <w:t xml:space="preserve"> to achieve this purpose</w:t>
      </w:r>
      <w:r w:rsidR="001E23AC" w:rsidRPr="004B04A0">
        <w:rPr>
          <w:bCs/>
        </w:rPr>
        <w:t xml:space="preserve">. </w:t>
      </w:r>
    </w:p>
    <w:p w14:paraId="086D772C" w14:textId="77777777" w:rsidR="00BC4BE9" w:rsidRPr="00C66D12" w:rsidRDefault="00BC4BE9" w:rsidP="00CF210E">
      <w:pPr>
        <w:pStyle w:val="Heading3"/>
        <w:spacing w:before="240" w:after="120"/>
        <w:ind w:left="709" w:hanging="709"/>
        <w:rPr>
          <w:b w:val="0"/>
          <w:i/>
        </w:rPr>
      </w:pPr>
      <w:r w:rsidRPr="00C66D12">
        <w:rPr>
          <w:b w:val="0"/>
          <w:i/>
        </w:rPr>
        <w:t>Key Terms</w:t>
      </w:r>
    </w:p>
    <w:p w14:paraId="6A818A47" w14:textId="77777777" w:rsidR="00A26AF9" w:rsidRPr="00DF1F94" w:rsidRDefault="00BC4BE9" w:rsidP="001E23AC">
      <w:pPr>
        <w:jc w:val="both"/>
        <w:rPr>
          <w:lang w:val="en-GB"/>
        </w:rPr>
      </w:pPr>
      <w:r w:rsidRPr="00DF1F94">
        <w:rPr>
          <w:lang w:val="en-GB"/>
        </w:rPr>
        <w:t xml:space="preserve">The following are definitions of key terms used in this </w:t>
      </w:r>
      <w:r w:rsidR="00B40A13" w:rsidRPr="00DF1F94">
        <w:rPr>
          <w:lang w:val="en-GB"/>
        </w:rPr>
        <w:t>S</w:t>
      </w:r>
      <w:r w:rsidRPr="00DF1F94">
        <w:rPr>
          <w:lang w:val="en-GB"/>
        </w:rPr>
        <w:t xml:space="preserve">ervice </w:t>
      </w:r>
      <w:r w:rsidR="00B40A13" w:rsidRPr="00DF1F94">
        <w:rPr>
          <w:lang w:val="en-GB"/>
        </w:rPr>
        <w:t>S</w:t>
      </w:r>
      <w:r w:rsidRPr="00DF1F94">
        <w:rPr>
          <w:lang w:val="en-GB"/>
        </w:rPr>
        <w:t>pecification</w:t>
      </w:r>
      <w:r w:rsidR="000E0CF0" w:rsidRPr="00DF1F94">
        <w:rPr>
          <w:lang w:val="en-GB"/>
        </w:rPr>
        <w:t>:</w:t>
      </w:r>
    </w:p>
    <w:tbl>
      <w:tblPr>
        <w:tblStyle w:val="TableGrid"/>
        <w:tblW w:w="9209" w:type="dxa"/>
        <w:tblLayout w:type="fixed"/>
        <w:tblCellMar>
          <w:top w:w="85" w:type="dxa"/>
          <w:bottom w:w="85" w:type="dxa"/>
        </w:tblCellMar>
        <w:tblLook w:val="04A0" w:firstRow="1" w:lastRow="0" w:firstColumn="1" w:lastColumn="0" w:noHBand="0" w:noVBand="1"/>
      </w:tblPr>
      <w:tblGrid>
        <w:gridCol w:w="2518"/>
        <w:gridCol w:w="6691"/>
      </w:tblGrid>
      <w:tr w:rsidR="004F75F8" w:rsidRPr="004F75F8" w14:paraId="1F370640" w14:textId="77777777" w:rsidTr="00307C82">
        <w:trPr>
          <w:tblHeader/>
        </w:trPr>
        <w:tc>
          <w:tcPr>
            <w:tcW w:w="2518" w:type="dxa"/>
          </w:tcPr>
          <w:p w14:paraId="06A2C7F2" w14:textId="77777777" w:rsidR="00BC4BE9" w:rsidRPr="00FC069E" w:rsidRDefault="00BC4BE9" w:rsidP="001E23AC">
            <w:pPr>
              <w:pStyle w:val="BodyTextIndent3"/>
              <w:spacing w:after="0"/>
              <w:ind w:left="0" w:right="335"/>
              <w:rPr>
                <w:rFonts w:ascii="Arial" w:hAnsi="Arial" w:cs="Arial"/>
                <w:b/>
                <w:sz w:val="22"/>
                <w:szCs w:val="22"/>
              </w:rPr>
            </w:pPr>
            <w:bookmarkStart w:id="0" w:name="Table1"/>
            <w:r w:rsidRPr="00FC069E">
              <w:rPr>
                <w:rFonts w:ascii="Arial" w:hAnsi="Arial" w:cs="Arial"/>
                <w:b/>
                <w:sz w:val="22"/>
                <w:szCs w:val="22"/>
              </w:rPr>
              <w:t>Term</w:t>
            </w:r>
          </w:p>
        </w:tc>
        <w:tc>
          <w:tcPr>
            <w:tcW w:w="6691" w:type="dxa"/>
          </w:tcPr>
          <w:p w14:paraId="2DDD55F3" w14:textId="77777777" w:rsidR="00BC4BE9" w:rsidRPr="00FC069E" w:rsidRDefault="00BC4BE9" w:rsidP="001E23AC">
            <w:pPr>
              <w:pStyle w:val="BodyTextIndent3"/>
              <w:spacing w:after="0"/>
              <w:ind w:left="0" w:right="335"/>
              <w:rPr>
                <w:rFonts w:ascii="Arial" w:hAnsi="Arial" w:cs="Arial"/>
                <w:b/>
                <w:sz w:val="22"/>
                <w:szCs w:val="22"/>
              </w:rPr>
            </w:pPr>
            <w:r w:rsidRPr="00FC069E">
              <w:rPr>
                <w:rFonts w:ascii="Arial" w:hAnsi="Arial" w:cs="Arial"/>
                <w:b/>
                <w:sz w:val="22"/>
                <w:szCs w:val="22"/>
              </w:rPr>
              <w:t>Definition</w:t>
            </w:r>
          </w:p>
        </w:tc>
      </w:tr>
      <w:tr w:rsidR="00983EF3" w:rsidRPr="004F75F8" w14:paraId="7EF72959" w14:textId="77777777" w:rsidTr="00307C82">
        <w:tc>
          <w:tcPr>
            <w:tcW w:w="2518" w:type="dxa"/>
          </w:tcPr>
          <w:p w14:paraId="5039972C" w14:textId="36020A8F" w:rsidR="00983EF3" w:rsidRPr="00FC069E" w:rsidRDefault="00983EF3" w:rsidP="00983EF3">
            <w:pPr>
              <w:overflowPunct w:val="0"/>
              <w:autoSpaceDE w:val="0"/>
              <w:autoSpaceDN w:val="0"/>
              <w:adjustRightInd w:val="0"/>
              <w:rPr>
                <w:rFonts w:cs="Arial"/>
              </w:rPr>
            </w:pPr>
            <w:r>
              <w:rPr>
                <w:rFonts w:ascii="Arial" w:hAnsi="Arial" w:cs="Arial"/>
                <w:b/>
                <w:sz w:val="22"/>
                <w:szCs w:val="22"/>
              </w:rPr>
              <w:t>Approved Service Standard</w:t>
            </w:r>
          </w:p>
        </w:tc>
        <w:tc>
          <w:tcPr>
            <w:tcW w:w="6691" w:type="dxa"/>
          </w:tcPr>
          <w:p w14:paraId="4C694E8C" w14:textId="075BDD6E" w:rsidR="00983EF3" w:rsidRDefault="00983EF3" w:rsidP="00983EF3">
            <w:pPr>
              <w:overflowPunct w:val="0"/>
              <w:autoSpaceDE w:val="0"/>
              <w:autoSpaceDN w:val="0"/>
              <w:adjustRightInd w:val="0"/>
              <w:rPr>
                <w:rFonts w:cs="Arial"/>
              </w:rPr>
            </w:pPr>
            <w:r w:rsidRPr="006D100E">
              <w:rPr>
                <w:rFonts w:ascii="Arial" w:hAnsi="Arial" w:cs="Arial"/>
                <w:sz w:val="22"/>
                <w:szCs w:val="22"/>
              </w:rPr>
              <w:t>The Provider is required to maintain Certification as required under the Ngā Paerewa Health and Disability Services Standard NZS 8134:2021. All overarching services must be compliant with partially new standards by1 August 2023 and must be fully compliant with the new standards by 1 February 2024.</w:t>
            </w:r>
          </w:p>
        </w:tc>
      </w:tr>
      <w:tr w:rsidR="00983EF3" w:rsidRPr="004F75F8" w14:paraId="218EC88B" w14:textId="77777777" w:rsidTr="00307C82">
        <w:tc>
          <w:tcPr>
            <w:tcW w:w="2518" w:type="dxa"/>
          </w:tcPr>
          <w:p w14:paraId="242E122A" w14:textId="77777777" w:rsidR="00983EF3" w:rsidRPr="00FC069E" w:rsidRDefault="00983EF3" w:rsidP="00983EF3">
            <w:pPr>
              <w:overflowPunct w:val="0"/>
              <w:autoSpaceDE w:val="0"/>
              <w:autoSpaceDN w:val="0"/>
              <w:adjustRightInd w:val="0"/>
              <w:spacing w:line="276" w:lineRule="auto"/>
              <w:rPr>
                <w:rFonts w:ascii="Arial" w:hAnsi="Arial" w:cs="Arial"/>
                <w:sz w:val="24"/>
                <w:szCs w:val="24"/>
                <w:lang w:val="en-GB" w:eastAsia="en-US"/>
              </w:rPr>
            </w:pPr>
            <w:r w:rsidRPr="00FC069E">
              <w:rPr>
                <w:rFonts w:ascii="Arial" w:hAnsi="Arial" w:cs="Arial"/>
              </w:rPr>
              <w:t>Budget Period</w:t>
            </w:r>
          </w:p>
        </w:tc>
        <w:tc>
          <w:tcPr>
            <w:tcW w:w="6691" w:type="dxa"/>
          </w:tcPr>
          <w:p w14:paraId="167BAC54" w14:textId="7199EBBD" w:rsidR="00983EF3" w:rsidRPr="00FC069E" w:rsidRDefault="00983EF3" w:rsidP="00983EF3">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Is t</w:t>
            </w:r>
            <w:r w:rsidRPr="00FC069E">
              <w:rPr>
                <w:rFonts w:ascii="Arial" w:hAnsi="Arial" w:cs="Arial"/>
              </w:rPr>
              <w:t>he period of time (usu</w:t>
            </w:r>
            <w:r>
              <w:rPr>
                <w:rFonts w:ascii="Arial" w:hAnsi="Arial" w:cs="Arial"/>
              </w:rPr>
              <w:t>ally a 12 month period) that a P</w:t>
            </w:r>
            <w:r w:rsidRPr="00FC069E">
              <w:rPr>
                <w:rFonts w:ascii="Arial" w:hAnsi="Arial" w:cs="Arial"/>
              </w:rPr>
              <w:t>erson ca</w:t>
            </w:r>
            <w:r>
              <w:rPr>
                <w:rFonts w:ascii="Arial" w:hAnsi="Arial" w:cs="Arial"/>
              </w:rPr>
              <w:t>n expend their Personal Budget</w:t>
            </w:r>
            <w:r w:rsidRPr="00FC069E">
              <w:rPr>
                <w:rFonts w:ascii="Arial" w:hAnsi="Arial" w:cs="Arial"/>
              </w:rPr>
              <w:t xml:space="preserve"> </w:t>
            </w:r>
            <w:r>
              <w:rPr>
                <w:rFonts w:ascii="Arial" w:hAnsi="Arial" w:cs="Arial"/>
              </w:rPr>
              <w:t xml:space="preserve">for </w:t>
            </w:r>
            <w:r w:rsidRPr="00ED40D8">
              <w:rPr>
                <w:rFonts w:ascii="Arial" w:hAnsi="Arial" w:cs="Arial"/>
              </w:rPr>
              <w:t>Choice in Community Living</w:t>
            </w:r>
            <w:r>
              <w:rPr>
                <w:rFonts w:ascii="Arial" w:hAnsi="Arial" w:cs="Arial"/>
              </w:rPr>
              <w:t xml:space="preserve"> services.</w:t>
            </w:r>
            <w:r w:rsidRPr="00FC069E">
              <w:rPr>
                <w:rFonts w:ascii="Arial" w:hAnsi="Arial" w:cs="Arial"/>
              </w:rPr>
              <w:t xml:space="preserve"> The NASC </w:t>
            </w:r>
            <w:r>
              <w:rPr>
                <w:rFonts w:ascii="Arial" w:hAnsi="Arial" w:cs="Arial"/>
              </w:rPr>
              <w:t>will give the P</w:t>
            </w:r>
            <w:r w:rsidRPr="00FC069E">
              <w:rPr>
                <w:rFonts w:ascii="Arial" w:hAnsi="Arial" w:cs="Arial"/>
              </w:rPr>
              <w:t>erson a start date and a review date</w:t>
            </w:r>
            <w:r>
              <w:rPr>
                <w:rFonts w:ascii="Arial" w:hAnsi="Arial" w:cs="Arial"/>
              </w:rPr>
              <w:t xml:space="preserve"> for the service.</w:t>
            </w:r>
            <w:r w:rsidRPr="00FC069E">
              <w:rPr>
                <w:rFonts w:ascii="Arial" w:hAnsi="Arial" w:cs="Arial"/>
              </w:rPr>
              <w:t xml:space="preserve"> </w:t>
            </w:r>
            <w:r>
              <w:rPr>
                <w:rFonts w:ascii="Arial" w:hAnsi="Arial" w:cs="Arial"/>
              </w:rPr>
              <w:t>This duration</w:t>
            </w:r>
            <w:r w:rsidRPr="00FC069E">
              <w:rPr>
                <w:rFonts w:ascii="Arial" w:hAnsi="Arial" w:cs="Arial"/>
              </w:rPr>
              <w:t xml:space="preserve"> is known as the Budget Period.</w:t>
            </w:r>
          </w:p>
        </w:tc>
      </w:tr>
      <w:tr w:rsidR="00983EF3" w:rsidRPr="004F75F8" w14:paraId="266F0889" w14:textId="77777777" w:rsidTr="00307C82">
        <w:tc>
          <w:tcPr>
            <w:tcW w:w="2518" w:type="dxa"/>
          </w:tcPr>
          <w:p w14:paraId="33CADA7A" w14:textId="3755E163" w:rsidR="00983EF3" w:rsidRPr="00DF1F94" w:rsidRDefault="00983EF3" w:rsidP="00983EF3">
            <w:pPr>
              <w:overflowPunct w:val="0"/>
              <w:autoSpaceDE w:val="0"/>
              <w:autoSpaceDN w:val="0"/>
              <w:adjustRightInd w:val="0"/>
              <w:rPr>
                <w:rFonts w:cs="Arial"/>
              </w:rPr>
            </w:pPr>
            <w:r>
              <w:rPr>
                <w:rFonts w:ascii="Arial" w:hAnsi="Arial" w:cs="Arial"/>
              </w:rPr>
              <w:t>Direct Fund Holding</w:t>
            </w:r>
          </w:p>
        </w:tc>
        <w:tc>
          <w:tcPr>
            <w:tcW w:w="6691" w:type="dxa"/>
          </w:tcPr>
          <w:p w14:paraId="082C4C12" w14:textId="0B8F8762" w:rsidR="00983EF3" w:rsidRPr="00187DB0" w:rsidRDefault="00983EF3" w:rsidP="00983EF3">
            <w:pPr>
              <w:overflowPunct w:val="0"/>
              <w:autoSpaceDE w:val="0"/>
              <w:autoSpaceDN w:val="0"/>
              <w:adjustRightInd w:val="0"/>
              <w:rPr>
                <w:rFonts w:cs="Arial"/>
              </w:rPr>
            </w:pPr>
            <w:r>
              <w:rPr>
                <w:rFonts w:ascii="Arial" w:hAnsi="Arial" w:cs="Arial"/>
              </w:rPr>
              <w:t>Is a service that administers a Person’s budget when they purchase their own supports. It may also include supporting and coaching the Person on their employer responsibilities if they are self-managing their supports as well as invoicing and monitoring the services they employ.</w:t>
            </w:r>
          </w:p>
        </w:tc>
      </w:tr>
      <w:tr w:rsidR="00983EF3" w:rsidRPr="004F75F8" w14:paraId="15BC6531" w14:textId="77777777" w:rsidTr="00307C82">
        <w:tc>
          <w:tcPr>
            <w:tcW w:w="2518" w:type="dxa"/>
          </w:tcPr>
          <w:p w14:paraId="7473FC76" w14:textId="7570617C" w:rsidR="00983EF3" w:rsidRDefault="00983EF3" w:rsidP="00983EF3">
            <w:pPr>
              <w:overflowPunct w:val="0"/>
              <w:autoSpaceDE w:val="0"/>
              <w:autoSpaceDN w:val="0"/>
              <w:adjustRightInd w:val="0"/>
              <w:rPr>
                <w:rFonts w:cs="Arial"/>
              </w:rPr>
            </w:pPr>
            <w:r w:rsidRPr="00DF1F94">
              <w:rPr>
                <w:rFonts w:ascii="Arial" w:hAnsi="Arial" w:cs="Arial"/>
              </w:rPr>
              <w:t>Disability Supports</w:t>
            </w:r>
          </w:p>
        </w:tc>
        <w:tc>
          <w:tcPr>
            <w:tcW w:w="6691" w:type="dxa"/>
          </w:tcPr>
          <w:p w14:paraId="20A930A8" w14:textId="3FD59F94" w:rsidR="00983EF3" w:rsidRDefault="00983EF3" w:rsidP="00983EF3">
            <w:pPr>
              <w:overflowPunct w:val="0"/>
              <w:autoSpaceDE w:val="0"/>
              <w:autoSpaceDN w:val="0"/>
              <w:adjustRightInd w:val="0"/>
              <w:rPr>
                <w:rFonts w:cs="Arial"/>
              </w:rPr>
            </w:pPr>
            <w:r>
              <w:rPr>
                <w:rFonts w:ascii="Arial" w:hAnsi="Arial" w:cs="Arial"/>
              </w:rPr>
              <w:t>Are supports provided</w:t>
            </w:r>
            <w:r w:rsidRPr="00187DB0">
              <w:rPr>
                <w:rFonts w:ascii="Arial" w:hAnsi="Arial" w:cs="Arial"/>
              </w:rPr>
              <w:t xml:space="preserve"> to</w:t>
            </w:r>
            <w:r>
              <w:rPr>
                <w:rFonts w:ascii="Arial" w:hAnsi="Arial" w:cs="Arial"/>
              </w:rPr>
              <w:t xml:space="preserve"> meet the additional needs</w:t>
            </w:r>
            <w:r w:rsidRPr="00187DB0">
              <w:rPr>
                <w:rFonts w:ascii="Arial" w:hAnsi="Arial" w:cs="Arial"/>
              </w:rPr>
              <w:t xml:space="preserve"> of</w:t>
            </w:r>
            <w:r>
              <w:rPr>
                <w:rFonts w:ascii="Arial" w:hAnsi="Arial" w:cs="Arial"/>
              </w:rPr>
              <w:t xml:space="preserve"> people</w:t>
            </w:r>
            <w:r w:rsidRPr="00187DB0">
              <w:rPr>
                <w:rFonts w:ascii="Arial" w:hAnsi="Arial" w:cs="Arial"/>
              </w:rPr>
              <w:t xml:space="preserve"> living with a disability.</w:t>
            </w:r>
          </w:p>
        </w:tc>
      </w:tr>
      <w:tr w:rsidR="00983EF3" w:rsidRPr="004F75F8" w14:paraId="3E02068E" w14:textId="77777777" w:rsidTr="00307C82">
        <w:tc>
          <w:tcPr>
            <w:tcW w:w="2518" w:type="dxa"/>
          </w:tcPr>
          <w:p w14:paraId="5B564700" w14:textId="77777777" w:rsidR="00983EF3" w:rsidRPr="008E5398" w:rsidRDefault="00983EF3" w:rsidP="00983EF3">
            <w:pPr>
              <w:overflowPunct w:val="0"/>
              <w:autoSpaceDE w:val="0"/>
              <w:autoSpaceDN w:val="0"/>
              <w:adjustRightInd w:val="0"/>
              <w:spacing w:line="276" w:lineRule="auto"/>
              <w:rPr>
                <w:rFonts w:ascii="Arial" w:hAnsi="Arial" w:cs="Arial"/>
                <w:sz w:val="24"/>
                <w:szCs w:val="24"/>
                <w:lang w:val="en-GB" w:eastAsia="en-US"/>
              </w:rPr>
            </w:pPr>
            <w:r w:rsidRPr="008E5398">
              <w:rPr>
                <w:rFonts w:ascii="Arial" w:hAnsi="Arial" w:cs="Arial"/>
              </w:rPr>
              <w:t>Facilitated Buying</w:t>
            </w:r>
          </w:p>
        </w:tc>
        <w:tc>
          <w:tcPr>
            <w:tcW w:w="6691" w:type="dxa"/>
          </w:tcPr>
          <w:p w14:paraId="17EEC4D6" w14:textId="7EECC778" w:rsidR="00983EF3" w:rsidRPr="008E5398" w:rsidRDefault="00983EF3" w:rsidP="00983EF3">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 xml:space="preserve">Is where the </w:t>
            </w:r>
            <w:r w:rsidRPr="00ED40D8">
              <w:rPr>
                <w:rFonts w:ascii="Arial" w:hAnsi="Arial" w:cs="Arial"/>
              </w:rPr>
              <w:t>Choice in Community Living</w:t>
            </w:r>
            <w:r w:rsidRPr="008E5398">
              <w:rPr>
                <w:rFonts w:ascii="Arial" w:hAnsi="Arial" w:cs="Arial"/>
              </w:rPr>
              <w:t xml:space="preserve"> provider purchases disability support from a third party provider on behalf of the Person.</w:t>
            </w:r>
          </w:p>
        </w:tc>
      </w:tr>
      <w:tr w:rsidR="00983EF3" w:rsidRPr="004F75F8" w14:paraId="04254DFE" w14:textId="77777777" w:rsidTr="00307C82">
        <w:tc>
          <w:tcPr>
            <w:tcW w:w="2518" w:type="dxa"/>
          </w:tcPr>
          <w:p w14:paraId="2A86EBEE" w14:textId="262DC166" w:rsidR="00983EF3" w:rsidRPr="008E5398" w:rsidRDefault="00983EF3" w:rsidP="00983EF3">
            <w:pPr>
              <w:overflowPunct w:val="0"/>
              <w:autoSpaceDE w:val="0"/>
              <w:autoSpaceDN w:val="0"/>
              <w:adjustRightInd w:val="0"/>
              <w:spacing w:line="276" w:lineRule="auto"/>
              <w:rPr>
                <w:rFonts w:cs="Arial"/>
              </w:rPr>
            </w:pPr>
            <w:r w:rsidRPr="003733D5">
              <w:rPr>
                <w:rFonts w:ascii="Arial" w:hAnsi="Arial" w:cs="Arial"/>
              </w:rPr>
              <w:lastRenderedPageBreak/>
              <w:t>Flexible Support</w:t>
            </w:r>
          </w:p>
        </w:tc>
        <w:tc>
          <w:tcPr>
            <w:tcW w:w="6691" w:type="dxa"/>
          </w:tcPr>
          <w:p w14:paraId="1515E600" w14:textId="4137A64A" w:rsidR="00983EF3" w:rsidRDefault="00983EF3" w:rsidP="00983EF3">
            <w:pPr>
              <w:overflowPunct w:val="0"/>
              <w:autoSpaceDE w:val="0"/>
              <w:autoSpaceDN w:val="0"/>
              <w:adjustRightInd w:val="0"/>
              <w:rPr>
                <w:rFonts w:cs="Arial"/>
              </w:rPr>
            </w:pPr>
            <w:r w:rsidRPr="003733D5">
              <w:rPr>
                <w:rFonts w:ascii="Arial" w:hAnsi="Arial" w:cs="Arial"/>
              </w:rPr>
              <w:t xml:space="preserve">Is when </w:t>
            </w:r>
            <w:r>
              <w:rPr>
                <w:rFonts w:ascii="Arial" w:hAnsi="Arial" w:cs="Arial"/>
              </w:rPr>
              <w:t>the Provider flexibly delivers</w:t>
            </w:r>
            <w:r w:rsidRPr="003733D5">
              <w:rPr>
                <w:rFonts w:ascii="Arial" w:hAnsi="Arial" w:cs="Arial"/>
              </w:rPr>
              <w:t xml:space="preserve"> some or all of the supports the Person requires</w:t>
            </w:r>
            <w:r>
              <w:rPr>
                <w:rFonts w:ascii="Arial" w:hAnsi="Arial" w:cs="Arial"/>
              </w:rPr>
              <w:t xml:space="preserve"> to meet the identified outcomes in </w:t>
            </w:r>
            <w:r w:rsidRPr="003733D5">
              <w:rPr>
                <w:rFonts w:ascii="Arial" w:hAnsi="Arial" w:cs="Arial"/>
              </w:rPr>
              <w:t>their Support Plan</w:t>
            </w:r>
          </w:p>
        </w:tc>
      </w:tr>
      <w:tr w:rsidR="00983EF3" w:rsidRPr="004F75F8" w14:paraId="027E5CA6" w14:textId="77777777" w:rsidTr="00307C82">
        <w:tc>
          <w:tcPr>
            <w:tcW w:w="2518" w:type="dxa"/>
          </w:tcPr>
          <w:p w14:paraId="2740D103" w14:textId="77777777" w:rsidR="00983EF3" w:rsidRPr="00DF1F94" w:rsidRDefault="00983EF3" w:rsidP="00983EF3">
            <w:pPr>
              <w:overflowPunct w:val="0"/>
              <w:autoSpaceDE w:val="0"/>
              <w:autoSpaceDN w:val="0"/>
              <w:adjustRightInd w:val="0"/>
              <w:rPr>
                <w:rFonts w:ascii="Arial" w:hAnsi="Arial" w:cs="Arial"/>
              </w:rPr>
            </w:pPr>
            <w:r w:rsidRPr="00DF1F94">
              <w:rPr>
                <w:rFonts w:ascii="Arial" w:hAnsi="Arial" w:cs="Arial"/>
              </w:rPr>
              <w:t xml:space="preserve">Ministry </w:t>
            </w:r>
          </w:p>
        </w:tc>
        <w:tc>
          <w:tcPr>
            <w:tcW w:w="6691" w:type="dxa"/>
          </w:tcPr>
          <w:p w14:paraId="7C9F3342" w14:textId="6A015D8C" w:rsidR="00983EF3" w:rsidRPr="00DF1F94" w:rsidRDefault="00F80365" w:rsidP="00983EF3">
            <w:pPr>
              <w:overflowPunct w:val="0"/>
              <w:autoSpaceDE w:val="0"/>
              <w:autoSpaceDN w:val="0"/>
              <w:adjustRightInd w:val="0"/>
              <w:rPr>
                <w:rFonts w:ascii="Arial" w:hAnsi="Arial" w:cs="Arial"/>
              </w:rPr>
            </w:pPr>
            <w:r>
              <w:rPr>
                <w:rFonts w:ascii="Arial" w:hAnsi="Arial" w:cs="Arial"/>
              </w:rPr>
              <w:t>Whaikaha – Ministry of Disabled People</w:t>
            </w:r>
            <w:r w:rsidR="00983EF3" w:rsidRPr="00DF1F94">
              <w:rPr>
                <w:rFonts w:ascii="Arial" w:hAnsi="Arial" w:cs="Arial"/>
              </w:rPr>
              <w:t xml:space="preserve"> (Funder)</w:t>
            </w:r>
          </w:p>
        </w:tc>
      </w:tr>
      <w:tr w:rsidR="00983EF3" w:rsidRPr="004F75F8" w14:paraId="35B74AD4" w14:textId="77777777" w:rsidTr="00307C82">
        <w:trPr>
          <w:trHeight w:val="1029"/>
        </w:trPr>
        <w:tc>
          <w:tcPr>
            <w:tcW w:w="2518" w:type="dxa"/>
          </w:tcPr>
          <w:p w14:paraId="1910C604" w14:textId="04A70294" w:rsidR="00983EF3" w:rsidRPr="00DF1F94" w:rsidRDefault="00983EF3" w:rsidP="00983EF3">
            <w:pPr>
              <w:overflowPunct w:val="0"/>
              <w:autoSpaceDE w:val="0"/>
              <w:autoSpaceDN w:val="0"/>
              <w:adjustRightInd w:val="0"/>
              <w:spacing w:line="276" w:lineRule="auto"/>
              <w:jc w:val="left"/>
              <w:rPr>
                <w:rFonts w:ascii="Arial" w:hAnsi="Arial" w:cs="Arial"/>
                <w:sz w:val="24"/>
                <w:szCs w:val="24"/>
                <w:lang w:val="en-GB" w:eastAsia="en-US"/>
              </w:rPr>
            </w:pPr>
            <w:r w:rsidRPr="00DF1F94">
              <w:rPr>
                <w:rFonts w:ascii="Arial" w:hAnsi="Arial" w:cs="Arial"/>
              </w:rPr>
              <w:t>N</w:t>
            </w:r>
            <w:r>
              <w:rPr>
                <w:rFonts w:ascii="Arial" w:hAnsi="Arial" w:cs="Arial"/>
              </w:rPr>
              <w:t>eeds Assessment and Service Coordination (N</w:t>
            </w:r>
            <w:r w:rsidRPr="00DF1F94">
              <w:rPr>
                <w:rFonts w:ascii="Arial" w:hAnsi="Arial" w:cs="Arial"/>
              </w:rPr>
              <w:t>ASC</w:t>
            </w:r>
            <w:r>
              <w:rPr>
                <w:rFonts w:ascii="Arial" w:hAnsi="Arial" w:cs="Arial"/>
              </w:rPr>
              <w:t>)</w:t>
            </w:r>
            <w:r w:rsidRPr="00DF1F94">
              <w:rPr>
                <w:rFonts w:ascii="Arial" w:hAnsi="Arial" w:cs="Arial"/>
              </w:rPr>
              <w:t xml:space="preserve"> </w:t>
            </w:r>
          </w:p>
        </w:tc>
        <w:tc>
          <w:tcPr>
            <w:tcW w:w="6691" w:type="dxa"/>
          </w:tcPr>
          <w:p w14:paraId="33894F63" w14:textId="76C3F202" w:rsidR="00983EF3" w:rsidRPr="00DF1F94" w:rsidRDefault="00983EF3" w:rsidP="00983EF3">
            <w:pPr>
              <w:overflowPunct w:val="0"/>
              <w:autoSpaceDE w:val="0"/>
              <w:autoSpaceDN w:val="0"/>
              <w:adjustRightInd w:val="0"/>
              <w:spacing w:line="276" w:lineRule="auto"/>
              <w:rPr>
                <w:rFonts w:ascii="Arial" w:hAnsi="Arial" w:cs="Arial"/>
                <w:sz w:val="24"/>
                <w:szCs w:val="24"/>
                <w:lang w:val="en-GB" w:eastAsia="en-US"/>
              </w:rPr>
            </w:pPr>
            <w:r w:rsidRPr="00E4577A">
              <w:rPr>
                <w:rFonts w:ascii="Arial" w:hAnsi="Arial" w:cs="Arial"/>
              </w:rPr>
              <w:t>NASCs are services funded by the Ministry.  Their roles are to determine eligibility, assess the Person’s level of disability support needs, inform People / families / advocates of what the support package contains, discuss options and co-ordinate support services to meet those needs. NASCs co-ordinate such services, but do not themselves provide the services.</w:t>
            </w:r>
          </w:p>
        </w:tc>
      </w:tr>
      <w:tr w:rsidR="00983EF3" w:rsidRPr="004F75F8" w14:paraId="2058D8BE" w14:textId="77777777" w:rsidTr="00307C82">
        <w:tc>
          <w:tcPr>
            <w:tcW w:w="2518" w:type="dxa"/>
          </w:tcPr>
          <w:p w14:paraId="53BE73E4" w14:textId="634FBEF9" w:rsidR="00983EF3" w:rsidRPr="008F0810" w:rsidRDefault="00983EF3" w:rsidP="00983EF3">
            <w:pPr>
              <w:overflowPunct w:val="0"/>
              <w:autoSpaceDE w:val="0"/>
              <w:autoSpaceDN w:val="0"/>
              <w:adjustRightInd w:val="0"/>
              <w:rPr>
                <w:rFonts w:ascii="Arial" w:hAnsi="Arial" w:cs="Arial"/>
              </w:rPr>
            </w:pPr>
            <w:r w:rsidRPr="008F0810">
              <w:rPr>
                <w:rFonts w:ascii="Arial" w:hAnsi="Arial" w:cs="Arial"/>
              </w:rPr>
              <w:t>Independent Facilitator</w:t>
            </w:r>
          </w:p>
        </w:tc>
        <w:tc>
          <w:tcPr>
            <w:tcW w:w="6691" w:type="dxa"/>
          </w:tcPr>
          <w:p w14:paraId="4C70D99A" w14:textId="3C59BC8F" w:rsidR="00983EF3" w:rsidRPr="00DF1F94" w:rsidRDefault="00983EF3" w:rsidP="00983EF3">
            <w:pPr>
              <w:overflowPunct w:val="0"/>
              <w:autoSpaceDE w:val="0"/>
              <w:autoSpaceDN w:val="0"/>
              <w:adjustRightInd w:val="0"/>
              <w:rPr>
                <w:rFonts w:ascii="Arial" w:hAnsi="Arial" w:cs="Arial"/>
              </w:rPr>
            </w:pPr>
            <w:r>
              <w:rPr>
                <w:rFonts w:ascii="Arial" w:hAnsi="Arial" w:cs="Arial"/>
              </w:rPr>
              <w:t>Is someone who</w:t>
            </w:r>
            <w:r w:rsidRPr="00980344">
              <w:rPr>
                <w:rFonts w:ascii="Arial" w:hAnsi="Arial" w:cs="Arial"/>
              </w:rPr>
              <w:t xml:space="preserve"> assist</w:t>
            </w:r>
            <w:r>
              <w:rPr>
                <w:rFonts w:ascii="Arial" w:hAnsi="Arial" w:cs="Arial"/>
              </w:rPr>
              <w:t>s</w:t>
            </w:r>
            <w:r w:rsidRPr="00980344">
              <w:rPr>
                <w:rFonts w:ascii="Arial" w:hAnsi="Arial" w:cs="Arial"/>
              </w:rPr>
              <w:t xml:space="preserve"> people to </w:t>
            </w:r>
            <w:r>
              <w:rPr>
                <w:rFonts w:ascii="Arial" w:hAnsi="Arial" w:cs="Arial"/>
              </w:rPr>
              <w:t>think about and plan for their lives and how to make this happen, including natural supports and involvement from the community</w:t>
            </w:r>
            <w:r w:rsidRPr="00980344">
              <w:rPr>
                <w:rFonts w:ascii="Arial" w:hAnsi="Arial" w:cs="Arial"/>
              </w:rPr>
              <w:t>.</w:t>
            </w:r>
            <w:r>
              <w:rPr>
                <w:rFonts w:ascii="Arial" w:hAnsi="Arial" w:cs="Arial"/>
              </w:rPr>
              <w:t xml:space="preserve"> This term includes Local Area Coordinators and Navigators.</w:t>
            </w:r>
          </w:p>
        </w:tc>
      </w:tr>
      <w:tr w:rsidR="00983EF3" w:rsidRPr="004F75F8" w14:paraId="0E18DCF1" w14:textId="77777777" w:rsidTr="00307C82">
        <w:tc>
          <w:tcPr>
            <w:tcW w:w="2518" w:type="dxa"/>
          </w:tcPr>
          <w:p w14:paraId="0B7FA4CD" w14:textId="224B4C16" w:rsidR="00983EF3" w:rsidRPr="00FC069E" w:rsidRDefault="00983EF3" w:rsidP="00983EF3">
            <w:pPr>
              <w:overflowPunct w:val="0"/>
              <w:autoSpaceDE w:val="0"/>
              <w:autoSpaceDN w:val="0"/>
              <w:adjustRightInd w:val="0"/>
              <w:spacing w:line="276" w:lineRule="auto"/>
              <w:rPr>
                <w:rFonts w:ascii="Arial" w:hAnsi="Arial" w:cs="Arial"/>
                <w:sz w:val="24"/>
                <w:szCs w:val="24"/>
                <w:lang w:val="en-GB" w:eastAsia="en-US"/>
              </w:rPr>
            </w:pPr>
            <w:r w:rsidRPr="00FC069E">
              <w:rPr>
                <w:rFonts w:ascii="Arial" w:hAnsi="Arial" w:cs="Arial"/>
              </w:rPr>
              <w:t>Nominated representative</w:t>
            </w:r>
          </w:p>
        </w:tc>
        <w:tc>
          <w:tcPr>
            <w:tcW w:w="6691" w:type="dxa"/>
          </w:tcPr>
          <w:p w14:paraId="3AE213A8" w14:textId="15124500" w:rsidR="00983EF3" w:rsidRPr="00FC069E" w:rsidRDefault="00983EF3" w:rsidP="00983EF3">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Is a</w:t>
            </w:r>
            <w:r w:rsidRPr="00FC069E">
              <w:rPr>
                <w:rFonts w:ascii="Arial" w:hAnsi="Arial" w:cs="Arial"/>
              </w:rPr>
              <w:t>n individual (nominated by the Person) who is able to</w:t>
            </w:r>
            <w:r>
              <w:rPr>
                <w:rFonts w:ascii="Arial" w:hAnsi="Arial" w:cs="Arial"/>
              </w:rPr>
              <w:t xml:space="preserve"> make decisions on behalf of the P</w:t>
            </w:r>
            <w:r w:rsidRPr="00FC069E">
              <w:rPr>
                <w:rFonts w:ascii="Arial" w:hAnsi="Arial" w:cs="Arial"/>
              </w:rPr>
              <w:t xml:space="preserve">erson. </w:t>
            </w:r>
            <w:r>
              <w:rPr>
                <w:rFonts w:ascii="Arial" w:hAnsi="Arial" w:cs="Arial"/>
              </w:rPr>
              <w:t>This may relate to the management of the Person’s supports.</w:t>
            </w:r>
          </w:p>
        </w:tc>
      </w:tr>
      <w:tr w:rsidR="00983EF3" w:rsidRPr="004F75F8" w14:paraId="715D2051" w14:textId="77777777" w:rsidTr="00307C82">
        <w:tc>
          <w:tcPr>
            <w:tcW w:w="2518" w:type="dxa"/>
          </w:tcPr>
          <w:p w14:paraId="63C7F93B" w14:textId="77777777" w:rsidR="00983EF3" w:rsidRPr="00D4481F" w:rsidRDefault="00983EF3" w:rsidP="00983EF3">
            <w:pPr>
              <w:overflowPunct w:val="0"/>
              <w:autoSpaceDE w:val="0"/>
              <w:autoSpaceDN w:val="0"/>
              <w:adjustRightInd w:val="0"/>
              <w:spacing w:line="276" w:lineRule="auto"/>
              <w:rPr>
                <w:rFonts w:ascii="Arial" w:hAnsi="Arial" w:cs="Arial"/>
                <w:sz w:val="24"/>
                <w:szCs w:val="24"/>
                <w:lang w:val="en-GB" w:eastAsia="en-US"/>
              </w:rPr>
            </w:pPr>
            <w:r w:rsidRPr="00D4481F">
              <w:rPr>
                <w:rFonts w:ascii="Arial" w:hAnsi="Arial" w:cs="Arial"/>
              </w:rPr>
              <w:t>Person/People</w:t>
            </w:r>
          </w:p>
        </w:tc>
        <w:tc>
          <w:tcPr>
            <w:tcW w:w="6691" w:type="dxa"/>
          </w:tcPr>
          <w:p w14:paraId="09B1497E" w14:textId="430D3BAE" w:rsidR="00983EF3" w:rsidRPr="00D4481F" w:rsidRDefault="00983EF3" w:rsidP="00983EF3">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 xml:space="preserve">Is a disabled person(s) who is supported through </w:t>
            </w:r>
            <w:r w:rsidRPr="00ED40D8">
              <w:rPr>
                <w:rFonts w:ascii="Arial" w:hAnsi="Arial" w:cs="Arial"/>
              </w:rPr>
              <w:t>Choice in Community Living</w:t>
            </w:r>
            <w:r w:rsidRPr="00D4481F">
              <w:rPr>
                <w:rFonts w:ascii="Arial" w:hAnsi="Arial" w:cs="Arial"/>
              </w:rPr>
              <w:t xml:space="preserve">. </w:t>
            </w:r>
          </w:p>
        </w:tc>
      </w:tr>
      <w:tr w:rsidR="00983EF3" w:rsidRPr="004F75F8" w14:paraId="7768FF24" w14:textId="77777777" w:rsidTr="00307C82">
        <w:tc>
          <w:tcPr>
            <w:tcW w:w="2518" w:type="dxa"/>
          </w:tcPr>
          <w:p w14:paraId="1CADB073" w14:textId="77777777" w:rsidR="00983EF3" w:rsidRPr="00C812FF" w:rsidRDefault="00983EF3" w:rsidP="00983EF3">
            <w:pPr>
              <w:overflowPunct w:val="0"/>
              <w:autoSpaceDE w:val="0"/>
              <w:autoSpaceDN w:val="0"/>
              <w:adjustRightInd w:val="0"/>
              <w:spacing w:line="276" w:lineRule="auto"/>
              <w:rPr>
                <w:rFonts w:ascii="Arial" w:hAnsi="Arial" w:cs="Arial"/>
                <w:sz w:val="24"/>
                <w:szCs w:val="24"/>
                <w:lang w:val="en-GB" w:eastAsia="en-US"/>
              </w:rPr>
            </w:pPr>
            <w:r w:rsidRPr="00C812FF">
              <w:rPr>
                <w:rFonts w:ascii="Arial" w:hAnsi="Arial" w:cs="Arial"/>
              </w:rPr>
              <w:t>Personal Budget</w:t>
            </w:r>
          </w:p>
        </w:tc>
        <w:tc>
          <w:tcPr>
            <w:tcW w:w="6691" w:type="dxa"/>
          </w:tcPr>
          <w:p w14:paraId="4E56EA58" w14:textId="43057CCC" w:rsidR="00983EF3" w:rsidRPr="00C812FF" w:rsidRDefault="00983EF3" w:rsidP="00983EF3">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Is t</w:t>
            </w:r>
            <w:r w:rsidRPr="00C812FF">
              <w:rPr>
                <w:rFonts w:ascii="Arial" w:hAnsi="Arial" w:cs="Arial"/>
              </w:rPr>
              <w:t>he amount of funding</w:t>
            </w:r>
            <w:r>
              <w:rPr>
                <w:rFonts w:ascii="Arial" w:hAnsi="Arial" w:cs="Arial"/>
              </w:rPr>
              <w:t xml:space="preserve"> a</w:t>
            </w:r>
            <w:r w:rsidRPr="00C812FF">
              <w:rPr>
                <w:rFonts w:ascii="Arial" w:hAnsi="Arial" w:cs="Arial"/>
              </w:rPr>
              <w:t xml:space="preserve"> Person is allocated by the</w:t>
            </w:r>
            <w:r>
              <w:rPr>
                <w:rFonts w:ascii="Arial" w:hAnsi="Arial" w:cs="Arial"/>
              </w:rPr>
              <w:t>ir</w:t>
            </w:r>
            <w:r w:rsidRPr="00C812FF">
              <w:rPr>
                <w:rFonts w:ascii="Arial" w:hAnsi="Arial" w:cs="Arial"/>
              </w:rPr>
              <w:t xml:space="preserve"> NASC</w:t>
            </w:r>
            <w:r>
              <w:rPr>
                <w:rFonts w:ascii="Arial" w:hAnsi="Arial" w:cs="Arial"/>
              </w:rPr>
              <w:t xml:space="preserve"> to enable them to purchase their choice of disability supports. A P</w:t>
            </w:r>
            <w:r w:rsidRPr="00C812FF">
              <w:rPr>
                <w:rFonts w:ascii="Arial" w:hAnsi="Arial" w:cs="Arial"/>
              </w:rPr>
              <w:t>ersonal</w:t>
            </w:r>
            <w:r>
              <w:rPr>
                <w:rFonts w:ascii="Arial" w:hAnsi="Arial" w:cs="Arial"/>
              </w:rPr>
              <w:t xml:space="preserve"> Budget has a start date, an end date and is usually a year long</w:t>
            </w:r>
            <w:r w:rsidRPr="00C812FF">
              <w:rPr>
                <w:rFonts w:ascii="Arial" w:hAnsi="Arial" w:cs="Arial"/>
              </w:rPr>
              <w:t xml:space="preserve">. </w:t>
            </w:r>
          </w:p>
        </w:tc>
      </w:tr>
      <w:tr w:rsidR="00983EF3" w:rsidRPr="004F75F8" w14:paraId="0B293C9A" w14:textId="77777777" w:rsidTr="00307C82">
        <w:tc>
          <w:tcPr>
            <w:tcW w:w="2518" w:type="dxa"/>
          </w:tcPr>
          <w:p w14:paraId="384F783A" w14:textId="0FCC13C8" w:rsidR="00983EF3" w:rsidRPr="008E5398" w:rsidRDefault="00983EF3" w:rsidP="00983EF3">
            <w:pPr>
              <w:overflowPunct w:val="0"/>
              <w:autoSpaceDE w:val="0"/>
              <w:autoSpaceDN w:val="0"/>
              <w:adjustRightInd w:val="0"/>
              <w:spacing w:line="276" w:lineRule="auto"/>
              <w:jc w:val="left"/>
              <w:rPr>
                <w:rFonts w:ascii="Arial" w:hAnsi="Arial" w:cs="Arial"/>
                <w:sz w:val="24"/>
                <w:szCs w:val="24"/>
                <w:lang w:val="en-GB" w:eastAsia="en-US"/>
              </w:rPr>
            </w:pPr>
            <w:r w:rsidRPr="008E5398">
              <w:rPr>
                <w:rFonts w:ascii="Arial" w:hAnsi="Arial" w:cs="Arial"/>
              </w:rPr>
              <w:t>Purchasing Guidelines</w:t>
            </w:r>
          </w:p>
        </w:tc>
        <w:tc>
          <w:tcPr>
            <w:tcW w:w="6691" w:type="dxa"/>
          </w:tcPr>
          <w:p w14:paraId="5BC40CBB" w14:textId="224C48F1" w:rsidR="00983EF3" w:rsidRPr="008E5398" w:rsidRDefault="00983EF3" w:rsidP="00983EF3">
            <w:pPr>
              <w:overflowPunct w:val="0"/>
              <w:autoSpaceDE w:val="0"/>
              <w:autoSpaceDN w:val="0"/>
              <w:adjustRightInd w:val="0"/>
              <w:spacing w:line="276" w:lineRule="auto"/>
              <w:rPr>
                <w:rFonts w:ascii="Arial" w:hAnsi="Arial" w:cs="Arial"/>
                <w:sz w:val="24"/>
                <w:szCs w:val="24"/>
                <w:lang w:val="en-GB" w:eastAsia="en-US"/>
              </w:rPr>
            </w:pPr>
            <w:r w:rsidRPr="008E5398">
              <w:rPr>
                <w:rFonts w:ascii="Arial" w:hAnsi="Arial" w:cs="Arial"/>
              </w:rPr>
              <w:t>The Purc</w:t>
            </w:r>
            <w:r>
              <w:rPr>
                <w:rFonts w:ascii="Arial" w:hAnsi="Arial" w:cs="Arial"/>
              </w:rPr>
              <w:t>hasing Guidelines set out what P</w:t>
            </w:r>
            <w:r w:rsidRPr="008E5398">
              <w:rPr>
                <w:rFonts w:ascii="Arial" w:hAnsi="Arial" w:cs="Arial"/>
              </w:rPr>
              <w:t>eople can</w:t>
            </w:r>
            <w:r>
              <w:rPr>
                <w:rFonts w:ascii="Arial" w:hAnsi="Arial" w:cs="Arial"/>
              </w:rPr>
              <w:t xml:space="preserve"> and cannot</w:t>
            </w:r>
            <w:r w:rsidRPr="008E5398">
              <w:rPr>
                <w:rFonts w:ascii="Arial" w:hAnsi="Arial" w:cs="Arial"/>
              </w:rPr>
              <w:t xml:space="preserve"> buy with the</w:t>
            </w:r>
            <w:r>
              <w:rPr>
                <w:rFonts w:ascii="Arial" w:hAnsi="Arial" w:cs="Arial"/>
              </w:rPr>
              <w:t>ir Personal Budget. (see Appendix 1)</w:t>
            </w:r>
          </w:p>
        </w:tc>
      </w:tr>
      <w:tr w:rsidR="00983EF3" w:rsidRPr="004F75F8" w14:paraId="752788B2" w14:textId="77777777" w:rsidTr="00307C82">
        <w:tc>
          <w:tcPr>
            <w:tcW w:w="2518" w:type="dxa"/>
          </w:tcPr>
          <w:p w14:paraId="48068B2E" w14:textId="77777777" w:rsidR="00983EF3" w:rsidRPr="00C812FF" w:rsidRDefault="00983EF3" w:rsidP="00983EF3">
            <w:pPr>
              <w:overflowPunct w:val="0"/>
              <w:autoSpaceDE w:val="0"/>
              <w:autoSpaceDN w:val="0"/>
              <w:adjustRightInd w:val="0"/>
              <w:spacing w:line="276" w:lineRule="auto"/>
              <w:rPr>
                <w:rFonts w:ascii="Arial" w:hAnsi="Arial" w:cs="Arial"/>
                <w:sz w:val="24"/>
                <w:szCs w:val="24"/>
                <w:lang w:val="en-GB" w:eastAsia="en-US"/>
              </w:rPr>
            </w:pPr>
            <w:r w:rsidRPr="00C812FF">
              <w:rPr>
                <w:rFonts w:ascii="Arial" w:hAnsi="Arial" w:cs="Arial"/>
              </w:rPr>
              <w:t>Self-Managing</w:t>
            </w:r>
          </w:p>
        </w:tc>
        <w:tc>
          <w:tcPr>
            <w:tcW w:w="6691" w:type="dxa"/>
          </w:tcPr>
          <w:p w14:paraId="3E163622" w14:textId="3C2F2E1A" w:rsidR="00983EF3" w:rsidRPr="00C812FF" w:rsidRDefault="00983EF3" w:rsidP="00983EF3">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Is w</w:t>
            </w:r>
            <w:r w:rsidRPr="00C812FF">
              <w:rPr>
                <w:rFonts w:ascii="Arial" w:hAnsi="Arial" w:cs="Arial"/>
              </w:rPr>
              <w:t>here the Person</w:t>
            </w:r>
            <w:r>
              <w:rPr>
                <w:rFonts w:ascii="Arial" w:hAnsi="Arial" w:cs="Arial"/>
              </w:rPr>
              <w:t xml:space="preserve"> manages the acquisition and administering of their support services themselves. This may include</w:t>
            </w:r>
            <w:r w:rsidRPr="00C812FF">
              <w:rPr>
                <w:rFonts w:ascii="Arial" w:hAnsi="Arial" w:cs="Arial"/>
              </w:rPr>
              <w:t xml:space="preserve"> dir</w:t>
            </w:r>
            <w:r>
              <w:rPr>
                <w:rFonts w:ascii="Arial" w:hAnsi="Arial" w:cs="Arial"/>
              </w:rPr>
              <w:t>ectly employing their support workers, administering a payroll and meeting all of their</w:t>
            </w:r>
            <w:r w:rsidRPr="00C812FF">
              <w:rPr>
                <w:rFonts w:ascii="Arial" w:hAnsi="Arial" w:cs="Arial"/>
              </w:rPr>
              <w:t xml:space="preserve"> employer</w:t>
            </w:r>
            <w:r>
              <w:rPr>
                <w:rFonts w:ascii="Arial" w:hAnsi="Arial" w:cs="Arial"/>
              </w:rPr>
              <w:t xml:space="preserve"> obligations. </w:t>
            </w:r>
            <w:r w:rsidRPr="00C812FF">
              <w:rPr>
                <w:rFonts w:ascii="Arial" w:hAnsi="Arial" w:cs="Arial"/>
              </w:rPr>
              <w:t>Funding</w:t>
            </w:r>
            <w:r>
              <w:rPr>
                <w:rFonts w:ascii="Arial" w:hAnsi="Arial" w:cs="Arial"/>
              </w:rPr>
              <w:t xml:space="preserve"> for services</w:t>
            </w:r>
            <w:r w:rsidRPr="00C812FF">
              <w:rPr>
                <w:rFonts w:ascii="Arial" w:hAnsi="Arial" w:cs="Arial"/>
              </w:rPr>
              <w:t xml:space="preserve"> will be placed directly in a Person’s bank account </w:t>
            </w:r>
            <w:r>
              <w:rPr>
                <w:rFonts w:ascii="Arial" w:hAnsi="Arial" w:cs="Arial"/>
              </w:rPr>
              <w:t xml:space="preserve">to pay for the services </w:t>
            </w:r>
            <w:r w:rsidRPr="00C812FF">
              <w:rPr>
                <w:rFonts w:ascii="Arial" w:hAnsi="Arial" w:cs="Arial"/>
              </w:rPr>
              <w:t xml:space="preserve">when the Host </w:t>
            </w:r>
            <w:r>
              <w:rPr>
                <w:rFonts w:ascii="Arial" w:hAnsi="Arial" w:cs="Arial"/>
              </w:rPr>
              <w:t>receives validation that they</w:t>
            </w:r>
            <w:r w:rsidRPr="00C812FF">
              <w:rPr>
                <w:rFonts w:ascii="Arial" w:hAnsi="Arial" w:cs="Arial"/>
              </w:rPr>
              <w:t xml:space="preserve"> </w:t>
            </w:r>
            <w:r>
              <w:rPr>
                <w:rFonts w:ascii="Arial" w:hAnsi="Arial" w:cs="Arial"/>
              </w:rPr>
              <w:t>have been provided</w:t>
            </w:r>
            <w:r w:rsidRPr="00C812FF">
              <w:rPr>
                <w:rFonts w:ascii="Arial" w:hAnsi="Arial" w:cs="Arial"/>
              </w:rPr>
              <w:t xml:space="preserve">. </w:t>
            </w:r>
          </w:p>
        </w:tc>
      </w:tr>
      <w:tr w:rsidR="00983EF3" w:rsidRPr="004F75F8" w14:paraId="7E005A82" w14:textId="77777777" w:rsidTr="00307C82">
        <w:tc>
          <w:tcPr>
            <w:tcW w:w="2518" w:type="dxa"/>
          </w:tcPr>
          <w:p w14:paraId="5DF0B8AD" w14:textId="6E9D2688" w:rsidR="00983EF3" w:rsidRPr="00C812FF" w:rsidRDefault="00983EF3" w:rsidP="00983EF3">
            <w:pPr>
              <w:overflowPunct w:val="0"/>
              <w:autoSpaceDE w:val="0"/>
              <w:autoSpaceDN w:val="0"/>
              <w:adjustRightInd w:val="0"/>
              <w:spacing w:line="276" w:lineRule="auto"/>
              <w:rPr>
                <w:rFonts w:cs="Arial"/>
              </w:rPr>
            </w:pPr>
            <w:r w:rsidRPr="000E542B">
              <w:rPr>
                <w:rFonts w:ascii="Arial" w:hAnsi="Arial" w:cs="Arial"/>
              </w:rPr>
              <w:t>Support Plan</w:t>
            </w:r>
          </w:p>
        </w:tc>
        <w:tc>
          <w:tcPr>
            <w:tcW w:w="6691" w:type="dxa"/>
          </w:tcPr>
          <w:p w14:paraId="76E9AF8B" w14:textId="731621CD" w:rsidR="00983EF3" w:rsidRPr="00C812FF" w:rsidRDefault="00983EF3" w:rsidP="00983EF3">
            <w:pPr>
              <w:overflowPunct w:val="0"/>
              <w:autoSpaceDE w:val="0"/>
              <w:autoSpaceDN w:val="0"/>
              <w:adjustRightInd w:val="0"/>
              <w:rPr>
                <w:rFonts w:cs="Arial"/>
              </w:rPr>
            </w:pPr>
            <w:r w:rsidRPr="00B00A12">
              <w:rPr>
                <w:rFonts w:ascii="Arial" w:hAnsi="Arial" w:cs="Arial"/>
              </w:rPr>
              <w:t xml:space="preserve">This </w:t>
            </w:r>
            <w:r>
              <w:rPr>
                <w:rFonts w:ascii="Arial" w:hAnsi="Arial" w:cs="Arial"/>
              </w:rPr>
              <w:t xml:space="preserve">plan </w:t>
            </w:r>
            <w:r w:rsidRPr="00B00A12">
              <w:rPr>
                <w:rFonts w:ascii="Arial" w:hAnsi="Arial" w:cs="Arial"/>
              </w:rPr>
              <w:t>records the desired outcomes</w:t>
            </w:r>
            <w:r>
              <w:rPr>
                <w:rFonts w:ascii="Arial" w:hAnsi="Arial" w:cs="Arial"/>
              </w:rPr>
              <w:t xml:space="preserve"> the Person</w:t>
            </w:r>
            <w:r w:rsidRPr="00B00A12">
              <w:rPr>
                <w:rFonts w:ascii="Arial" w:hAnsi="Arial" w:cs="Arial"/>
              </w:rPr>
              <w:t xml:space="preserve"> want</w:t>
            </w:r>
            <w:r>
              <w:rPr>
                <w:rFonts w:ascii="Arial" w:hAnsi="Arial" w:cs="Arial"/>
              </w:rPr>
              <w:t>s</w:t>
            </w:r>
            <w:r w:rsidRPr="00B00A12">
              <w:rPr>
                <w:rFonts w:ascii="Arial" w:hAnsi="Arial" w:cs="Arial"/>
              </w:rPr>
              <w:t xml:space="preserve"> to achieve with both their funded and unfunded supports. </w:t>
            </w:r>
            <w:r>
              <w:rPr>
                <w:rFonts w:ascii="Arial" w:hAnsi="Arial" w:cs="Arial"/>
              </w:rPr>
              <w:t>It also documents what specific supports people will provide to the Person to achieve the recorded outcomes. It is developed with the Person by their NASC.</w:t>
            </w:r>
          </w:p>
        </w:tc>
      </w:tr>
      <w:tr w:rsidR="00983EF3" w:rsidRPr="004F75F8" w14:paraId="6332C005" w14:textId="77777777" w:rsidTr="00307C82">
        <w:tc>
          <w:tcPr>
            <w:tcW w:w="2518" w:type="dxa"/>
          </w:tcPr>
          <w:p w14:paraId="08B40669" w14:textId="77777777" w:rsidR="00983EF3" w:rsidRPr="008E5398" w:rsidRDefault="00983EF3" w:rsidP="00983EF3">
            <w:pPr>
              <w:overflowPunct w:val="0"/>
              <w:autoSpaceDE w:val="0"/>
              <w:autoSpaceDN w:val="0"/>
              <w:adjustRightInd w:val="0"/>
              <w:rPr>
                <w:rFonts w:ascii="Arial" w:hAnsi="Arial" w:cs="Arial"/>
              </w:rPr>
            </w:pPr>
            <w:r w:rsidRPr="008E5398">
              <w:rPr>
                <w:rFonts w:ascii="Arial" w:hAnsi="Arial" w:cs="Arial"/>
              </w:rPr>
              <w:t>Support Agreement</w:t>
            </w:r>
          </w:p>
        </w:tc>
        <w:tc>
          <w:tcPr>
            <w:tcW w:w="6691" w:type="dxa"/>
          </w:tcPr>
          <w:p w14:paraId="7D66936D" w14:textId="49ADD8AA" w:rsidR="00983EF3" w:rsidRPr="008E5398" w:rsidRDefault="00983EF3" w:rsidP="00983EF3">
            <w:pPr>
              <w:overflowPunct w:val="0"/>
              <w:autoSpaceDE w:val="0"/>
              <w:autoSpaceDN w:val="0"/>
              <w:adjustRightInd w:val="0"/>
              <w:rPr>
                <w:rFonts w:ascii="Arial" w:hAnsi="Arial" w:cs="Arial"/>
              </w:rPr>
            </w:pPr>
            <w:r w:rsidRPr="008E5398">
              <w:rPr>
                <w:rFonts w:ascii="Arial" w:hAnsi="Arial" w:cs="Arial"/>
              </w:rPr>
              <w:t>A</w:t>
            </w:r>
            <w:r>
              <w:rPr>
                <w:rFonts w:ascii="Arial" w:hAnsi="Arial" w:cs="Arial"/>
              </w:rPr>
              <w:t xml:space="preserve"> Support Agreement is between a Provider and the Person (or their nominated representative) that specifies the agreed terms and conditions of a service and how it will be delivered.  </w:t>
            </w:r>
          </w:p>
        </w:tc>
      </w:tr>
      <w:tr w:rsidR="00983EF3" w:rsidRPr="004F75F8" w14:paraId="44F7D4B8" w14:textId="77777777" w:rsidTr="00307C82">
        <w:tc>
          <w:tcPr>
            <w:tcW w:w="2518" w:type="dxa"/>
          </w:tcPr>
          <w:p w14:paraId="2CFD70BC" w14:textId="77777777" w:rsidR="00983EF3" w:rsidRPr="008E5398" w:rsidRDefault="00983EF3" w:rsidP="00983EF3">
            <w:pPr>
              <w:overflowPunct w:val="0"/>
              <w:autoSpaceDE w:val="0"/>
              <w:autoSpaceDN w:val="0"/>
              <w:adjustRightInd w:val="0"/>
              <w:spacing w:line="276" w:lineRule="auto"/>
              <w:rPr>
                <w:rFonts w:ascii="Arial" w:hAnsi="Arial" w:cs="Arial"/>
                <w:sz w:val="24"/>
                <w:szCs w:val="24"/>
                <w:lang w:val="en-GB" w:eastAsia="en-US"/>
              </w:rPr>
            </w:pPr>
            <w:r w:rsidRPr="008E5398">
              <w:rPr>
                <w:rFonts w:ascii="Arial" w:hAnsi="Arial" w:cs="Arial"/>
              </w:rPr>
              <w:t>Support Worker</w:t>
            </w:r>
          </w:p>
        </w:tc>
        <w:tc>
          <w:tcPr>
            <w:tcW w:w="6691" w:type="dxa"/>
          </w:tcPr>
          <w:p w14:paraId="0CC03682" w14:textId="53EA2A4E" w:rsidR="00983EF3" w:rsidRPr="006E1CE4" w:rsidRDefault="00983EF3" w:rsidP="00983EF3">
            <w:pPr>
              <w:rPr>
                <w:rFonts w:ascii="Arial" w:hAnsi="Arial"/>
              </w:rPr>
            </w:pPr>
            <w:r>
              <w:rPr>
                <w:rFonts w:ascii="Arial" w:hAnsi="Arial" w:cs="Arial"/>
              </w:rPr>
              <w:t>Is a</w:t>
            </w:r>
            <w:r w:rsidRPr="008E5398">
              <w:rPr>
                <w:rFonts w:ascii="Arial" w:hAnsi="Arial" w:cs="Arial"/>
              </w:rPr>
              <w:t>n individual w</w:t>
            </w:r>
            <w:r>
              <w:rPr>
                <w:rFonts w:ascii="Arial" w:hAnsi="Arial" w:cs="Arial"/>
              </w:rPr>
              <w:t>ho may be employed or contracted to perform support tasks for the Person. It also includes any volunteer who is accountable to a service provider.</w:t>
            </w:r>
            <w:r w:rsidRPr="008E5398">
              <w:rPr>
                <w:rFonts w:ascii="Arial" w:hAnsi="Arial" w:cs="Arial"/>
              </w:rPr>
              <w:t xml:space="preserve"> </w:t>
            </w:r>
          </w:p>
        </w:tc>
      </w:tr>
    </w:tbl>
    <w:bookmarkEnd w:id="0"/>
    <w:p w14:paraId="37B8DE22" w14:textId="77777777" w:rsidR="00BC4BE9" w:rsidRPr="0071761F" w:rsidRDefault="00BC4BE9" w:rsidP="00307C82">
      <w:pPr>
        <w:numPr>
          <w:ilvl w:val="0"/>
          <w:numId w:val="4"/>
        </w:numPr>
        <w:spacing w:before="240"/>
        <w:ind w:left="0" w:firstLine="0"/>
        <w:rPr>
          <w:rFonts w:cs="Arial"/>
          <w:b/>
          <w:bCs/>
          <w:szCs w:val="24"/>
        </w:rPr>
      </w:pPr>
      <w:r w:rsidRPr="0071761F">
        <w:rPr>
          <w:rFonts w:cs="Arial"/>
          <w:b/>
          <w:bCs/>
          <w:szCs w:val="24"/>
        </w:rPr>
        <w:t>Service Objectives</w:t>
      </w:r>
    </w:p>
    <w:p w14:paraId="34FC287D" w14:textId="6360AB6E" w:rsidR="005F321E" w:rsidRDefault="00FB3282" w:rsidP="004C6101">
      <w:pPr>
        <w:jc w:val="both"/>
        <w:rPr>
          <w:bCs/>
        </w:rPr>
      </w:pPr>
      <w:r>
        <w:rPr>
          <w:bCs/>
        </w:rPr>
        <w:t>The objective of</w:t>
      </w:r>
      <w:r w:rsidR="00D4481F" w:rsidRPr="004750BB">
        <w:rPr>
          <w:bCs/>
        </w:rPr>
        <w:t xml:space="preserve"> </w:t>
      </w:r>
      <w:r w:rsidR="000331C5" w:rsidRPr="004750BB">
        <w:rPr>
          <w:bCs/>
        </w:rPr>
        <w:t>Choice in Community Living</w:t>
      </w:r>
      <w:r w:rsidR="00D4481F" w:rsidRPr="004750BB">
        <w:rPr>
          <w:bCs/>
        </w:rPr>
        <w:t xml:space="preserve"> is to support</w:t>
      </w:r>
      <w:r w:rsidR="000331C5" w:rsidRPr="004750BB">
        <w:rPr>
          <w:bCs/>
        </w:rPr>
        <w:t xml:space="preserve"> a Person to </w:t>
      </w:r>
      <w:r w:rsidR="00D4481F" w:rsidRPr="004750BB">
        <w:rPr>
          <w:bCs/>
        </w:rPr>
        <w:t xml:space="preserve">live </w:t>
      </w:r>
      <w:r w:rsidR="000B11C3">
        <w:rPr>
          <w:bCs/>
        </w:rPr>
        <w:t xml:space="preserve">as </w:t>
      </w:r>
      <w:r w:rsidR="00D4481F" w:rsidRPr="004750BB">
        <w:rPr>
          <w:bCs/>
        </w:rPr>
        <w:t>independently</w:t>
      </w:r>
      <w:r w:rsidR="000B11C3">
        <w:rPr>
          <w:bCs/>
        </w:rPr>
        <w:t xml:space="preserve"> as possible</w:t>
      </w:r>
      <w:r w:rsidR="00D4481F" w:rsidRPr="004750BB">
        <w:rPr>
          <w:bCs/>
        </w:rPr>
        <w:t xml:space="preserve"> in their community. T</w:t>
      </w:r>
      <w:r w:rsidR="00692DFD" w:rsidRPr="004750BB">
        <w:rPr>
          <w:bCs/>
        </w:rPr>
        <w:t>his can be</w:t>
      </w:r>
      <w:r w:rsidR="00D4481F" w:rsidRPr="004750BB">
        <w:rPr>
          <w:bCs/>
        </w:rPr>
        <w:t xml:space="preserve"> achieved by </w:t>
      </w:r>
      <w:r w:rsidR="007E535E" w:rsidRPr="004750BB">
        <w:rPr>
          <w:bCs/>
        </w:rPr>
        <w:t xml:space="preserve">the </w:t>
      </w:r>
      <w:r>
        <w:rPr>
          <w:bCs/>
        </w:rPr>
        <w:t xml:space="preserve">Choice in </w:t>
      </w:r>
      <w:r>
        <w:rPr>
          <w:bCs/>
        </w:rPr>
        <w:lastRenderedPageBreak/>
        <w:t>Community Living</w:t>
      </w:r>
      <w:r w:rsidR="00ED40D8">
        <w:rPr>
          <w:bCs/>
        </w:rPr>
        <w:t xml:space="preserve"> P</w:t>
      </w:r>
      <w:r w:rsidR="008E6631" w:rsidRPr="004750BB">
        <w:rPr>
          <w:bCs/>
        </w:rPr>
        <w:t>rovider</w:t>
      </w:r>
      <w:r w:rsidR="005F321E">
        <w:rPr>
          <w:bCs/>
        </w:rPr>
        <w:t xml:space="preserve"> observing the following principles when</w:t>
      </w:r>
      <w:r w:rsidR="00A8246D" w:rsidRPr="004750BB">
        <w:rPr>
          <w:bCs/>
        </w:rPr>
        <w:t xml:space="preserve"> facilitating supports and services that assist</w:t>
      </w:r>
      <w:r w:rsidR="007E535E" w:rsidRPr="004750BB">
        <w:rPr>
          <w:bCs/>
        </w:rPr>
        <w:t xml:space="preserve"> the Person to meet </w:t>
      </w:r>
      <w:r w:rsidR="00A8246D" w:rsidRPr="004750BB">
        <w:rPr>
          <w:bCs/>
        </w:rPr>
        <w:t xml:space="preserve">this objective. </w:t>
      </w:r>
    </w:p>
    <w:p w14:paraId="40453C87" w14:textId="35A81D39" w:rsidR="005F321E" w:rsidRDefault="005F321E" w:rsidP="005F321E">
      <w:pPr>
        <w:pStyle w:val="Heading3"/>
        <w:spacing w:before="240" w:after="120"/>
        <w:ind w:left="709" w:hanging="709"/>
        <w:rPr>
          <w:b w:val="0"/>
          <w:i/>
        </w:rPr>
      </w:pPr>
      <w:r w:rsidRPr="005F321E">
        <w:rPr>
          <w:b w:val="0"/>
          <w:i/>
        </w:rPr>
        <w:t>Principles</w:t>
      </w:r>
    </w:p>
    <w:p w14:paraId="1147EDB5" w14:textId="77777777" w:rsidR="005F321E" w:rsidRPr="005F321E" w:rsidRDefault="005F321E" w:rsidP="00820C91">
      <w:pPr>
        <w:pStyle w:val="ListParagraph"/>
        <w:numPr>
          <w:ilvl w:val="0"/>
          <w:numId w:val="6"/>
        </w:numPr>
        <w:spacing w:after="120"/>
        <w:ind w:left="788" w:hanging="357"/>
        <w:contextualSpacing w:val="0"/>
      </w:pPr>
      <w:r w:rsidRPr="005F321E">
        <w:t>The Person is supported to make informed choices about where they live, who they live with and how they are supported.</w:t>
      </w:r>
    </w:p>
    <w:p w14:paraId="0F76F766" w14:textId="77777777" w:rsidR="005F321E" w:rsidRPr="005F321E" w:rsidRDefault="005F321E" w:rsidP="00820C91">
      <w:pPr>
        <w:pStyle w:val="ListParagraph"/>
        <w:numPr>
          <w:ilvl w:val="0"/>
          <w:numId w:val="6"/>
        </w:numPr>
        <w:spacing w:after="120"/>
        <w:ind w:left="788" w:hanging="357"/>
        <w:contextualSpacing w:val="0"/>
      </w:pPr>
      <w:r w:rsidRPr="005F321E">
        <w:t>All interactions enhance the life of the Person and their status in the community.</w:t>
      </w:r>
    </w:p>
    <w:p w14:paraId="5C9C37E8" w14:textId="77777777" w:rsidR="005F321E" w:rsidRPr="005F321E" w:rsidRDefault="005F321E" w:rsidP="00820C91">
      <w:pPr>
        <w:pStyle w:val="ListParagraph"/>
        <w:numPr>
          <w:ilvl w:val="0"/>
          <w:numId w:val="6"/>
        </w:numPr>
        <w:spacing w:after="120"/>
        <w:ind w:left="788" w:hanging="357"/>
        <w:contextualSpacing w:val="0"/>
      </w:pPr>
      <w:r w:rsidRPr="005F321E">
        <w:t>Plans are in place to enhance independence and skills over time.</w:t>
      </w:r>
    </w:p>
    <w:p w14:paraId="70199EF6" w14:textId="77777777" w:rsidR="005F321E" w:rsidRPr="005F321E" w:rsidRDefault="005F321E" w:rsidP="00820C91">
      <w:pPr>
        <w:pStyle w:val="ListParagraph"/>
        <w:numPr>
          <w:ilvl w:val="0"/>
          <w:numId w:val="6"/>
        </w:numPr>
        <w:spacing w:after="120"/>
        <w:ind w:left="788" w:hanging="357"/>
        <w:contextualSpacing w:val="0"/>
      </w:pPr>
      <w:r w:rsidRPr="005F321E">
        <w:t>What to do when things go wrong has been anticipated.</w:t>
      </w:r>
    </w:p>
    <w:p w14:paraId="41CE56D5" w14:textId="23AD4FD2" w:rsidR="005F321E" w:rsidRPr="005F321E" w:rsidRDefault="005F321E" w:rsidP="00820C91">
      <w:pPr>
        <w:pStyle w:val="ListParagraph"/>
        <w:numPr>
          <w:ilvl w:val="0"/>
          <w:numId w:val="6"/>
        </w:numPr>
        <w:spacing w:after="120"/>
        <w:ind w:left="788" w:hanging="357"/>
        <w:contextualSpacing w:val="0"/>
      </w:pPr>
      <w:r w:rsidRPr="005F321E">
        <w:t>The arrangement is affordable for all parties.</w:t>
      </w:r>
    </w:p>
    <w:p w14:paraId="7CB06BA0" w14:textId="171DD0DD" w:rsidR="00227E6E" w:rsidRPr="00227E6E" w:rsidRDefault="00227E6E" w:rsidP="00227E6E">
      <w:pPr>
        <w:pStyle w:val="Heading3"/>
        <w:spacing w:before="240" w:after="120"/>
        <w:ind w:left="709" w:hanging="709"/>
        <w:rPr>
          <w:b w:val="0"/>
          <w:i/>
        </w:rPr>
      </w:pPr>
      <w:r w:rsidRPr="00227E6E">
        <w:rPr>
          <w:b w:val="0"/>
          <w:i/>
        </w:rPr>
        <w:t>Outcomes</w:t>
      </w:r>
    </w:p>
    <w:p w14:paraId="402D8508" w14:textId="24063A04" w:rsidR="004C6101" w:rsidRPr="004C6101" w:rsidRDefault="005F321E" w:rsidP="004C6101">
      <w:pPr>
        <w:jc w:val="both"/>
      </w:pPr>
      <w:r>
        <w:t>The</w:t>
      </w:r>
      <w:r w:rsidRPr="004750BB">
        <w:rPr>
          <w:bCs/>
        </w:rPr>
        <w:t xml:space="preserve"> intended outcomes</w:t>
      </w:r>
      <w:r>
        <w:rPr>
          <w:bCs/>
        </w:rPr>
        <w:t xml:space="preserve"> from the supports wil</w:t>
      </w:r>
      <w:r w:rsidR="00FC4984">
        <w:rPr>
          <w:bCs/>
        </w:rPr>
        <w:t>l be specific to each Person</w:t>
      </w:r>
      <w:r>
        <w:rPr>
          <w:bCs/>
        </w:rPr>
        <w:t xml:space="preserve"> and will</w:t>
      </w:r>
      <w:r w:rsidRPr="004750BB">
        <w:rPr>
          <w:bCs/>
        </w:rPr>
        <w:t xml:space="preserve"> </w:t>
      </w:r>
      <w:r>
        <w:rPr>
          <w:bCs/>
        </w:rPr>
        <w:t>be</w:t>
      </w:r>
      <w:r w:rsidR="00FC4984">
        <w:rPr>
          <w:bCs/>
        </w:rPr>
        <w:t xml:space="preserve"> documented in their</w:t>
      </w:r>
      <w:r>
        <w:t xml:space="preserve"> </w:t>
      </w:r>
      <w:r w:rsidRPr="00A421E3">
        <w:t>Support plan</w:t>
      </w:r>
      <w:r w:rsidRPr="002E16F8">
        <w:t>.</w:t>
      </w:r>
      <w:r>
        <w:t xml:space="preserve"> </w:t>
      </w:r>
      <w:r w:rsidR="004C6101" w:rsidRPr="004C6101">
        <w:t xml:space="preserve">They may include (but are not limited to) the following: </w:t>
      </w:r>
    </w:p>
    <w:p w14:paraId="40DD2455" w14:textId="72C78290" w:rsidR="004C6101" w:rsidRPr="002A1749" w:rsidRDefault="004C6101" w:rsidP="00820C91">
      <w:pPr>
        <w:pStyle w:val="ListParagraph"/>
        <w:numPr>
          <w:ilvl w:val="0"/>
          <w:numId w:val="6"/>
        </w:numPr>
        <w:spacing w:after="120"/>
        <w:ind w:left="788" w:hanging="357"/>
        <w:contextualSpacing w:val="0"/>
      </w:pPr>
      <w:r w:rsidRPr="002A1749">
        <w:t xml:space="preserve">moving to independent living </w:t>
      </w:r>
      <w:r w:rsidR="00361086">
        <w:t>or</w:t>
      </w:r>
      <w:r w:rsidR="00842D24">
        <w:t xml:space="preserve"> be supported to</w:t>
      </w:r>
      <w:r w:rsidR="00361086">
        <w:t xml:space="preserve"> remain living independently</w:t>
      </w:r>
    </w:p>
    <w:p w14:paraId="4C96EA65" w14:textId="77777777" w:rsidR="004C6101" w:rsidRPr="002A1749" w:rsidRDefault="004C6101" w:rsidP="00820C91">
      <w:pPr>
        <w:pStyle w:val="ListParagraph"/>
        <w:numPr>
          <w:ilvl w:val="0"/>
          <w:numId w:val="6"/>
        </w:numPr>
        <w:spacing w:after="120"/>
        <w:ind w:left="788" w:hanging="357"/>
        <w:contextualSpacing w:val="0"/>
      </w:pPr>
      <w:r w:rsidRPr="002A1749">
        <w:t xml:space="preserve">improving skills and capabilities to support independence and participation </w:t>
      </w:r>
    </w:p>
    <w:p w14:paraId="54AB069F" w14:textId="77777777" w:rsidR="004C6101" w:rsidRPr="002A1749" w:rsidRDefault="004C6101" w:rsidP="00820C91">
      <w:pPr>
        <w:pStyle w:val="ListParagraph"/>
        <w:numPr>
          <w:ilvl w:val="0"/>
          <w:numId w:val="6"/>
        </w:numPr>
        <w:spacing w:after="120"/>
        <w:ind w:left="788" w:hanging="357"/>
        <w:contextualSpacing w:val="0"/>
      </w:pPr>
      <w:r w:rsidRPr="002A1749">
        <w:t xml:space="preserve">having more opportunities for relationships </w:t>
      </w:r>
    </w:p>
    <w:p w14:paraId="4029EB1C" w14:textId="77777777" w:rsidR="004C6101" w:rsidRPr="002A1749" w:rsidRDefault="004C6101" w:rsidP="00820C91">
      <w:pPr>
        <w:pStyle w:val="ListParagraph"/>
        <w:numPr>
          <w:ilvl w:val="0"/>
          <w:numId w:val="6"/>
        </w:numPr>
        <w:spacing w:after="120"/>
        <w:ind w:left="788" w:hanging="357"/>
        <w:contextualSpacing w:val="0"/>
      </w:pPr>
      <w:r w:rsidRPr="002A1749">
        <w:t>having more opportunities for community access and participation</w:t>
      </w:r>
    </w:p>
    <w:p w14:paraId="232D79D9" w14:textId="77777777" w:rsidR="004C6101" w:rsidRPr="002A1749" w:rsidRDefault="004C6101" w:rsidP="00820C91">
      <w:pPr>
        <w:pStyle w:val="ListParagraph"/>
        <w:numPr>
          <w:ilvl w:val="0"/>
          <w:numId w:val="6"/>
        </w:numPr>
        <w:spacing w:after="120"/>
        <w:ind w:left="788" w:hanging="357"/>
        <w:contextualSpacing w:val="0"/>
      </w:pPr>
      <w:r w:rsidRPr="002A1749">
        <w:t xml:space="preserve">having more opportunities for inclusion in cultural activities </w:t>
      </w:r>
    </w:p>
    <w:p w14:paraId="7BC637C1" w14:textId="1C2EA77E" w:rsidR="004C6101" w:rsidRPr="008E5398" w:rsidRDefault="004C6101" w:rsidP="00820C91">
      <w:pPr>
        <w:pStyle w:val="ListParagraph"/>
        <w:numPr>
          <w:ilvl w:val="0"/>
          <w:numId w:val="6"/>
        </w:numPr>
        <w:spacing w:after="120"/>
        <w:ind w:left="788" w:hanging="357"/>
        <w:contextualSpacing w:val="0"/>
      </w:pPr>
      <w:r w:rsidRPr="002A1749">
        <w:t xml:space="preserve">being able to carry out </w:t>
      </w:r>
      <w:r w:rsidR="00361086">
        <w:t xml:space="preserve">and contribute to </w:t>
      </w:r>
      <w:r w:rsidRPr="002A1749">
        <w:t>fam</w:t>
      </w:r>
      <w:r w:rsidR="003733D5">
        <w:t>ily and whā</w:t>
      </w:r>
      <w:r w:rsidRPr="004939B8">
        <w:t>n</w:t>
      </w:r>
      <w:r w:rsidR="00F80365">
        <w:t>a</w:t>
      </w:r>
      <w:r w:rsidRPr="004939B8">
        <w:t>u responsibilities</w:t>
      </w:r>
      <w:r>
        <w:t xml:space="preserve">.  </w:t>
      </w:r>
    </w:p>
    <w:p w14:paraId="2078C725" w14:textId="77777777" w:rsidR="007353B1" w:rsidRPr="00DF3FB9" w:rsidRDefault="00D70710" w:rsidP="003C02BC">
      <w:pPr>
        <w:pStyle w:val="Heading2"/>
        <w:spacing w:before="240"/>
      </w:pPr>
      <w:r w:rsidRPr="00DF3FB9">
        <w:t xml:space="preserve">Service Performance </w:t>
      </w:r>
      <w:r w:rsidR="0085371D" w:rsidRPr="00DF3FB9">
        <w:t>Measures</w:t>
      </w:r>
    </w:p>
    <w:p w14:paraId="41135A6D" w14:textId="77777777" w:rsidR="00984C78" w:rsidRPr="004750BB" w:rsidRDefault="001C0325" w:rsidP="004750BB">
      <w:pPr>
        <w:spacing w:after="120"/>
        <w:rPr>
          <w:bCs/>
        </w:rPr>
      </w:pPr>
      <w:r w:rsidRPr="004750BB">
        <w:rPr>
          <w:bCs/>
        </w:rPr>
        <w:t xml:space="preserve">Performance Measures form part of the Results Based Accountability </w:t>
      </w:r>
      <w:r w:rsidR="00984C78" w:rsidRPr="004750BB">
        <w:rPr>
          <w:bCs/>
        </w:rPr>
        <w:t>(RBA) Framework. They are detailed in a Data Dictionary, which defines what the Ministry means by certain key phrases.</w:t>
      </w:r>
    </w:p>
    <w:p w14:paraId="3952D387" w14:textId="11E05DB4" w:rsidR="00984C78" w:rsidRPr="004750BB" w:rsidRDefault="00984C78" w:rsidP="004750BB">
      <w:pPr>
        <w:spacing w:after="120"/>
        <w:rPr>
          <w:bCs/>
        </w:rPr>
      </w:pPr>
      <w:r w:rsidRPr="004750BB">
        <w:rPr>
          <w:bCs/>
        </w:rPr>
        <w:t>The</w:t>
      </w:r>
      <w:r w:rsidR="001C0325" w:rsidRPr="004750BB">
        <w:rPr>
          <w:bCs/>
        </w:rPr>
        <w:t xml:space="preserve"> Measures in t</w:t>
      </w:r>
      <w:r w:rsidR="0035097C" w:rsidRPr="004750BB">
        <w:rPr>
          <w:bCs/>
        </w:rPr>
        <w:t>he table below represent key</w:t>
      </w:r>
      <w:r w:rsidR="00DF3FB9" w:rsidRPr="004750BB">
        <w:rPr>
          <w:bCs/>
        </w:rPr>
        <w:t xml:space="preserve"> areas</w:t>
      </w:r>
      <w:r w:rsidR="0035097C" w:rsidRPr="004750BB">
        <w:rPr>
          <w:bCs/>
        </w:rPr>
        <w:t xml:space="preserve"> of the Provider’s service delivery that</w:t>
      </w:r>
      <w:r w:rsidR="00EB28FA">
        <w:rPr>
          <w:bCs/>
        </w:rPr>
        <w:t xml:space="preserve"> the Ministry</w:t>
      </w:r>
      <w:r w:rsidR="001C0325" w:rsidRPr="004750BB">
        <w:rPr>
          <w:bCs/>
        </w:rPr>
        <w:t xml:space="preserve"> </w:t>
      </w:r>
      <w:r w:rsidR="0035097C" w:rsidRPr="004750BB">
        <w:rPr>
          <w:bCs/>
        </w:rPr>
        <w:t>will monitor</w:t>
      </w:r>
      <w:r w:rsidR="001C0325" w:rsidRPr="004750BB">
        <w:rPr>
          <w:bCs/>
        </w:rPr>
        <w:t xml:space="preserve">. </w:t>
      </w:r>
      <w:r w:rsidR="00574BB2">
        <w:rPr>
          <w:bCs/>
        </w:rPr>
        <w:t>The ‘How much’, ‘How well’ and ‘</w:t>
      </w:r>
      <w:r w:rsidRPr="004750BB">
        <w:rPr>
          <w:bCs/>
        </w:rPr>
        <w:t xml:space="preserve">Better off” headings relate to different types of RBA Performance Measures. These may change over time to reflect Ministry priorities.  </w:t>
      </w:r>
    </w:p>
    <w:p w14:paraId="5D7F8E5F" w14:textId="460C401C" w:rsidR="00F00CC6" w:rsidRDefault="00984C78" w:rsidP="007B7E12">
      <w:pPr>
        <w:spacing w:after="240"/>
        <w:rPr>
          <w:bCs/>
        </w:rPr>
      </w:pPr>
      <w:r w:rsidRPr="004750BB">
        <w:rPr>
          <w:bCs/>
        </w:rPr>
        <w:t>Full r</w:t>
      </w:r>
      <w:r w:rsidR="001C0325" w:rsidRPr="004750BB">
        <w:rPr>
          <w:bCs/>
        </w:rPr>
        <w:t xml:space="preserve">eporting </w:t>
      </w:r>
      <w:r w:rsidR="00B4514D" w:rsidRPr="004750BB">
        <w:rPr>
          <w:bCs/>
        </w:rPr>
        <w:t>r</w:t>
      </w:r>
      <w:r w:rsidR="001C0325" w:rsidRPr="004750BB">
        <w:rPr>
          <w:bCs/>
        </w:rPr>
        <w:t xml:space="preserve">equirements regarding these </w:t>
      </w:r>
      <w:r w:rsidRPr="004750BB">
        <w:rPr>
          <w:bCs/>
        </w:rPr>
        <w:t xml:space="preserve">performance </w:t>
      </w:r>
      <w:r w:rsidR="001C0325" w:rsidRPr="004750BB">
        <w:rPr>
          <w:bCs/>
        </w:rPr>
        <w:t>measures are detailed in Appen</w:t>
      </w:r>
      <w:r w:rsidRPr="004750BB">
        <w:rPr>
          <w:bCs/>
        </w:rPr>
        <w:t>dix 3 of the Outcome Agreement.</w:t>
      </w:r>
    </w:p>
    <w:tbl>
      <w:tblPr>
        <w:tblStyle w:val="TableGrid"/>
        <w:tblW w:w="4978" w:type="pct"/>
        <w:jc w:val="center"/>
        <w:tblLayout w:type="fixed"/>
        <w:tblLook w:val="04A0" w:firstRow="1" w:lastRow="0" w:firstColumn="1" w:lastColumn="0" w:noHBand="0" w:noVBand="1"/>
      </w:tblPr>
      <w:tblGrid>
        <w:gridCol w:w="332"/>
        <w:gridCol w:w="2709"/>
        <w:gridCol w:w="2936"/>
        <w:gridCol w:w="3157"/>
      </w:tblGrid>
      <w:tr w:rsidR="007B7E12" w:rsidRPr="004F75F8" w14:paraId="0A01974B" w14:textId="77777777" w:rsidTr="00307C82">
        <w:trPr>
          <w:trHeight w:val="376"/>
          <w:jc w:val="center"/>
        </w:trPr>
        <w:tc>
          <w:tcPr>
            <w:tcW w:w="182" w:type="pct"/>
            <w:shd w:val="clear" w:color="auto" w:fill="D9D9D9" w:themeFill="background1" w:themeFillShade="D9"/>
          </w:tcPr>
          <w:p w14:paraId="19794256" w14:textId="77777777" w:rsidR="007B7E12" w:rsidRPr="004F75F8" w:rsidRDefault="007B7E12" w:rsidP="00635785">
            <w:pPr>
              <w:pStyle w:val="ListParagraph"/>
              <w:rPr>
                <w:color w:val="FF0000"/>
                <w:sz w:val="22"/>
                <w:szCs w:val="22"/>
              </w:rPr>
            </w:pPr>
          </w:p>
        </w:tc>
        <w:tc>
          <w:tcPr>
            <w:tcW w:w="1483" w:type="pct"/>
            <w:shd w:val="clear" w:color="auto" w:fill="D9D9D9" w:themeFill="background1" w:themeFillShade="D9"/>
            <w:vAlign w:val="center"/>
          </w:tcPr>
          <w:p w14:paraId="5BF28DCB" w14:textId="77777777" w:rsidR="007B7E12" w:rsidRPr="007B7E12" w:rsidRDefault="007B7E12" w:rsidP="007B7E12">
            <w:pPr>
              <w:jc w:val="center"/>
              <w:rPr>
                <w:rFonts w:ascii="Arial" w:hAnsi="Arial" w:cs="Arial"/>
                <w:b/>
                <w:sz w:val="22"/>
                <w:szCs w:val="22"/>
              </w:rPr>
            </w:pPr>
            <w:r w:rsidRPr="007B7E12">
              <w:rPr>
                <w:rFonts w:ascii="Arial" w:hAnsi="Arial" w:cs="Arial"/>
                <w:b/>
                <w:sz w:val="22"/>
                <w:szCs w:val="22"/>
              </w:rPr>
              <w:t>How much</w:t>
            </w:r>
          </w:p>
        </w:tc>
        <w:tc>
          <w:tcPr>
            <w:tcW w:w="1607" w:type="pct"/>
            <w:shd w:val="clear" w:color="auto" w:fill="D9D9D9" w:themeFill="background1" w:themeFillShade="D9"/>
            <w:vAlign w:val="center"/>
          </w:tcPr>
          <w:p w14:paraId="03369990" w14:textId="77777777" w:rsidR="007B7E12" w:rsidRPr="007B7E12" w:rsidRDefault="007B7E12" w:rsidP="007B7E12">
            <w:pPr>
              <w:jc w:val="center"/>
              <w:rPr>
                <w:rFonts w:ascii="Arial" w:hAnsi="Arial" w:cs="Arial"/>
                <w:b/>
                <w:sz w:val="22"/>
                <w:szCs w:val="22"/>
              </w:rPr>
            </w:pPr>
            <w:r w:rsidRPr="007B7E12">
              <w:rPr>
                <w:rFonts w:ascii="Arial" w:hAnsi="Arial" w:cs="Arial"/>
                <w:b/>
                <w:sz w:val="22"/>
                <w:szCs w:val="22"/>
              </w:rPr>
              <w:t>How well</w:t>
            </w:r>
          </w:p>
        </w:tc>
        <w:tc>
          <w:tcPr>
            <w:tcW w:w="1728" w:type="pct"/>
            <w:shd w:val="clear" w:color="auto" w:fill="D9D9D9" w:themeFill="background1" w:themeFillShade="D9"/>
            <w:vAlign w:val="center"/>
          </w:tcPr>
          <w:p w14:paraId="60ADE39B" w14:textId="77777777" w:rsidR="007B7E12" w:rsidRPr="007B7E12" w:rsidRDefault="007B7E12" w:rsidP="007B7E12">
            <w:pPr>
              <w:jc w:val="center"/>
              <w:rPr>
                <w:rFonts w:ascii="Arial" w:hAnsi="Arial" w:cs="Arial"/>
                <w:b/>
                <w:sz w:val="22"/>
                <w:szCs w:val="22"/>
              </w:rPr>
            </w:pPr>
            <w:r w:rsidRPr="007B7E12">
              <w:rPr>
                <w:rFonts w:ascii="Arial" w:hAnsi="Arial" w:cs="Arial"/>
                <w:b/>
                <w:sz w:val="22"/>
                <w:szCs w:val="22"/>
              </w:rPr>
              <w:t>Better off</w:t>
            </w:r>
          </w:p>
        </w:tc>
      </w:tr>
      <w:tr w:rsidR="007B7E12" w:rsidRPr="004F75F8" w14:paraId="1CF32018" w14:textId="77777777" w:rsidTr="007B7E12">
        <w:trPr>
          <w:trHeight w:val="1007"/>
          <w:jc w:val="center"/>
        </w:trPr>
        <w:tc>
          <w:tcPr>
            <w:tcW w:w="182" w:type="pct"/>
          </w:tcPr>
          <w:p w14:paraId="7A15C487" w14:textId="77777777" w:rsidR="007B7E12" w:rsidRPr="004F75F8" w:rsidRDefault="007B7E12" w:rsidP="007B7E12">
            <w:pPr>
              <w:pStyle w:val="ListParagraph"/>
              <w:numPr>
                <w:ilvl w:val="0"/>
                <w:numId w:val="3"/>
              </w:numPr>
              <w:jc w:val="left"/>
              <w:rPr>
                <w:color w:val="FF0000"/>
              </w:rPr>
            </w:pPr>
          </w:p>
        </w:tc>
        <w:tc>
          <w:tcPr>
            <w:tcW w:w="1483" w:type="pct"/>
            <w:vAlign w:val="center"/>
          </w:tcPr>
          <w:p w14:paraId="3021564C" w14:textId="77777777" w:rsidR="007B7E12" w:rsidRPr="007B7E12" w:rsidRDefault="007B7E12" w:rsidP="00635785">
            <w:pPr>
              <w:spacing w:before="40" w:after="40"/>
              <w:jc w:val="left"/>
              <w:rPr>
                <w:rFonts w:ascii="Arial" w:hAnsi="Arial" w:cs="Arial"/>
              </w:rPr>
            </w:pPr>
            <w:r w:rsidRPr="007B7E12">
              <w:rPr>
                <w:rFonts w:ascii="Arial" w:hAnsi="Arial" w:cs="Arial"/>
              </w:rPr>
              <w:t># of Support Agreements set up.</w:t>
            </w:r>
          </w:p>
        </w:tc>
        <w:tc>
          <w:tcPr>
            <w:tcW w:w="1607" w:type="pct"/>
            <w:vAlign w:val="center"/>
          </w:tcPr>
          <w:p w14:paraId="09F860C7" w14:textId="77777777" w:rsidR="007B7E12" w:rsidRPr="007B7E12" w:rsidRDefault="007B7E12" w:rsidP="00635785">
            <w:pPr>
              <w:spacing w:before="40" w:after="40"/>
              <w:jc w:val="left"/>
              <w:rPr>
                <w:rFonts w:ascii="Arial" w:hAnsi="Arial" w:cs="Arial"/>
              </w:rPr>
            </w:pPr>
            <w:r w:rsidRPr="007B7E12">
              <w:rPr>
                <w:rFonts w:ascii="Arial" w:hAnsi="Arial" w:cs="Arial"/>
              </w:rPr>
              <w:t xml:space="preserve">#/% of supports specified in the Support Agreements that were delivered </w:t>
            </w:r>
          </w:p>
        </w:tc>
        <w:tc>
          <w:tcPr>
            <w:tcW w:w="1728" w:type="pct"/>
            <w:vAlign w:val="center"/>
          </w:tcPr>
          <w:p w14:paraId="18A56A7E" w14:textId="77777777" w:rsidR="007B7E12" w:rsidRPr="007B7E12" w:rsidRDefault="007B7E12" w:rsidP="00635785">
            <w:pPr>
              <w:jc w:val="left"/>
              <w:rPr>
                <w:rFonts w:ascii="Arial" w:hAnsi="Arial" w:cs="Arial"/>
              </w:rPr>
            </w:pPr>
            <w:r w:rsidRPr="007B7E12">
              <w:rPr>
                <w:rFonts w:ascii="Arial" w:hAnsi="Arial" w:cs="Arial"/>
              </w:rPr>
              <w:t>#/% of People who report that they are making progress towards their recorded outcomes.</w:t>
            </w:r>
          </w:p>
        </w:tc>
      </w:tr>
      <w:tr w:rsidR="007B7E12" w:rsidRPr="004F75F8" w14:paraId="1C2411F6" w14:textId="77777777" w:rsidTr="007B7E12">
        <w:trPr>
          <w:trHeight w:val="837"/>
          <w:jc w:val="center"/>
        </w:trPr>
        <w:tc>
          <w:tcPr>
            <w:tcW w:w="182" w:type="pct"/>
          </w:tcPr>
          <w:p w14:paraId="3622F4AA" w14:textId="77777777" w:rsidR="007B7E12" w:rsidRPr="004F75F8" w:rsidRDefault="007B7E12" w:rsidP="007B7E12">
            <w:pPr>
              <w:pStyle w:val="ListParagraph"/>
              <w:numPr>
                <w:ilvl w:val="0"/>
                <w:numId w:val="3"/>
              </w:numPr>
              <w:jc w:val="left"/>
              <w:rPr>
                <w:color w:val="FF0000"/>
              </w:rPr>
            </w:pPr>
          </w:p>
        </w:tc>
        <w:tc>
          <w:tcPr>
            <w:tcW w:w="1483" w:type="pct"/>
            <w:vAlign w:val="center"/>
          </w:tcPr>
          <w:p w14:paraId="7610DD38" w14:textId="77777777" w:rsidR="007B7E12" w:rsidRPr="007B7E12" w:rsidRDefault="007B7E12" w:rsidP="00635785">
            <w:pPr>
              <w:spacing w:before="40" w:after="40"/>
              <w:jc w:val="left"/>
              <w:rPr>
                <w:rFonts w:ascii="Arial" w:hAnsi="Arial" w:cs="Arial"/>
              </w:rPr>
            </w:pPr>
            <w:r w:rsidRPr="007B7E12">
              <w:rPr>
                <w:rFonts w:ascii="Arial" w:hAnsi="Arial" w:cs="Arial"/>
              </w:rPr>
              <w:t># of Support Agreements reviewed within three months of the start</w:t>
            </w:r>
          </w:p>
        </w:tc>
        <w:tc>
          <w:tcPr>
            <w:tcW w:w="1607" w:type="pct"/>
            <w:vAlign w:val="center"/>
          </w:tcPr>
          <w:p w14:paraId="0003A7C8" w14:textId="77777777" w:rsidR="007B7E12" w:rsidRPr="007B7E12" w:rsidRDefault="007B7E12" w:rsidP="00635785">
            <w:pPr>
              <w:spacing w:before="40" w:after="40"/>
              <w:jc w:val="left"/>
              <w:rPr>
                <w:rFonts w:ascii="Arial" w:hAnsi="Arial" w:cs="Arial"/>
              </w:rPr>
            </w:pPr>
            <w:r w:rsidRPr="007B7E12">
              <w:rPr>
                <w:rFonts w:ascii="Arial" w:hAnsi="Arial" w:cs="Arial"/>
              </w:rPr>
              <w:t>% of Support Agreements reviewed within 3 months of their start.</w:t>
            </w:r>
          </w:p>
        </w:tc>
        <w:tc>
          <w:tcPr>
            <w:tcW w:w="1728" w:type="pct"/>
            <w:vAlign w:val="center"/>
          </w:tcPr>
          <w:p w14:paraId="27484FA4" w14:textId="77777777" w:rsidR="007B7E12" w:rsidRPr="007B7E12" w:rsidRDefault="007B7E12" w:rsidP="00635785">
            <w:pPr>
              <w:spacing w:before="40" w:after="40"/>
              <w:jc w:val="left"/>
              <w:rPr>
                <w:rFonts w:ascii="Arial" w:hAnsi="Arial" w:cs="Arial"/>
              </w:rPr>
            </w:pPr>
          </w:p>
        </w:tc>
      </w:tr>
      <w:tr w:rsidR="007B7E12" w:rsidRPr="004F75F8" w14:paraId="5827E2C3" w14:textId="77777777" w:rsidTr="007B7E12">
        <w:trPr>
          <w:trHeight w:val="835"/>
          <w:jc w:val="center"/>
        </w:trPr>
        <w:tc>
          <w:tcPr>
            <w:tcW w:w="182" w:type="pct"/>
          </w:tcPr>
          <w:p w14:paraId="2ED1C154" w14:textId="77777777" w:rsidR="007B7E12" w:rsidRPr="004F75F8" w:rsidRDefault="007B7E12" w:rsidP="007B7E12">
            <w:pPr>
              <w:pStyle w:val="ListParagraph"/>
              <w:numPr>
                <w:ilvl w:val="0"/>
                <w:numId w:val="3"/>
              </w:numPr>
              <w:jc w:val="left"/>
              <w:rPr>
                <w:color w:val="FF0000"/>
              </w:rPr>
            </w:pPr>
          </w:p>
        </w:tc>
        <w:tc>
          <w:tcPr>
            <w:tcW w:w="1483" w:type="pct"/>
            <w:vAlign w:val="center"/>
          </w:tcPr>
          <w:p w14:paraId="3FF28321" w14:textId="77777777" w:rsidR="007B7E12" w:rsidRPr="007B7E12" w:rsidRDefault="007B7E12" w:rsidP="00635785">
            <w:pPr>
              <w:spacing w:before="40" w:after="40"/>
              <w:jc w:val="left"/>
              <w:rPr>
                <w:rFonts w:ascii="Arial" w:hAnsi="Arial" w:cs="Arial"/>
              </w:rPr>
            </w:pPr>
            <w:r w:rsidRPr="007B7E12">
              <w:rPr>
                <w:rFonts w:ascii="Arial" w:hAnsi="Arial" w:cs="Arial"/>
              </w:rPr>
              <w:t># of Support Agreements reviewed within 12 months of their last review</w:t>
            </w:r>
          </w:p>
        </w:tc>
        <w:tc>
          <w:tcPr>
            <w:tcW w:w="1607" w:type="pct"/>
            <w:vAlign w:val="center"/>
          </w:tcPr>
          <w:p w14:paraId="559D4F62" w14:textId="77777777" w:rsidR="007B7E12" w:rsidRPr="007B7E12" w:rsidRDefault="007B7E12" w:rsidP="00635785">
            <w:pPr>
              <w:spacing w:before="40" w:after="40"/>
              <w:jc w:val="left"/>
              <w:rPr>
                <w:rFonts w:ascii="Arial" w:hAnsi="Arial" w:cs="Arial"/>
              </w:rPr>
            </w:pPr>
            <w:r w:rsidRPr="007B7E12">
              <w:rPr>
                <w:rFonts w:ascii="Arial" w:hAnsi="Arial" w:cs="Arial"/>
              </w:rPr>
              <w:t>% of Support Agreements reviewed within 12 months of their last review.</w:t>
            </w:r>
          </w:p>
        </w:tc>
        <w:tc>
          <w:tcPr>
            <w:tcW w:w="1728" w:type="pct"/>
            <w:vAlign w:val="center"/>
          </w:tcPr>
          <w:p w14:paraId="0EFB4237" w14:textId="77777777" w:rsidR="007B7E12" w:rsidRPr="007B7E12" w:rsidRDefault="007B7E12" w:rsidP="00635785">
            <w:pPr>
              <w:spacing w:before="40" w:after="40"/>
              <w:rPr>
                <w:rFonts w:ascii="Arial" w:hAnsi="Arial" w:cs="Arial"/>
              </w:rPr>
            </w:pPr>
            <w:r w:rsidRPr="007B7E12">
              <w:rPr>
                <w:rFonts w:ascii="Arial" w:hAnsi="Arial" w:cs="Arial"/>
              </w:rPr>
              <w:t>#/% of People who report that they are satisfied with the terms of the Support Agreement.</w:t>
            </w:r>
          </w:p>
        </w:tc>
      </w:tr>
      <w:tr w:rsidR="007B7E12" w:rsidRPr="004F75F8" w14:paraId="3B6A8B2D" w14:textId="77777777" w:rsidTr="007B7E12">
        <w:trPr>
          <w:trHeight w:val="847"/>
          <w:jc w:val="center"/>
        </w:trPr>
        <w:tc>
          <w:tcPr>
            <w:tcW w:w="182" w:type="pct"/>
          </w:tcPr>
          <w:p w14:paraId="0D33482E" w14:textId="77777777" w:rsidR="007B7E12" w:rsidRPr="004F75F8" w:rsidRDefault="007B7E12" w:rsidP="007B7E12">
            <w:pPr>
              <w:pStyle w:val="ListParagraph"/>
              <w:numPr>
                <w:ilvl w:val="0"/>
                <w:numId w:val="3"/>
              </w:numPr>
              <w:jc w:val="left"/>
              <w:rPr>
                <w:color w:val="FF0000"/>
              </w:rPr>
            </w:pPr>
          </w:p>
        </w:tc>
        <w:tc>
          <w:tcPr>
            <w:tcW w:w="1483" w:type="pct"/>
            <w:vAlign w:val="center"/>
          </w:tcPr>
          <w:p w14:paraId="0364D16D" w14:textId="77777777" w:rsidR="007B7E12" w:rsidRPr="007B7E12" w:rsidRDefault="007B7E12" w:rsidP="00635785">
            <w:pPr>
              <w:spacing w:before="40" w:after="40"/>
              <w:jc w:val="left"/>
              <w:rPr>
                <w:rFonts w:ascii="Arial" w:hAnsi="Arial" w:cs="Arial"/>
              </w:rPr>
            </w:pPr>
            <w:r w:rsidRPr="007B7E12">
              <w:rPr>
                <w:rFonts w:ascii="Arial" w:hAnsi="Arial" w:cs="Arial"/>
              </w:rPr>
              <w:t># of People who are accessing Direct Fund Holding.</w:t>
            </w:r>
          </w:p>
        </w:tc>
        <w:tc>
          <w:tcPr>
            <w:tcW w:w="1607" w:type="pct"/>
            <w:vAlign w:val="center"/>
          </w:tcPr>
          <w:p w14:paraId="4DC2E55D" w14:textId="77777777" w:rsidR="007B7E12" w:rsidRPr="007B7E12" w:rsidRDefault="007B7E12" w:rsidP="00635785">
            <w:pPr>
              <w:spacing w:before="40" w:after="40"/>
              <w:jc w:val="left"/>
              <w:rPr>
                <w:rFonts w:ascii="Arial" w:hAnsi="Arial" w:cs="Arial"/>
              </w:rPr>
            </w:pPr>
            <w:r w:rsidRPr="007B7E12">
              <w:rPr>
                <w:rFonts w:ascii="Arial" w:hAnsi="Arial" w:cs="Arial"/>
              </w:rPr>
              <w:t>% of People who are accessing Direct Fund Holding.</w:t>
            </w:r>
          </w:p>
        </w:tc>
        <w:tc>
          <w:tcPr>
            <w:tcW w:w="1728" w:type="pct"/>
            <w:vAlign w:val="center"/>
          </w:tcPr>
          <w:p w14:paraId="48E6056A" w14:textId="77777777" w:rsidR="007B7E12" w:rsidRPr="007B7E12" w:rsidRDefault="007B7E12" w:rsidP="00635785">
            <w:pPr>
              <w:spacing w:before="40" w:after="40"/>
              <w:jc w:val="left"/>
              <w:rPr>
                <w:rFonts w:ascii="Arial" w:hAnsi="Arial" w:cs="Arial"/>
              </w:rPr>
            </w:pPr>
          </w:p>
        </w:tc>
      </w:tr>
      <w:tr w:rsidR="007B7E12" w:rsidRPr="004F75F8" w14:paraId="186E6454" w14:textId="77777777" w:rsidTr="007B7E12">
        <w:trPr>
          <w:trHeight w:val="845"/>
          <w:jc w:val="center"/>
        </w:trPr>
        <w:tc>
          <w:tcPr>
            <w:tcW w:w="182" w:type="pct"/>
          </w:tcPr>
          <w:p w14:paraId="016A04C2" w14:textId="77777777" w:rsidR="007B7E12" w:rsidRPr="004F75F8" w:rsidRDefault="007B7E12" w:rsidP="007B7E12">
            <w:pPr>
              <w:pStyle w:val="ListParagraph"/>
              <w:numPr>
                <w:ilvl w:val="0"/>
                <w:numId w:val="3"/>
              </w:numPr>
              <w:jc w:val="left"/>
              <w:rPr>
                <w:color w:val="FF0000"/>
              </w:rPr>
            </w:pPr>
          </w:p>
        </w:tc>
        <w:tc>
          <w:tcPr>
            <w:tcW w:w="1483" w:type="pct"/>
            <w:vAlign w:val="center"/>
          </w:tcPr>
          <w:p w14:paraId="5B453DEC" w14:textId="77777777" w:rsidR="007B7E12" w:rsidRPr="007B7E12" w:rsidRDefault="007B7E12" w:rsidP="00635785">
            <w:pPr>
              <w:spacing w:before="40" w:after="40"/>
              <w:jc w:val="left"/>
              <w:rPr>
                <w:rFonts w:ascii="Arial" w:hAnsi="Arial" w:cs="Arial"/>
              </w:rPr>
            </w:pPr>
            <w:r w:rsidRPr="007B7E12">
              <w:rPr>
                <w:rFonts w:ascii="Arial" w:hAnsi="Arial" w:cs="Arial"/>
              </w:rPr>
              <w:t># of People who are accessing Facilitated Buying.</w:t>
            </w:r>
          </w:p>
        </w:tc>
        <w:tc>
          <w:tcPr>
            <w:tcW w:w="1607" w:type="pct"/>
            <w:vAlign w:val="center"/>
          </w:tcPr>
          <w:p w14:paraId="0A657077" w14:textId="77777777" w:rsidR="007B7E12" w:rsidRPr="007B7E12" w:rsidRDefault="007B7E12" w:rsidP="00635785">
            <w:pPr>
              <w:spacing w:before="40" w:after="40"/>
              <w:jc w:val="left"/>
              <w:rPr>
                <w:rFonts w:ascii="Arial" w:hAnsi="Arial" w:cs="Arial"/>
              </w:rPr>
            </w:pPr>
            <w:r w:rsidRPr="007B7E12">
              <w:rPr>
                <w:rFonts w:ascii="Arial" w:hAnsi="Arial" w:cs="Arial"/>
              </w:rPr>
              <w:t>% of People who are accessing Facilitated Buying.</w:t>
            </w:r>
          </w:p>
        </w:tc>
        <w:tc>
          <w:tcPr>
            <w:tcW w:w="1728" w:type="pct"/>
            <w:vAlign w:val="center"/>
          </w:tcPr>
          <w:p w14:paraId="7098291E" w14:textId="77777777" w:rsidR="007B7E12" w:rsidRPr="007B7E12" w:rsidRDefault="007B7E12" w:rsidP="00635785">
            <w:pPr>
              <w:spacing w:before="40" w:after="40"/>
              <w:jc w:val="left"/>
              <w:rPr>
                <w:rFonts w:ascii="Arial" w:hAnsi="Arial" w:cs="Arial"/>
              </w:rPr>
            </w:pPr>
          </w:p>
        </w:tc>
      </w:tr>
      <w:tr w:rsidR="007B7E12" w:rsidRPr="004F75F8" w14:paraId="17323C09" w14:textId="77777777" w:rsidTr="007B7E12">
        <w:trPr>
          <w:trHeight w:val="514"/>
          <w:jc w:val="center"/>
        </w:trPr>
        <w:tc>
          <w:tcPr>
            <w:tcW w:w="182" w:type="pct"/>
          </w:tcPr>
          <w:p w14:paraId="5E0BAAE1" w14:textId="77777777" w:rsidR="007B7E12" w:rsidRPr="004F75F8" w:rsidRDefault="007B7E12" w:rsidP="007B7E12">
            <w:pPr>
              <w:pStyle w:val="ListParagraph"/>
              <w:numPr>
                <w:ilvl w:val="0"/>
                <w:numId w:val="3"/>
              </w:numPr>
              <w:jc w:val="left"/>
              <w:rPr>
                <w:color w:val="FF0000"/>
              </w:rPr>
            </w:pPr>
          </w:p>
        </w:tc>
        <w:tc>
          <w:tcPr>
            <w:tcW w:w="1483" w:type="pct"/>
            <w:vAlign w:val="center"/>
          </w:tcPr>
          <w:p w14:paraId="00A754B5" w14:textId="77777777" w:rsidR="007B7E12" w:rsidRPr="007B7E12" w:rsidRDefault="007B7E12" w:rsidP="00635785">
            <w:pPr>
              <w:spacing w:before="40" w:after="40"/>
              <w:jc w:val="left"/>
              <w:rPr>
                <w:rFonts w:ascii="Arial" w:hAnsi="Arial" w:cs="Arial"/>
              </w:rPr>
            </w:pPr>
            <w:r w:rsidRPr="007B7E12">
              <w:rPr>
                <w:rFonts w:ascii="Arial" w:hAnsi="Arial" w:cs="Arial"/>
              </w:rPr>
              <w:t># of People accessing Flexible Support.</w:t>
            </w:r>
          </w:p>
        </w:tc>
        <w:tc>
          <w:tcPr>
            <w:tcW w:w="1607" w:type="pct"/>
            <w:vAlign w:val="center"/>
          </w:tcPr>
          <w:p w14:paraId="2E694480" w14:textId="77777777" w:rsidR="007B7E12" w:rsidRPr="007B7E12" w:rsidRDefault="007B7E12" w:rsidP="007B7E12">
            <w:pPr>
              <w:spacing w:before="40" w:after="120"/>
              <w:jc w:val="left"/>
              <w:rPr>
                <w:rFonts w:ascii="Arial" w:hAnsi="Arial" w:cs="Arial"/>
              </w:rPr>
            </w:pPr>
            <w:r w:rsidRPr="007B7E12">
              <w:rPr>
                <w:rFonts w:ascii="Arial" w:hAnsi="Arial" w:cs="Arial"/>
              </w:rPr>
              <w:t>% of People accessing Flexible Support.</w:t>
            </w:r>
          </w:p>
        </w:tc>
        <w:tc>
          <w:tcPr>
            <w:tcW w:w="1728" w:type="pct"/>
            <w:vAlign w:val="center"/>
          </w:tcPr>
          <w:p w14:paraId="1775A471" w14:textId="77777777" w:rsidR="007B7E12" w:rsidRPr="007B7E12" w:rsidRDefault="007B7E12" w:rsidP="00635785">
            <w:pPr>
              <w:spacing w:before="40" w:after="40"/>
              <w:jc w:val="left"/>
              <w:rPr>
                <w:rFonts w:ascii="Arial" w:hAnsi="Arial" w:cs="Arial"/>
              </w:rPr>
            </w:pPr>
          </w:p>
        </w:tc>
      </w:tr>
      <w:tr w:rsidR="007B7E12" w:rsidRPr="004F75F8" w14:paraId="7C6B6871" w14:textId="77777777" w:rsidTr="007B7E12">
        <w:trPr>
          <w:trHeight w:val="554"/>
          <w:jc w:val="center"/>
        </w:trPr>
        <w:tc>
          <w:tcPr>
            <w:tcW w:w="182" w:type="pct"/>
          </w:tcPr>
          <w:p w14:paraId="7D35F135" w14:textId="77777777" w:rsidR="007B7E12" w:rsidRPr="004F75F8" w:rsidRDefault="007B7E12" w:rsidP="007B7E12">
            <w:pPr>
              <w:pStyle w:val="ListParagraph"/>
              <w:numPr>
                <w:ilvl w:val="0"/>
                <w:numId w:val="3"/>
              </w:numPr>
              <w:jc w:val="left"/>
              <w:rPr>
                <w:color w:val="FF0000"/>
              </w:rPr>
            </w:pPr>
          </w:p>
        </w:tc>
        <w:tc>
          <w:tcPr>
            <w:tcW w:w="1483" w:type="pct"/>
            <w:vAlign w:val="center"/>
          </w:tcPr>
          <w:p w14:paraId="19736ED6" w14:textId="77777777" w:rsidR="007B7E12" w:rsidRPr="007B7E12" w:rsidRDefault="007B7E12" w:rsidP="007B7E12">
            <w:pPr>
              <w:spacing w:before="40" w:after="40"/>
              <w:jc w:val="left"/>
              <w:rPr>
                <w:rFonts w:ascii="Arial" w:hAnsi="Arial" w:cs="Arial"/>
              </w:rPr>
            </w:pPr>
            <w:r w:rsidRPr="007B7E12">
              <w:rPr>
                <w:rFonts w:ascii="Arial" w:hAnsi="Arial" w:cs="Arial"/>
              </w:rPr>
              <w:t># of complaints that have been received.</w:t>
            </w:r>
          </w:p>
        </w:tc>
        <w:tc>
          <w:tcPr>
            <w:tcW w:w="1607" w:type="pct"/>
            <w:vAlign w:val="center"/>
          </w:tcPr>
          <w:p w14:paraId="7C6FCB40" w14:textId="77777777" w:rsidR="007B7E12" w:rsidRPr="007B7E12" w:rsidRDefault="007B7E12" w:rsidP="007B7E12">
            <w:pPr>
              <w:spacing w:before="40" w:after="40"/>
              <w:jc w:val="left"/>
              <w:rPr>
                <w:rFonts w:ascii="Arial" w:hAnsi="Arial" w:cs="Arial"/>
              </w:rPr>
            </w:pPr>
            <w:r w:rsidRPr="007B7E12">
              <w:rPr>
                <w:rFonts w:ascii="Arial" w:hAnsi="Arial" w:cs="Arial"/>
              </w:rPr>
              <w:t>% of complaints that have been resolved.</w:t>
            </w:r>
          </w:p>
        </w:tc>
        <w:tc>
          <w:tcPr>
            <w:tcW w:w="1728" w:type="pct"/>
            <w:vAlign w:val="center"/>
          </w:tcPr>
          <w:p w14:paraId="67D54956" w14:textId="77777777" w:rsidR="007B7E12" w:rsidRPr="007B7E12" w:rsidRDefault="007B7E12" w:rsidP="007B7E12">
            <w:pPr>
              <w:spacing w:before="40" w:after="40"/>
              <w:jc w:val="left"/>
              <w:rPr>
                <w:rFonts w:ascii="Arial" w:hAnsi="Arial" w:cs="Arial"/>
              </w:rPr>
            </w:pPr>
          </w:p>
        </w:tc>
      </w:tr>
      <w:tr w:rsidR="007B7E12" w:rsidRPr="004F75F8" w14:paraId="6399BEB0" w14:textId="77777777" w:rsidTr="007B7E12">
        <w:trPr>
          <w:jc w:val="center"/>
        </w:trPr>
        <w:tc>
          <w:tcPr>
            <w:tcW w:w="182" w:type="pct"/>
          </w:tcPr>
          <w:p w14:paraId="3F92AF16" w14:textId="77777777" w:rsidR="007B7E12" w:rsidRPr="004F75F8" w:rsidRDefault="007B7E12" w:rsidP="007B7E12">
            <w:pPr>
              <w:pStyle w:val="ListParagraph"/>
              <w:numPr>
                <w:ilvl w:val="0"/>
                <w:numId w:val="3"/>
              </w:numPr>
              <w:jc w:val="left"/>
              <w:rPr>
                <w:color w:val="FF0000"/>
              </w:rPr>
            </w:pPr>
          </w:p>
        </w:tc>
        <w:tc>
          <w:tcPr>
            <w:tcW w:w="1483" w:type="pct"/>
            <w:vAlign w:val="center"/>
          </w:tcPr>
          <w:p w14:paraId="7953B887" w14:textId="77777777" w:rsidR="007B7E12" w:rsidRPr="007B7E12" w:rsidRDefault="007B7E12" w:rsidP="00635785">
            <w:pPr>
              <w:spacing w:before="40" w:after="40"/>
              <w:jc w:val="left"/>
              <w:rPr>
                <w:rFonts w:ascii="Arial" w:hAnsi="Arial" w:cs="Arial"/>
              </w:rPr>
            </w:pPr>
            <w:r w:rsidRPr="007B7E12">
              <w:rPr>
                <w:rFonts w:ascii="Arial" w:hAnsi="Arial" w:cs="Arial"/>
              </w:rPr>
              <w:t># of satisfaction surveys sent</w:t>
            </w:r>
          </w:p>
        </w:tc>
        <w:tc>
          <w:tcPr>
            <w:tcW w:w="1607" w:type="pct"/>
            <w:vAlign w:val="center"/>
          </w:tcPr>
          <w:p w14:paraId="1BDB1592" w14:textId="77777777" w:rsidR="007B7E12" w:rsidRPr="007B7E12" w:rsidRDefault="007B7E12" w:rsidP="00635785">
            <w:pPr>
              <w:spacing w:before="40" w:after="40"/>
              <w:jc w:val="left"/>
              <w:rPr>
                <w:rFonts w:ascii="Arial" w:hAnsi="Arial" w:cs="Arial"/>
              </w:rPr>
            </w:pPr>
            <w:r w:rsidRPr="007B7E12">
              <w:rPr>
                <w:rFonts w:ascii="Arial" w:hAnsi="Arial" w:cs="Arial"/>
              </w:rPr>
              <w:t>% of completed satisfaction surveys returned</w:t>
            </w:r>
          </w:p>
        </w:tc>
        <w:tc>
          <w:tcPr>
            <w:tcW w:w="1728" w:type="pct"/>
            <w:vAlign w:val="center"/>
          </w:tcPr>
          <w:p w14:paraId="3ED745B3" w14:textId="77777777" w:rsidR="007B7E12" w:rsidRPr="007B7E12" w:rsidRDefault="007B7E12" w:rsidP="00635785">
            <w:pPr>
              <w:spacing w:before="40" w:after="80"/>
              <w:jc w:val="left"/>
              <w:rPr>
                <w:rFonts w:ascii="Arial" w:hAnsi="Arial" w:cs="Arial"/>
              </w:rPr>
            </w:pPr>
            <w:r w:rsidRPr="007B7E12">
              <w:rPr>
                <w:rFonts w:ascii="Arial" w:hAnsi="Arial" w:cs="Arial"/>
              </w:rPr>
              <w:t>#/% of People who reported satisfaction with their Choice in Community Living service</w:t>
            </w:r>
          </w:p>
        </w:tc>
      </w:tr>
    </w:tbl>
    <w:p w14:paraId="4428D27F" w14:textId="37611FA3" w:rsidR="004938CE" w:rsidRDefault="00C573FD" w:rsidP="00C37334">
      <w:pPr>
        <w:pStyle w:val="Heading2"/>
        <w:spacing w:before="240"/>
      </w:pPr>
      <w:r>
        <w:t>Person/People</w:t>
      </w:r>
    </w:p>
    <w:tbl>
      <w:tblPr>
        <w:tblStyle w:val="TableGrid"/>
        <w:tblW w:w="0" w:type="auto"/>
        <w:shd w:val="clear" w:color="auto" w:fill="DBE5F1" w:themeFill="accent1" w:themeFillTint="33"/>
        <w:tblLook w:val="04A0" w:firstRow="1" w:lastRow="0" w:firstColumn="1" w:lastColumn="0" w:noHBand="0" w:noVBand="1"/>
      </w:tblPr>
      <w:tblGrid>
        <w:gridCol w:w="9174"/>
      </w:tblGrid>
      <w:tr w:rsidR="00735263" w14:paraId="23DC3723" w14:textId="77777777" w:rsidTr="00B40EE4">
        <w:trPr>
          <w:trHeight w:val="1828"/>
        </w:trPr>
        <w:tc>
          <w:tcPr>
            <w:tcW w:w="9288" w:type="dxa"/>
            <w:shd w:val="clear" w:color="auto" w:fill="DBE5F1" w:themeFill="accent1" w:themeFillTint="33"/>
          </w:tcPr>
          <w:p w14:paraId="1096E418" w14:textId="77777777" w:rsidR="00735263" w:rsidRDefault="00735263" w:rsidP="00A8246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eastAsiaTheme="minorHAnsi" w:hAnsi="Arial" w:cs="Arial"/>
                <w:b/>
                <w:i/>
                <w:sz w:val="24"/>
                <w:szCs w:val="24"/>
                <w:lang w:eastAsia="en-US"/>
              </w:rPr>
            </w:pPr>
            <w:r w:rsidRPr="002E18E2">
              <w:rPr>
                <w:rFonts w:ascii="Arial" w:eastAsiaTheme="minorHAnsi" w:hAnsi="Arial" w:cs="Arial"/>
                <w:b/>
                <w:i/>
                <w:sz w:val="24"/>
                <w:szCs w:val="24"/>
                <w:lang w:eastAsia="en-US"/>
              </w:rPr>
              <w:t>Guidance:</w:t>
            </w:r>
          </w:p>
          <w:p w14:paraId="64CCE78F" w14:textId="49C7C8FE" w:rsidR="00BE6F4A" w:rsidRPr="00BE6F4A" w:rsidRDefault="00B40EE4" w:rsidP="004133DF">
            <w:pPr>
              <w:ind w:right="113"/>
              <w:rPr>
                <w:rFonts w:ascii="Arial" w:eastAsiaTheme="minorHAnsi" w:hAnsi="Arial" w:cs="Arial"/>
                <w:i/>
                <w:sz w:val="24"/>
                <w:szCs w:val="22"/>
                <w:lang w:eastAsia="en-US"/>
              </w:rPr>
            </w:pPr>
            <w:r>
              <w:rPr>
                <w:rFonts w:ascii="Arial" w:eastAsiaTheme="minorHAnsi" w:hAnsi="Arial" w:cs="Arial"/>
                <w:i/>
                <w:sz w:val="24"/>
                <w:szCs w:val="22"/>
                <w:lang w:eastAsia="en-US"/>
              </w:rPr>
              <w:t>The outcomes a</w:t>
            </w:r>
            <w:r w:rsidR="00B811CC">
              <w:rPr>
                <w:rFonts w:ascii="Arial" w:eastAsiaTheme="minorHAnsi" w:hAnsi="Arial" w:cs="Arial"/>
                <w:i/>
                <w:sz w:val="24"/>
                <w:szCs w:val="22"/>
                <w:lang w:eastAsia="en-US"/>
              </w:rPr>
              <w:t xml:space="preserve"> Person</w:t>
            </w:r>
            <w:r>
              <w:rPr>
                <w:rFonts w:ascii="Arial" w:eastAsiaTheme="minorHAnsi" w:hAnsi="Arial" w:cs="Arial"/>
                <w:i/>
                <w:sz w:val="24"/>
                <w:szCs w:val="22"/>
                <w:lang w:eastAsia="en-US"/>
              </w:rPr>
              <w:t xml:space="preserve"> establishes</w:t>
            </w:r>
            <w:r w:rsidR="00E35CE3" w:rsidRPr="00BE6F4A">
              <w:rPr>
                <w:rFonts w:ascii="Arial" w:eastAsiaTheme="minorHAnsi" w:hAnsi="Arial" w:cs="Arial"/>
                <w:i/>
                <w:sz w:val="24"/>
                <w:szCs w:val="22"/>
                <w:lang w:eastAsia="en-US"/>
              </w:rPr>
              <w:t xml:space="preserve"> in their planning </w:t>
            </w:r>
            <w:r w:rsidR="00BE6F4A">
              <w:rPr>
                <w:rFonts w:ascii="Arial" w:eastAsiaTheme="minorHAnsi" w:hAnsi="Arial" w:cs="Arial"/>
                <w:i/>
                <w:sz w:val="24"/>
                <w:szCs w:val="22"/>
                <w:lang w:eastAsia="en-US"/>
              </w:rPr>
              <w:t>can be broad but the supports</w:t>
            </w:r>
            <w:r w:rsidR="002749D2">
              <w:rPr>
                <w:rFonts w:ascii="Arial" w:eastAsiaTheme="minorHAnsi" w:hAnsi="Arial" w:cs="Arial"/>
                <w:i/>
                <w:sz w:val="24"/>
                <w:szCs w:val="22"/>
                <w:lang w:eastAsia="en-US"/>
              </w:rPr>
              <w:t xml:space="preserve"> and services they purchase</w:t>
            </w:r>
            <w:r w:rsidR="00EB28FA">
              <w:rPr>
                <w:rFonts w:ascii="Arial" w:eastAsiaTheme="minorHAnsi" w:hAnsi="Arial" w:cs="Arial"/>
                <w:i/>
                <w:sz w:val="24"/>
                <w:szCs w:val="22"/>
                <w:lang w:eastAsia="en-US"/>
              </w:rPr>
              <w:t xml:space="preserve"> from their Personal Budget </w:t>
            </w:r>
            <w:r w:rsidR="00B811CC">
              <w:rPr>
                <w:rFonts w:ascii="Arial" w:eastAsiaTheme="minorHAnsi" w:hAnsi="Arial" w:cs="Arial"/>
                <w:i/>
                <w:sz w:val="24"/>
                <w:szCs w:val="22"/>
                <w:lang w:eastAsia="en-US"/>
              </w:rPr>
              <w:t xml:space="preserve">need to </w:t>
            </w:r>
            <w:r w:rsidR="004133DF">
              <w:rPr>
                <w:rFonts w:ascii="Arial" w:eastAsiaTheme="minorHAnsi" w:hAnsi="Arial" w:cs="Arial"/>
                <w:i/>
                <w:sz w:val="24"/>
                <w:szCs w:val="22"/>
                <w:lang w:eastAsia="en-US"/>
              </w:rPr>
              <w:t>be within the scope of what the</w:t>
            </w:r>
            <w:r w:rsidR="00BE6F4A" w:rsidRPr="00BE6F4A">
              <w:rPr>
                <w:rFonts w:ascii="Arial" w:eastAsiaTheme="minorHAnsi" w:hAnsi="Arial" w:cs="Arial"/>
                <w:i/>
                <w:sz w:val="24"/>
                <w:szCs w:val="22"/>
                <w:lang w:eastAsia="en-US"/>
              </w:rPr>
              <w:t xml:space="preserve"> Ministry of Health </w:t>
            </w:r>
            <w:r w:rsidR="00BE6F4A">
              <w:rPr>
                <w:rFonts w:ascii="Arial" w:eastAsiaTheme="minorHAnsi" w:hAnsi="Arial" w:cs="Arial"/>
                <w:i/>
                <w:sz w:val="24"/>
                <w:szCs w:val="22"/>
                <w:lang w:eastAsia="en-US"/>
              </w:rPr>
              <w:t>(</w:t>
            </w:r>
            <w:r w:rsidR="00BE6F4A" w:rsidRPr="00BE6F4A">
              <w:rPr>
                <w:rFonts w:ascii="Arial" w:eastAsiaTheme="minorHAnsi" w:hAnsi="Arial" w:cs="Arial"/>
                <w:i/>
                <w:sz w:val="24"/>
                <w:szCs w:val="22"/>
                <w:lang w:eastAsia="en-US"/>
              </w:rPr>
              <w:t>as the funder</w:t>
            </w:r>
            <w:r w:rsidR="00BE6F4A">
              <w:rPr>
                <w:rFonts w:ascii="Arial" w:eastAsiaTheme="minorHAnsi" w:hAnsi="Arial" w:cs="Arial"/>
                <w:i/>
                <w:sz w:val="24"/>
                <w:szCs w:val="22"/>
                <w:lang w:eastAsia="en-US"/>
              </w:rPr>
              <w:t>)</w:t>
            </w:r>
            <w:r w:rsidR="00BE6F4A" w:rsidRPr="00BE6F4A">
              <w:rPr>
                <w:rFonts w:ascii="Arial" w:eastAsiaTheme="minorHAnsi" w:hAnsi="Arial" w:cs="Arial"/>
                <w:i/>
                <w:sz w:val="24"/>
                <w:szCs w:val="22"/>
                <w:lang w:eastAsia="en-US"/>
              </w:rPr>
              <w:t xml:space="preserve"> is mandated to fund.</w:t>
            </w:r>
            <w:r w:rsidR="004133DF">
              <w:rPr>
                <w:rFonts w:ascii="Arial" w:eastAsiaTheme="minorHAnsi" w:hAnsi="Arial" w:cs="Arial"/>
                <w:i/>
                <w:sz w:val="24"/>
                <w:szCs w:val="22"/>
                <w:lang w:eastAsia="en-US"/>
              </w:rPr>
              <w:t xml:space="preserve"> This scope is defined through a set of purchasing guidelines (see Appendix 1).</w:t>
            </w:r>
          </w:p>
        </w:tc>
      </w:tr>
    </w:tbl>
    <w:p w14:paraId="3B2BBA3F" w14:textId="733A1662" w:rsidR="00BA686F" w:rsidRDefault="00BA686F" w:rsidP="00CF210E">
      <w:pPr>
        <w:pStyle w:val="Heading3"/>
        <w:spacing w:before="240" w:after="120"/>
        <w:ind w:left="709" w:hanging="709"/>
        <w:rPr>
          <w:b w:val="0"/>
          <w:i/>
        </w:rPr>
      </w:pPr>
      <w:r w:rsidRPr="0032130B">
        <w:rPr>
          <w:b w:val="0"/>
          <w:i/>
        </w:rPr>
        <w:t>Independent facilitation</w:t>
      </w:r>
    </w:p>
    <w:p w14:paraId="7C81AF87" w14:textId="0991F715" w:rsidR="00F30499" w:rsidRPr="00271492" w:rsidRDefault="00F30499" w:rsidP="00F30499">
      <w:pPr>
        <w:shd w:val="clear" w:color="auto" w:fill="FFFFFF" w:themeFill="background1"/>
        <w:spacing w:after="120"/>
        <w:rPr>
          <w:rFonts w:cs="Arial"/>
          <w:bCs/>
          <w:szCs w:val="24"/>
        </w:rPr>
      </w:pPr>
      <w:r w:rsidRPr="00271492">
        <w:rPr>
          <w:rFonts w:cs="Arial"/>
          <w:bCs/>
          <w:szCs w:val="24"/>
        </w:rPr>
        <w:t>Prior to allocating or coordinating any funded services (including referral for</w:t>
      </w:r>
      <w:r w:rsidR="002749D2">
        <w:rPr>
          <w:rFonts w:cs="Arial"/>
          <w:bCs/>
          <w:szCs w:val="24"/>
        </w:rPr>
        <w:t xml:space="preserve"> Choice in Community Living) a</w:t>
      </w:r>
      <w:r w:rsidRPr="00271492">
        <w:rPr>
          <w:rFonts w:cs="Arial"/>
          <w:bCs/>
          <w:szCs w:val="24"/>
        </w:rPr>
        <w:t xml:space="preserve"> NASC </w:t>
      </w:r>
      <w:r w:rsidR="002749D2">
        <w:rPr>
          <w:rFonts w:cs="Arial"/>
          <w:bCs/>
          <w:szCs w:val="24"/>
        </w:rPr>
        <w:t>may refer an individual to</w:t>
      </w:r>
      <w:r w:rsidRPr="00271492">
        <w:rPr>
          <w:rFonts w:cs="Arial"/>
          <w:bCs/>
          <w:szCs w:val="24"/>
        </w:rPr>
        <w:t xml:space="preserve"> an Independent Facilitator</w:t>
      </w:r>
      <w:r w:rsidRPr="00271492">
        <w:rPr>
          <w:rStyle w:val="FootnoteReference"/>
        </w:rPr>
        <w:footnoteReference w:id="2"/>
      </w:r>
      <w:r w:rsidRPr="00271492">
        <w:rPr>
          <w:rFonts w:cs="Arial"/>
          <w:bCs/>
          <w:szCs w:val="24"/>
        </w:rPr>
        <w:t xml:space="preserve">. This </w:t>
      </w:r>
      <w:r>
        <w:rPr>
          <w:rFonts w:cs="Arial"/>
          <w:bCs/>
          <w:szCs w:val="24"/>
        </w:rPr>
        <w:t xml:space="preserve">role </w:t>
      </w:r>
      <w:r w:rsidRPr="00271492">
        <w:rPr>
          <w:rFonts w:cs="Arial"/>
          <w:bCs/>
          <w:szCs w:val="24"/>
        </w:rPr>
        <w:t xml:space="preserve">provides specialist support to assist a person and their family/whānau </w:t>
      </w:r>
      <w:r>
        <w:rPr>
          <w:rFonts w:cs="Arial"/>
          <w:bCs/>
          <w:szCs w:val="24"/>
        </w:rPr>
        <w:t>to</w:t>
      </w:r>
      <w:r w:rsidRPr="00271492">
        <w:rPr>
          <w:rFonts w:cs="Arial"/>
          <w:bCs/>
          <w:szCs w:val="24"/>
        </w:rPr>
        <w:t xml:space="preserve"> access and utilise existing support</w:t>
      </w:r>
      <w:r w:rsidR="002749D2">
        <w:rPr>
          <w:rFonts w:cs="Arial"/>
          <w:bCs/>
          <w:szCs w:val="24"/>
        </w:rPr>
        <w:t>s</w:t>
      </w:r>
      <w:r w:rsidRPr="00271492">
        <w:rPr>
          <w:rFonts w:cs="Arial"/>
          <w:bCs/>
          <w:szCs w:val="24"/>
        </w:rPr>
        <w:t xml:space="preserve"> and services that are available in their local community. Some of these supports may be freely provided (such as natural support from family, friends, neighbours</w:t>
      </w:r>
      <w:r>
        <w:rPr>
          <w:rFonts w:cs="Arial"/>
          <w:bCs/>
          <w:szCs w:val="24"/>
        </w:rPr>
        <w:t xml:space="preserve"> and community groups</w:t>
      </w:r>
      <w:r w:rsidRPr="00271492">
        <w:rPr>
          <w:rFonts w:cs="Arial"/>
          <w:bCs/>
          <w:szCs w:val="24"/>
        </w:rPr>
        <w:t xml:space="preserve">) and others may be mainstream services funded by other government or local body organisations. </w:t>
      </w:r>
    </w:p>
    <w:p w14:paraId="7D713EC3" w14:textId="77156DDA" w:rsidR="00F30499" w:rsidRDefault="00F30499" w:rsidP="00F30499">
      <w:pPr>
        <w:spacing w:after="120"/>
        <w:rPr>
          <w:rFonts w:cs="Arial"/>
          <w:bCs/>
          <w:szCs w:val="24"/>
        </w:rPr>
      </w:pPr>
      <w:r w:rsidRPr="00271492">
        <w:rPr>
          <w:rFonts w:cs="Arial"/>
          <w:bCs/>
          <w:szCs w:val="24"/>
        </w:rPr>
        <w:t>As a consequence of ind</w:t>
      </w:r>
      <w:r w:rsidR="002749D2">
        <w:rPr>
          <w:rFonts w:cs="Arial"/>
          <w:bCs/>
          <w:szCs w:val="24"/>
        </w:rPr>
        <w:t>ependent facilitation the individual</w:t>
      </w:r>
      <w:r w:rsidRPr="00271492">
        <w:rPr>
          <w:rFonts w:cs="Arial"/>
          <w:bCs/>
          <w:szCs w:val="24"/>
        </w:rPr>
        <w:t xml:space="preserve"> may be able to access alternative supports to DSS funded services that meet some or all of their disability related needs. Independent facilitatio</w:t>
      </w:r>
      <w:r w:rsidR="002749D2">
        <w:rPr>
          <w:rFonts w:cs="Arial"/>
          <w:bCs/>
          <w:szCs w:val="24"/>
        </w:rPr>
        <w:t xml:space="preserve">n may also include assisting </w:t>
      </w:r>
      <w:r w:rsidRPr="00271492">
        <w:rPr>
          <w:rFonts w:cs="Arial"/>
          <w:bCs/>
          <w:szCs w:val="24"/>
        </w:rPr>
        <w:t>with finding suitable accommodation</w:t>
      </w:r>
      <w:r w:rsidR="002749D2">
        <w:rPr>
          <w:rFonts w:cs="Arial"/>
          <w:bCs/>
          <w:szCs w:val="24"/>
        </w:rPr>
        <w:t xml:space="preserve"> or housing in the community </w:t>
      </w:r>
      <w:r w:rsidR="001B6F76">
        <w:rPr>
          <w:rFonts w:cs="Arial"/>
          <w:bCs/>
          <w:szCs w:val="24"/>
        </w:rPr>
        <w:t xml:space="preserve">that </w:t>
      </w:r>
      <w:r w:rsidR="002749D2">
        <w:rPr>
          <w:rFonts w:cs="Arial"/>
          <w:bCs/>
          <w:szCs w:val="24"/>
        </w:rPr>
        <w:t>a</w:t>
      </w:r>
      <w:r w:rsidRPr="00271492">
        <w:rPr>
          <w:rFonts w:cs="Arial"/>
          <w:bCs/>
          <w:szCs w:val="24"/>
        </w:rPr>
        <w:t xml:space="preserve"> Person chooses to live in</w:t>
      </w:r>
      <w:r w:rsidR="002749D2">
        <w:rPr>
          <w:rFonts w:cs="Arial"/>
          <w:bCs/>
          <w:szCs w:val="24"/>
        </w:rPr>
        <w:t>.</w:t>
      </w:r>
    </w:p>
    <w:p w14:paraId="0CAA5870" w14:textId="77777777" w:rsidR="00B8358B" w:rsidRPr="00F30499" w:rsidRDefault="00B8358B" w:rsidP="00F30499">
      <w:pPr>
        <w:spacing w:after="120"/>
        <w:rPr>
          <w:rFonts w:cs="Arial"/>
          <w:bCs/>
          <w:color w:val="FF0000"/>
          <w:szCs w:val="24"/>
        </w:rPr>
      </w:pPr>
    </w:p>
    <w:p w14:paraId="7DF96C9F" w14:textId="77777777" w:rsidR="00FA2C3C" w:rsidRPr="00C66D12" w:rsidRDefault="00FA2C3C" w:rsidP="00CF210E">
      <w:pPr>
        <w:pStyle w:val="Heading3"/>
        <w:spacing w:before="240" w:after="120"/>
        <w:ind w:left="709" w:hanging="709"/>
        <w:rPr>
          <w:b w:val="0"/>
          <w:i/>
        </w:rPr>
      </w:pPr>
      <w:r w:rsidRPr="00C66D12">
        <w:rPr>
          <w:b w:val="0"/>
          <w:i/>
        </w:rPr>
        <w:lastRenderedPageBreak/>
        <w:t>Eligibility</w:t>
      </w:r>
    </w:p>
    <w:p w14:paraId="12A5AD08" w14:textId="2D4DC753" w:rsidR="00FA2C3C" w:rsidRDefault="00F30499" w:rsidP="004938CE">
      <w:r>
        <w:t>A Person is eligible for</w:t>
      </w:r>
      <w:r w:rsidR="00055F3E">
        <w:t xml:space="preserve"> </w:t>
      </w:r>
      <w:r>
        <w:t>Choice in Community Living</w:t>
      </w:r>
      <w:r w:rsidR="00D8259E">
        <w:t xml:space="preserve"> if</w:t>
      </w:r>
      <w:r w:rsidR="00055F3E">
        <w:t>:</w:t>
      </w:r>
    </w:p>
    <w:p w14:paraId="6CD6540E" w14:textId="65BFE538" w:rsidR="000B593B" w:rsidRDefault="001B6F76" w:rsidP="00820C91">
      <w:pPr>
        <w:pStyle w:val="ListParagraph"/>
        <w:numPr>
          <w:ilvl w:val="0"/>
          <w:numId w:val="6"/>
        </w:numPr>
        <w:spacing w:after="120"/>
        <w:ind w:left="788" w:hanging="357"/>
        <w:contextualSpacing w:val="0"/>
      </w:pPr>
      <w:r>
        <w:t xml:space="preserve">They </w:t>
      </w:r>
      <w:r w:rsidR="00FA2C3C">
        <w:t>are</w:t>
      </w:r>
      <w:r w:rsidR="008B4B25">
        <w:t xml:space="preserve"> 17</w:t>
      </w:r>
      <w:r w:rsidR="00071ACE">
        <w:t xml:space="preserve"> years or over and are</w:t>
      </w:r>
      <w:r w:rsidR="00FA2C3C">
        <w:t xml:space="preserve"> assessed </w:t>
      </w:r>
      <w:r w:rsidR="00055F3E">
        <w:rPr>
          <w:rFonts w:eastAsiaTheme="minorHAnsi" w:cstheme="minorBidi"/>
          <w:szCs w:val="22"/>
          <w:lang w:eastAsia="en-US"/>
        </w:rPr>
        <w:t>by their local NASC</w:t>
      </w:r>
      <w:r w:rsidR="004938CE" w:rsidRPr="003510B8">
        <w:rPr>
          <w:rFonts w:eastAsiaTheme="minorHAnsi" w:cstheme="minorBidi"/>
          <w:szCs w:val="22"/>
          <w:lang w:eastAsia="en-US"/>
        </w:rPr>
        <w:t xml:space="preserve"> </w:t>
      </w:r>
      <w:r w:rsidR="00FA2C3C">
        <w:rPr>
          <w:rFonts w:eastAsiaTheme="minorHAnsi" w:cstheme="minorBidi"/>
          <w:szCs w:val="22"/>
          <w:lang w:eastAsia="en-US"/>
        </w:rPr>
        <w:t xml:space="preserve">as eligible to </w:t>
      </w:r>
      <w:r w:rsidR="00512A81">
        <w:t xml:space="preserve">receive disability support services funded by the </w:t>
      </w:r>
      <w:r w:rsidR="000B593B">
        <w:t>Ministry</w:t>
      </w:r>
      <w:r w:rsidR="00FA2C3C">
        <w:t xml:space="preserve"> and</w:t>
      </w:r>
      <w:r w:rsidR="00055F3E">
        <w:t>;</w:t>
      </w:r>
    </w:p>
    <w:p w14:paraId="309E75CE" w14:textId="3A2CB684" w:rsidR="00FA2C3C" w:rsidRDefault="001B6F76" w:rsidP="00820C91">
      <w:pPr>
        <w:pStyle w:val="ListParagraph"/>
        <w:numPr>
          <w:ilvl w:val="0"/>
          <w:numId w:val="6"/>
        </w:numPr>
        <w:spacing w:after="120"/>
        <w:ind w:left="788" w:hanging="357"/>
        <w:contextualSpacing w:val="0"/>
      </w:pPr>
      <w:r>
        <w:t xml:space="preserve">They </w:t>
      </w:r>
      <w:r w:rsidR="00450699">
        <w:t>are either receiving services in a residential facility or their NASC has assessed them</w:t>
      </w:r>
      <w:r w:rsidR="00071ACE">
        <w:t xml:space="preserve"> as being eligible for a funded </w:t>
      </w:r>
      <w:r w:rsidR="00055F3E">
        <w:t>residential service</w:t>
      </w:r>
      <w:r w:rsidR="00071ACE">
        <w:t xml:space="preserve"> and;</w:t>
      </w:r>
    </w:p>
    <w:p w14:paraId="373454A8" w14:textId="36209150" w:rsidR="00055F3E" w:rsidRDefault="001B6F76" w:rsidP="00820C91">
      <w:pPr>
        <w:pStyle w:val="ListParagraph"/>
        <w:numPr>
          <w:ilvl w:val="0"/>
          <w:numId w:val="6"/>
        </w:numPr>
        <w:spacing w:after="120"/>
        <w:ind w:left="788" w:hanging="357"/>
        <w:contextualSpacing w:val="0"/>
      </w:pPr>
      <w:r>
        <w:t xml:space="preserve">They </w:t>
      </w:r>
      <w:r w:rsidR="00071ACE">
        <w:t>choose (or are</w:t>
      </w:r>
      <w:r w:rsidR="00055F3E">
        <w:t xml:space="preserve"> supported with their decis</w:t>
      </w:r>
      <w:r w:rsidR="002749D2">
        <w:t>ion) to be supported through</w:t>
      </w:r>
      <w:r w:rsidR="00055F3E">
        <w:t xml:space="preserve"> Ch</w:t>
      </w:r>
      <w:r w:rsidR="002749D2">
        <w:t>oice in Community Living</w:t>
      </w:r>
      <w:r w:rsidR="000A3273">
        <w:t>.</w:t>
      </w:r>
    </w:p>
    <w:p w14:paraId="0C8F8041" w14:textId="77777777" w:rsidR="00C573FD" w:rsidRPr="00C66D12" w:rsidRDefault="00C573FD" w:rsidP="00C573FD">
      <w:pPr>
        <w:pStyle w:val="Heading3"/>
        <w:spacing w:before="240" w:after="120"/>
        <w:ind w:left="709" w:hanging="709"/>
        <w:rPr>
          <w:b w:val="0"/>
          <w:i/>
        </w:rPr>
      </w:pPr>
      <w:r w:rsidRPr="00C66D12">
        <w:rPr>
          <w:b w:val="0"/>
          <w:i/>
        </w:rPr>
        <w:t>Exclusions</w:t>
      </w:r>
    </w:p>
    <w:p w14:paraId="15738A5B" w14:textId="6BDEC033" w:rsidR="00C573FD" w:rsidRPr="00C573FD" w:rsidRDefault="00C573FD" w:rsidP="00C573FD">
      <w:pPr>
        <w:spacing w:after="120"/>
        <w:rPr>
          <w:rFonts w:cs="Arial"/>
          <w:szCs w:val="24"/>
        </w:rPr>
      </w:pPr>
      <w:r w:rsidRPr="004750BB">
        <w:rPr>
          <w:bCs/>
        </w:rPr>
        <w:t>Excluded from services unde</w:t>
      </w:r>
      <w:r>
        <w:rPr>
          <w:bCs/>
        </w:rPr>
        <w:t>r this</w:t>
      </w:r>
      <w:r w:rsidR="000A3273">
        <w:rPr>
          <w:bCs/>
        </w:rPr>
        <w:t xml:space="preserve"> service</w:t>
      </w:r>
      <w:r>
        <w:rPr>
          <w:bCs/>
        </w:rPr>
        <w:t xml:space="preserve"> specification will be</w:t>
      </w:r>
      <w:r w:rsidRPr="004750BB">
        <w:rPr>
          <w:bCs/>
        </w:rPr>
        <w:t xml:space="preserve"> individual</w:t>
      </w:r>
      <w:r>
        <w:rPr>
          <w:bCs/>
        </w:rPr>
        <w:t>s</w:t>
      </w:r>
      <w:r w:rsidRPr="004750BB">
        <w:rPr>
          <w:bCs/>
        </w:rPr>
        <w:t xml:space="preserve"> </w:t>
      </w:r>
      <w:r>
        <w:rPr>
          <w:bCs/>
        </w:rPr>
        <w:t>who are</w:t>
      </w:r>
      <w:r w:rsidRPr="004750BB">
        <w:rPr>
          <w:bCs/>
        </w:rPr>
        <w:t xml:space="preserve"> ineligible for funded disability supports (as assessed by a NASC) or an individual who</w:t>
      </w:r>
      <w:r>
        <w:rPr>
          <w:bCs/>
        </w:rPr>
        <w:t xml:space="preserve">se disability </w:t>
      </w:r>
      <w:r w:rsidRPr="004750BB">
        <w:rPr>
          <w:bCs/>
        </w:rPr>
        <w:t xml:space="preserve">supports are </w:t>
      </w:r>
      <w:r>
        <w:rPr>
          <w:bCs/>
        </w:rPr>
        <w:t xml:space="preserve">funded </w:t>
      </w:r>
      <w:r w:rsidRPr="004750BB">
        <w:rPr>
          <w:bCs/>
        </w:rPr>
        <w:t xml:space="preserve">by </w:t>
      </w:r>
      <w:r>
        <w:rPr>
          <w:bCs/>
        </w:rPr>
        <w:t xml:space="preserve">a </w:t>
      </w:r>
      <w:r w:rsidR="00B8358B">
        <w:rPr>
          <w:bCs/>
        </w:rPr>
        <w:t>Whatu Ora</w:t>
      </w:r>
      <w:r w:rsidR="00E169EE">
        <w:rPr>
          <w:bCs/>
        </w:rPr>
        <w:t xml:space="preserve"> - Health NZ</w:t>
      </w:r>
      <w:r w:rsidR="00B8358B">
        <w:rPr>
          <w:bCs/>
        </w:rPr>
        <w:t xml:space="preserve"> </w:t>
      </w:r>
      <w:r>
        <w:rPr>
          <w:bCs/>
        </w:rPr>
        <w:t xml:space="preserve">or covered by </w:t>
      </w:r>
      <w:r w:rsidRPr="004750BB">
        <w:rPr>
          <w:bCs/>
        </w:rPr>
        <w:t xml:space="preserve">ACC. </w:t>
      </w:r>
      <w:r>
        <w:rPr>
          <w:rStyle w:val="a"/>
          <w:rFonts w:cs="Arial"/>
          <w:szCs w:val="24"/>
        </w:rPr>
        <w:tab/>
      </w:r>
    </w:p>
    <w:p w14:paraId="02B50C6C" w14:textId="77777777" w:rsidR="00985098" w:rsidRPr="00C66D12" w:rsidRDefault="00985098" w:rsidP="00985098">
      <w:pPr>
        <w:pStyle w:val="Heading3"/>
        <w:spacing w:before="240" w:after="120"/>
        <w:ind w:left="709" w:hanging="709"/>
        <w:rPr>
          <w:b w:val="0"/>
          <w:i/>
        </w:rPr>
      </w:pPr>
      <w:r w:rsidRPr="00C66D12">
        <w:rPr>
          <w:b w:val="0"/>
          <w:i/>
        </w:rPr>
        <w:t>Access</w:t>
      </w:r>
    </w:p>
    <w:p w14:paraId="371383D3" w14:textId="0CE1F6B3" w:rsidR="00985098" w:rsidRPr="00985098" w:rsidRDefault="00985098" w:rsidP="00985098">
      <w:pPr>
        <w:rPr>
          <w:szCs w:val="24"/>
        </w:rPr>
      </w:pPr>
      <w:r w:rsidRPr="00C66D12">
        <w:rPr>
          <w:rStyle w:val="a"/>
          <w:szCs w:val="24"/>
        </w:rPr>
        <w:t>To access Choice in Community Living</w:t>
      </w:r>
      <w:r w:rsidR="002749D2">
        <w:rPr>
          <w:rStyle w:val="a"/>
          <w:szCs w:val="24"/>
        </w:rPr>
        <w:t xml:space="preserve"> the</w:t>
      </w:r>
      <w:r w:rsidR="0014702E">
        <w:rPr>
          <w:rStyle w:val="a"/>
          <w:szCs w:val="24"/>
        </w:rPr>
        <w:t xml:space="preserve"> </w:t>
      </w:r>
      <w:r w:rsidR="0007417C">
        <w:rPr>
          <w:rStyle w:val="a"/>
          <w:szCs w:val="24"/>
        </w:rPr>
        <w:t>Person will be offered a referral</w:t>
      </w:r>
      <w:r w:rsidRPr="00C66D12">
        <w:rPr>
          <w:rStyle w:val="a"/>
          <w:szCs w:val="24"/>
        </w:rPr>
        <w:t xml:space="preserve"> by their NASC. </w:t>
      </w:r>
      <w:r>
        <w:rPr>
          <w:rStyle w:val="a"/>
        </w:rPr>
        <w:t>The</w:t>
      </w:r>
      <w:r w:rsidR="0007417C">
        <w:rPr>
          <w:rStyle w:val="a"/>
        </w:rPr>
        <w:t xml:space="preserve"> Person can </w:t>
      </w:r>
      <w:r w:rsidR="0014702E">
        <w:rPr>
          <w:rStyle w:val="a"/>
        </w:rPr>
        <w:t xml:space="preserve">then </w:t>
      </w:r>
      <w:r w:rsidR="002749D2">
        <w:rPr>
          <w:rStyle w:val="a"/>
        </w:rPr>
        <w:t>choose which Choice in Community Living</w:t>
      </w:r>
      <w:r w:rsidR="0007417C">
        <w:rPr>
          <w:rStyle w:val="a"/>
        </w:rPr>
        <w:t xml:space="preserve"> Provider they want to support them. The</w:t>
      </w:r>
      <w:r>
        <w:rPr>
          <w:rStyle w:val="a"/>
        </w:rPr>
        <w:t xml:space="preserve"> </w:t>
      </w:r>
      <w:r w:rsidR="002749D2">
        <w:rPr>
          <w:rStyle w:val="a"/>
        </w:rPr>
        <w:t>chosen</w:t>
      </w:r>
      <w:r w:rsidR="00724A46">
        <w:rPr>
          <w:rStyle w:val="a"/>
        </w:rPr>
        <w:t xml:space="preserve"> Provider will confirm</w:t>
      </w:r>
      <w:r w:rsidR="002749D2">
        <w:rPr>
          <w:rStyle w:val="a"/>
        </w:rPr>
        <w:t xml:space="preserve"> with the P</w:t>
      </w:r>
      <w:r w:rsidR="0014702E">
        <w:rPr>
          <w:rStyle w:val="a"/>
        </w:rPr>
        <w:t>erson’s NASC</w:t>
      </w:r>
      <w:r w:rsidRPr="00C66D12">
        <w:rPr>
          <w:rStyle w:val="a"/>
        </w:rPr>
        <w:t xml:space="preserve"> </w:t>
      </w:r>
      <w:r>
        <w:rPr>
          <w:rStyle w:val="a"/>
        </w:rPr>
        <w:t xml:space="preserve">their </w:t>
      </w:r>
      <w:r w:rsidRPr="00C66D12">
        <w:rPr>
          <w:rStyle w:val="a"/>
        </w:rPr>
        <w:t>acceptance of the referral</w:t>
      </w:r>
      <w:r w:rsidR="0014702E">
        <w:rPr>
          <w:rStyle w:val="a"/>
        </w:rPr>
        <w:t>.</w:t>
      </w:r>
      <w:r w:rsidRPr="00C66D12">
        <w:rPr>
          <w:rStyle w:val="a"/>
          <w:i/>
        </w:rPr>
        <w:t xml:space="preserve">  </w:t>
      </w:r>
      <w:r w:rsidRPr="00C66D12">
        <w:rPr>
          <w:rStyle w:val="a"/>
          <w:i/>
          <w:szCs w:val="24"/>
        </w:rPr>
        <w:t xml:space="preserve"> </w:t>
      </w:r>
    </w:p>
    <w:p w14:paraId="518D03D4" w14:textId="68D8158A" w:rsidR="00FA2C3C" w:rsidRPr="00C66D12" w:rsidRDefault="00FA2C3C" w:rsidP="00CF210E">
      <w:pPr>
        <w:pStyle w:val="Heading3"/>
        <w:spacing w:before="240" w:after="120"/>
        <w:ind w:left="709" w:hanging="709"/>
        <w:rPr>
          <w:b w:val="0"/>
          <w:i/>
        </w:rPr>
      </w:pPr>
      <w:r w:rsidRPr="00C66D12">
        <w:rPr>
          <w:b w:val="0"/>
          <w:i/>
        </w:rPr>
        <w:t>Supported decision making</w:t>
      </w:r>
    </w:p>
    <w:p w14:paraId="043E7EC6" w14:textId="4B481791" w:rsidR="004938CE" w:rsidRDefault="000B593B" w:rsidP="004938CE">
      <w:r>
        <w:t>The principles of supported decision making</w:t>
      </w:r>
      <w:r w:rsidR="004938CE" w:rsidRPr="003510B8">
        <w:t xml:space="preserve"> </w:t>
      </w:r>
      <w:r>
        <w:t>should be</w:t>
      </w:r>
      <w:r w:rsidR="00FA2C3C">
        <w:t xml:space="preserve"> applied</w:t>
      </w:r>
      <w:r>
        <w:t xml:space="preserve"> when </w:t>
      </w:r>
      <w:r w:rsidR="0074320C">
        <w:t xml:space="preserve">both </w:t>
      </w:r>
      <w:r>
        <w:t>offering a</w:t>
      </w:r>
      <w:r w:rsidR="0074320C">
        <w:t>nd delivering</w:t>
      </w:r>
      <w:r w:rsidR="00FA2C3C">
        <w:t xml:space="preserve"> </w:t>
      </w:r>
      <w:r>
        <w:t xml:space="preserve">a Choice in Community Living service. </w:t>
      </w:r>
    </w:p>
    <w:p w14:paraId="01139871" w14:textId="54CB5724" w:rsidR="004938CE" w:rsidRPr="00A80A59" w:rsidRDefault="00FA2C3C" w:rsidP="00A80A59">
      <w:pPr>
        <w:pStyle w:val="NormalWeb"/>
        <w:shd w:val="clear" w:color="auto" w:fill="FFFFFF"/>
        <w:ind w:left="426"/>
        <w:jc w:val="both"/>
        <w:rPr>
          <w:rFonts w:ascii="Arial" w:hAnsi="Arial" w:cs="Arial"/>
          <w:color w:val="000000" w:themeColor="text1"/>
          <w:lang w:val="en"/>
        </w:rPr>
      </w:pPr>
      <w:r>
        <w:rPr>
          <w:rFonts w:ascii="Arial" w:hAnsi="Arial" w:cs="Arial"/>
          <w:color w:val="000000" w:themeColor="text1"/>
          <w:lang w:val="en"/>
        </w:rPr>
        <w:t>“</w:t>
      </w:r>
      <w:r w:rsidR="000B593B" w:rsidRPr="00FA2C3C">
        <w:rPr>
          <w:rFonts w:ascii="Arial" w:hAnsi="Arial" w:cs="Arial"/>
          <w:i/>
          <w:color w:val="000000" w:themeColor="text1"/>
          <w:lang w:val="en"/>
        </w:rPr>
        <w:t>Supported decision-making can take many forms. Those assisting a person may communicate the individual’s intentions to others or help him/her understand the choices at hand. They may help others to realize that a person with significant disabilities is also a person with a history, interests and aims in life, and is someone capable of exercising his/her legal capacity.</w:t>
      </w:r>
      <w:r w:rsidR="000B593B" w:rsidRPr="000B593B">
        <w:rPr>
          <w:rFonts w:ascii="Arial" w:hAnsi="Arial" w:cs="Arial"/>
          <w:color w:val="000000" w:themeColor="text1"/>
          <w:lang w:val="en"/>
        </w:rPr>
        <w:t>”</w:t>
      </w:r>
      <w:r>
        <w:rPr>
          <w:rStyle w:val="FootnoteReference"/>
          <w:rFonts w:ascii="Arial" w:hAnsi="Arial" w:cs="Arial"/>
          <w:color w:val="000000" w:themeColor="text1"/>
          <w:lang w:val="en"/>
        </w:rPr>
        <w:footnoteReference w:id="3"/>
      </w:r>
    </w:p>
    <w:p w14:paraId="3DD914A9" w14:textId="3A6BF43A" w:rsidR="00A80A59" w:rsidRPr="00C66D12" w:rsidRDefault="00A80A59" w:rsidP="00CF210E">
      <w:pPr>
        <w:pStyle w:val="Heading3"/>
        <w:spacing w:before="240" w:after="120"/>
        <w:ind w:left="709" w:hanging="709"/>
        <w:rPr>
          <w:b w:val="0"/>
          <w:i/>
        </w:rPr>
      </w:pPr>
      <w:bookmarkStart w:id="1" w:name="_Individual_support_plan"/>
      <w:bookmarkEnd w:id="1"/>
      <w:r w:rsidRPr="00C66D12">
        <w:rPr>
          <w:b w:val="0"/>
          <w:i/>
        </w:rPr>
        <w:t>Allocation of funded support</w:t>
      </w:r>
    </w:p>
    <w:p w14:paraId="15AC3EB2" w14:textId="47CD6157" w:rsidR="00C40AE8" w:rsidRPr="004750BB" w:rsidRDefault="00B01EEA" w:rsidP="00FB1064">
      <w:pPr>
        <w:rPr>
          <w:rFonts w:cs="Arial"/>
          <w:bCs/>
        </w:rPr>
      </w:pPr>
      <w:r>
        <w:t xml:space="preserve">The NASC will </w:t>
      </w:r>
      <w:r w:rsidRPr="00D1589A">
        <w:rPr>
          <w:rStyle w:val="a"/>
          <w:szCs w:val="24"/>
        </w:rPr>
        <w:t>allocate a fi</w:t>
      </w:r>
      <w:r>
        <w:rPr>
          <w:rStyle w:val="a"/>
          <w:szCs w:val="24"/>
        </w:rPr>
        <w:t>xed amount of funding for each P</w:t>
      </w:r>
      <w:r w:rsidRPr="00D1589A">
        <w:rPr>
          <w:rStyle w:val="a"/>
          <w:szCs w:val="24"/>
        </w:rPr>
        <w:t>erson</w:t>
      </w:r>
      <w:r>
        <w:rPr>
          <w:rStyle w:val="a"/>
          <w:szCs w:val="24"/>
        </w:rPr>
        <w:t>.</w:t>
      </w:r>
      <w:r w:rsidR="00FB1064">
        <w:rPr>
          <w:rFonts w:cs="Arial"/>
          <w:bCs/>
        </w:rPr>
        <w:t xml:space="preserve"> </w:t>
      </w:r>
      <w:r w:rsidR="0091580B" w:rsidRPr="004750BB">
        <w:rPr>
          <w:rFonts w:cs="Arial"/>
          <w:bCs/>
        </w:rPr>
        <w:t xml:space="preserve">The choice of how this </w:t>
      </w:r>
      <w:r w:rsidR="001E4562" w:rsidRPr="004750BB">
        <w:rPr>
          <w:rFonts w:cs="Arial"/>
          <w:bCs/>
        </w:rPr>
        <w:t xml:space="preserve">allocated </w:t>
      </w:r>
      <w:r w:rsidR="0091580B" w:rsidRPr="004750BB">
        <w:rPr>
          <w:rFonts w:cs="Arial"/>
          <w:bCs/>
        </w:rPr>
        <w:t>funding is</w:t>
      </w:r>
      <w:r w:rsidR="00842D24">
        <w:rPr>
          <w:rFonts w:cs="Arial"/>
          <w:bCs/>
        </w:rPr>
        <w:t xml:space="preserve"> to be used</w:t>
      </w:r>
      <w:r w:rsidR="0091580B" w:rsidRPr="004750BB">
        <w:rPr>
          <w:rFonts w:cs="Arial"/>
          <w:bCs/>
        </w:rPr>
        <w:t xml:space="preserve"> to </w:t>
      </w:r>
      <w:r w:rsidR="00026A51">
        <w:rPr>
          <w:rFonts w:cs="Arial"/>
          <w:bCs/>
        </w:rPr>
        <w:t>meet the</w:t>
      </w:r>
      <w:r w:rsidR="000E542B">
        <w:rPr>
          <w:rFonts w:cs="Arial"/>
          <w:bCs/>
        </w:rPr>
        <w:t xml:space="preserve"> outcomes in the Person’s Support</w:t>
      </w:r>
      <w:r>
        <w:rPr>
          <w:rFonts w:cs="Arial"/>
          <w:bCs/>
        </w:rPr>
        <w:t xml:space="preserve"> plan lies with the</w:t>
      </w:r>
      <w:r w:rsidR="00026A51">
        <w:rPr>
          <w:rFonts w:cs="Arial"/>
          <w:bCs/>
        </w:rPr>
        <w:t xml:space="preserve"> P</w:t>
      </w:r>
      <w:r w:rsidR="0091580B" w:rsidRPr="004750BB">
        <w:rPr>
          <w:rFonts w:cs="Arial"/>
          <w:bCs/>
        </w:rPr>
        <w:t>erson not the Provider. The Choice</w:t>
      </w:r>
      <w:r w:rsidR="007C7784" w:rsidRPr="004750BB">
        <w:rPr>
          <w:rFonts w:cs="Arial"/>
          <w:bCs/>
        </w:rPr>
        <w:t xml:space="preserve"> in Community Living </w:t>
      </w:r>
      <w:r w:rsidR="00293A82" w:rsidRPr="004750BB">
        <w:rPr>
          <w:rFonts w:cs="Arial"/>
          <w:bCs/>
        </w:rPr>
        <w:t xml:space="preserve">provider </w:t>
      </w:r>
      <w:r w:rsidR="000B11C3">
        <w:rPr>
          <w:rFonts w:cs="Arial"/>
          <w:bCs/>
        </w:rPr>
        <w:t xml:space="preserve">will administer and oversee </w:t>
      </w:r>
      <w:r w:rsidR="0091580B" w:rsidRPr="004750BB">
        <w:rPr>
          <w:rFonts w:cs="Arial"/>
          <w:bCs/>
        </w:rPr>
        <w:t>the</w:t>
      </w:r>
      <w:r w:rsidR="000B11C3">
        <w:rPr>
          <w:rFonts w:cs="Arial"/>
          <w:bCs/>
        </w:rPr>
        <w:t xml:space="preserve"> person’s expenditure of their</w:t>
      </w:r>
      <w:r w:rsidR="0091580B" w:rsidRPr="004750BB">
        <w:rPr>
          <w:rFonts w:cs="Arial"/>
          <w:bCs/>
        </w:rPr>
        <w:t xml:space="preserve"> </w:t>
      </w:r>
      <w:r w:rsidR="0036219E" w:rsidRPr="004750BB">
        <w:rPr>
          <w:rFonts w:cs="Arial"/>
          <w:bCs/>
        </w:rPr>
        <w:t xml:space="preserve">allocated </w:t>
      </w:r>
      <w:r w:rsidR="0091580B" w:rsidRPr="004750BB">
        <w:rPr>
          <w:rFonts w:cs="Arial"/>
          <w:bCs/>
        </w:rPr>
        <w:t>funding. They can</w:t>
      </w:r>
      <w:r w:rsidR="00564A3E" w:rsidRPr="004750BB">
        <w:rPr>
          <w:rFonts w:cs="Arial"/>
          <w:bCs/>
        </w:rPr>
        <w:t xml:space="preserve"> </w:t>
      </w:r>
      <w:r w:rsidR="000B11C3">
        <w:rPr>
          <w:rFonts w:cs="Arial"/>
          <w:bCs/>
        </w:rPr>
        <w:t xml:space="preserve">also </w:t>
      </w:r>
      <w:r w:rsidR="00564A3E" w:rsidRPr="004750BB">
        <w:rPr>
          <w:rFonts w:cs="Arial"/>
          <w:bCs/>
        </w:rPr>
        <w:t>advise</w:t>
      </w:r>
      <w:r w:rsidR="00B75531" w:rsidRPr="004750BB">
        <w:rPr>
          <w:rFonts w:cs="Arial"/>
          <w:bCs/>
        </w:rPr>
        <w:t xml:space="preserve"> and assist</w:t>
      </w:r>
      <w:r w:rsidR="00564A3E" w:rsidRPr="004750BB">
        <w:rPr>
          <w:rFonts w:cs="Arial"/>
          <w:bCs/>
        </w:rPr>
        <w:t xml:space="preserve"> the Person</w:t>
      </w:r>
      <w:r w:rsidR="00B75531" w:rsidRPr="004750BB">
        <w:rPr>
          <w:rFonts w:cs="Arial"/>
          <w:bCs/>
        </w:rPr>
        <w:t xml:space="preserve"> with their choices</w:t>
      </w:r>
      <w:r w:rsidR="00564A3E" w:rsidRPr="004750BB">
        <w:rPr>
          <w:rFonts w:cs="Arial"/>
          <w:bCs/>
        </w:rPr>
        <w:t xml:space="preserve"> an</w:t>
      </w:r>
      <w:r w:rsidR="0036219E" w:rsidRPr="004750BB">
        <w:rPr>
          <w:rFonts w:cs="Arial"/>
          <w:bCs/>
        </w:rPr>
        <w:t>d if requested use the</w:t>
      </w:r>
      <w:r w:rsidR="00564A3E" w:rsidRPr="004750BB">
        <w:rPr>
          <w:rFonts w:cs="Arial"/>
          <w:bCs/>
        </w:rPr>
        <w:t xml:space="preserve"> funding</w:t>
      </w:r>
      <w:r w:rsidR="00293A82" w:rsidRPr="004750BB">
        <w:rPr>
          <w:rFonts w:cs="Arial"/>
          <w:bCs/>
        </w:rPr>
        <w:t xml:space="preserve"> </w:t>
      </w:r>
      <w:r w:rsidR="00C40AE8" w:rsidRPr="004750BB">
        <w:rPr>
          <w:rFonts w:cs="Arial"/>
          <w:bCs/>
        </w:rPr>
        <w:t>to commission a range o</w:t>
      </w:r>
      <w:r w:rsidR="00293A82" w:rsidRPr="004750BB">
        <w:rPr>
          <w:rFonts w:cs="Arial"/>
          <w:bCs/>
        </w:rPr>
        <w:t>f</w:t>
      </w:r>
      <w:r w:rsidR="00C40AE8" w:rsidRPr="004750BB">
        <w:rPr>
          <w:rFonts w:cs="Arial"/>
          <w:bCs/>
        </w:rPr>
        <w:t xml:space="preserve"> disability support</w:t>
      </w:r>
      <w:r w:rsidR="00293A82" w:rsidRPr="004750BB">
        <w:rPr>
          <w:rFonts w:cs="Arial"/>
          <w:bCs/>
        </w:rPr>
        <w:t>s and services</w:t>
      </w:r>
      <w:r w:rsidR="0091580B" w:rsidRPr="004750BB">
        <w:rPr>
          <w:rFonts w:cs="Arial"/>
          <w:bCs/>
        </w:rPr>
        <w:t xml:space="preserve"> on behalf of</w:t>
      </w:r>
      <w:r>
        <w:rPr>
          <w:rFonts w:cs="Arial"/>
          <w:bCs/>
        </w:rPr>
        <w:t xml:space="preserve"> the P</w:t>
      </w:r>
      <w:r w:rsidR="00C40AE8" w:rsidRPr="004750BB">
        <w:rPr>
          <w:rFonts w:cs="Arial"/>
          <w:bCs/>
        </w:rPr>
        <w:t xml:space="preserve">erson </w:t>
      </w:r>
      <w:r w:rsidR="00026A51">
        <w:rPr>
          <w:rFonts w:cs="Arial"/>
          <w:bCs/>
        </w:rPr>
        <w:t xml:space="preserve">according to the </w:t>
      </w:r>
      <w:r w:rsidR="000E542B">
        <w:rPr>
          <w:rFonts w:cs="Arial"/>
          <w:bCs/>
        </w:rPr>
        <w:t xml:space="preserve">Support </w:t>
      </w:r>
      <w:r w:rsidR="00C40AE8" w:rsidRPr="004750BB">
        <w:rPr>
          <w:rFonts w:cs="Arial"/>
          <w:bCs/>
        </w:rPr>
        <w:t xml:space="preserve">plan.  </w:t>
      </w:r>
    </w:p>
    <w:p w14:paraId="48E34184" w14:textId="77777777" w:rsidR="00174E4B" w:rsidRPr="00C66D12" w:rsidRDefault="00174E4B" w:rsidP="00CF210E">
      <w:pPr>
        <w:pStyle w:val="Heading3"/>
        <w:spacing w:before="240" w:after="120"/>
        <w:ind w:left="709" w:hanging="709"/>
        <w:rPr>
          <w:b w:val="0"/>
          <w:i/>
        </w:rPr>
      </w:pPr>
      <w:r w:rsidRPr="00C66D12">
        <w:rPr>
          <w:b w:val="0"/>
          <w:i/>
        </w:rPr>
        <w:lastRenderedPageBreak/>
        <w:t>Costs</w:t>
      </w:r>
    </w:p>
    <w:p w14:paraId="25C670D4" w14:textId="11F72342" w:rsidR="00174E4B" w:rsidRDefault="0028355E" w:rsidP="00FB1064">
      <w:pPr>
        <w:spacing w:after="120"/>
      </w:pPr>
      <w:r>
        <w:rPr>
          <w:rFonts w:cs="Arial"/>
          <w:bCs/>
          <w:szCs w:val="24"/>
        </w:rPr>
        <w:t>The</w:t>
      </w:r>
      <w:r w:rsidR="00174E4B" w:rsidRPr="004750BB">
        <w:rPr>
          <w:rFonts w:cs="Arial"/>
          <w:bCs/>
          <w:szCs w:val="24"/>
        </w:rPr>
        <w:t xml:space="preserve"> cost of the Choice in Community Living service</w:t>
      </w:r>
      <w:r w:rsidR="00400C71" w:rsidRPr="004750BB">
        <w:rPr>
          <w:rFonts w:cs="Arial"/>
          <w:bCs/>
          <w:szCs w:val="24"/>
        </w:rPr>
        <w:t xml:space="preserve"> </w:t>
      </w:r>
      <w:r>
        <w:rPr>
          <w:rFonts w:cs="Arial"/>
          <w:bCs/>
          <w:szCs w:val="24"/>
        </w:rPr>
        <w:t>come from the allocated funding that comprises the Person’s Personal Budget.</w:t>
      </w:r>
      <w:r w:rsidR="00174E4B" w:rsidRPr="004750BB">
        <w:rPr>
          <w:rFonts w:cs="Arial"/>
          <w:bCs/>
          <w:szCs w:val="24"/>
        </w:rPr>
        <w:t xml:space="preserve"> But the cos</w:t>
      </w:r>
      <w:r w:rsidR="00014B37">
        <w:rPr>
          <w:rFonts w:cs="Arial"/>
          <w:bCs/>
          <w:szCs w:val="24"/>
        </w:rPr>
        <w:t xml:space="preserve">ts associated with </w:t>
      </w:r>
      <w:r w:rsidR="001E4562" w:rsidRPr="004750BB">
        <w:rPr>
          <w:rFonts w:cs="Arial"/>
          <w:bCs/>
          <w:szCs w:val="24"/>
        </w:rPr>
        <w:t>purchasing</w:t>
      </w:r>
      <w:r w:rsidR="002749D2">
        <w:rPr>
          <w:rFonts w:cs="Arial"/>
          <w:bCs/>
          <w:szCs w:val="24"/>
        </w:rPr>
        <w:t>,</w:t>
      </w:r>
      <w:r w:rsidR="00014B37">
        <w:rPr>
          <w:rFonts w:cs="Arial"/>
          <w:bCs/>
          <w:szCs w:val="24"/>
        </w:rPr>
        <w:t xml:space="preserve"> leasing or </w:t>
      </w:r>
      <w:r w:rsidR="00174E4B" w:rsidRPr="004750BB">
        <w:rPr>
          <w:rFonts w:cs="Arial"/>
          <w:bCs/>
          <w:szCs w:val="24"/>
        </w:rPr>
        <w:t>rent</w:t>
      </w:r>
      <w:r w:rsidR="00014B37">
        <w:rPr>
          <w:rFonts w:cs="Arial"/>
          <w:bCs/>
          <w:szCs w:val="24"/>
        </w:rPr>
        <w:t>ing</w:t>
      </w:r>
      <w:r w:rsidR="00174E4B" w:rsidRPr="004750BB">
        <w:rPr>
          <w:rFonts w:cs="Arial"/>
          <w:bCs/>
          <w:szCs w:val="24"/>
        </w:rPr>
        <w:t xml:space="preserve"> the Person’s chosen accommodation as well </w:t>
      </w:r>
      <w:r w:rsidR="007C7784" w:rsidRPr="004750BB">
        <w:rPr>
          <w:rFonts w:cs="Arial"/>
          <w:bCs/>
          <w:szCs w:val="24"/>
        </w:rPr>
        <w:t>as their day to day living expenses</w:t>
      </w:r>
      <w:r w:rsidR="00660618">
        <w:rPr>
          <w:rFonts w:cs="Arial"/>
          <w:bCs/>
          <w:szCs w:val="24"/>
        </w:rPr>
        <w:t xml:space="preserve"> and other non-disability related costs</w:t>
      </w:r>
      <w:r w:rsidR="00174E4B" w:rsidRPr="004750BB">
        <w:rPr>
          <w:rFonts w:cs="Arial"/>
          <w:bCs/>
          <w:szCs w:val="24"/>
        </w:rPr>
        <w:t xml:space="preserve"> are met</w:t>
      </w:r>
      <w:r w:rsidR="00174E4B" w:rsidRPr="00400C71">
        <w:t xml:space="preserve"> by the Person and/or their family/natural supports</w:t>
      </w:r>
      <w:r w:rsidR="00660618">
        <w:t>.</w:t>
      </w:r>
      <w:r w:rsidR="00174E4B" w:rsidRPr="00400C71">
        <w:t xml:space="preserve"> </w:t>
      </w:r>
    </w:p>
    <w:p w14:paraId="7766A3BB" w14:textId="537270F0" w:rsidR="00026A51" w:rsidRPr="00617720" w:rsidRDefault="000E542B" w:rsidP="00CF210E">
      <w:pPr>
        <w:pStyle w:val="Heading3"/>
        <w:spacing w:before="240" w:after="120"/>
        <w:ind w:left="709" w:hanging="709"/>
        <w:rPr>
          <w:b w:val="0"/>
          <w:i/>
        </w:rPr>
      </w:pPr>
      <w:r>
        <w:rPr>
          <w:b w:val="0"/>
          <w:i/>
        </w:rPr>
        <w:t>Support</w:t>
      </w:r>
      <w:r w:rsidR="00B2596C" w:rsidRPr="00C66D12">
        <w:rPr>
          <w:b w:val="0"/>
          <w:i/>
        </w:rPr>
        <w:t xml:space="preserve"> plan</w:t>
      </w:r>
    </w:p>
    <w:p w14:paraId="79A4460E" w14:textId="6DA85ECA" w:rsidR="009B6AEA" w:rsidRDefault="00C76411" w:rsidP="00CF210E">
      <w:r w:rsidRPr="00400C71">
        <w:t>T</w:t>
      </w:r>
      <w:r w:rsidR="00EB39AF" w:rsidRPr="00400C71">
        <w:t>he Person</w:t>
      </w:r>
      <w:r w:rsidRPr="00400C71">
        <w:t xml:space="preserve"> is required</w:t>
      </w:r>
      <w:r w:rsidR="00EB39AF" w:rsidRPr="00400C71">
        <w:t xml:space="preserve"> to have </w:t>
      </w:r>
      <w:r w:rsidR="000E542B">
        <w:t>their own</w:t>
      </w:r>
      <w:r w:rsidRPr="00400C71">
        <w:t xml:space="preserve"> </w:t>
      </w:r>
      <w:r w:rsidR="000E542B">
        <w:t>S</w:t>
      </w:r>
      <w:r w:rsidR="00BA686F" w:rsidRPr="00400C71">
        <w:t>upport plan</w:t>
      </w:r>
      <w:r w:rsidR="00064501">
        <w:t xml:space="preserve"> completed with the NASC</w:t>
      </w:r>
      <w:r w:rsidR="00BA686F" w:rsidRPr="00400C71">
        <w:t xml:space="preserve">. </w:t>
      </w:r>
      <w:r w:rsidR="00174E4B" w:rsidRPr="00400C71">
        <w:t xml:space="preserve">This plan </w:t>
      </w:r>
      <w:r w:rsidR="00B01EEA">
        <w:t>must describe the outcomes the P</w:t>
      </w:r>
      <w:r w:rsidR="00174E4B" w:rsidRPr="00400C71">
        <w:t>erson wants to achieve from both their funded and unfunded supports. It</w:t>
      </w:r>
      <w:r w:rsidR="000106DC">
        <w:t xml:space="preserve"> must</w:t>
      </w:r>
      <w:r w:rsidR="00174E4B" w:rsidRPr="00400C71">
        <w:t xml:space="preserve"> identify people that the Person wishes to be involved in their supports</w:t>
      </w:r>
      <w:r w:rsidR="00617720">
        <w:t xml:space="preserve"> and what they</w:t>
      </w:r>
      <w:r w:rsidR="00026A51">
        <w:t xml:space="preserve"> are willing and able to contribute to meet the outcomes documented in the plan</w:t>
      </w:r>
      <w:r w:rsidR="00174E4B" w:rsidRPr="00400C71">
        <w:t xml:space="preserve">. These </w:t>
      </w:r>
      <w:r w:rsidR="00617720">
        <w:t>people could include the Person’s</w:t>
      </w:r>
      <w:r w:rsidR="00174E4B" w:rsidRPr="00400C71">
        <w:t xml:space="preserve"> family/whānau, friends, their NASC, </w:t>
      </w:r>
      <w:r w:rsidR="007C7784">
        <w:t xml:space="preserve">an </w:t>
      </w:r>
      <w:r w:rsidR="00203BAC">
        <w:t>I</w:t>
      </w:r>
      <w:r w:rsidR="00174E4B" w:rsidRPr="00400C71">
        <w:t>ndependen</w:t>
      </w:r>
      <w:r w:rsidR="00203BAC">
        <w:t>t F</w:t>
      </w:r>
      <w:r w:rsidR="00174E4B" w:rsidRPr="00400C71">
        <w:t xml:space="preserve">acilitator as well as </w:t>
      </w:r>
      <w:r w:rsidR="00617720">
        <w:t xml:space="preserve">the </w:t>
      </w:r>
      <w:r w:rsidR="00174E4B" w:rsidRPr="00400C71">
        <w:t>provi</w:t>
      </w:r>
      <w:r w:rsidR="009B6AEA">
        <w:t xml:space="preserve">ders of their chosen </w:t>
      </w:r>
      <w:r w:rsidR="00B01EEA">
        <w:t xml:space="preserve">support </w:t>
      </w:r>
      <w:r w:rsidR="009B6AEA">
        <w:t xml:space="preserve">services. </w:t>
      </w:r>
      <w:r w:rsidRPr="00CF210E">
        <w:t>The</w:t>
      </w:r>
      <w:r w:rsidR="00450699" w:rsidRPr="00CF210E">
        <w:t xml:space="preserve"> Person’s NASC can h</w:t>
      </w:r>
      <w:r w:rsidR="00E35CE3">
        <w:t>elp the Person</w:t>
      </w:r>
      <w:r w:rsidR="00A80A59" w:rsidRPr="00CF210E">
        <w:t xml:space="preserve"> to prepare this plan o</w:t>
      </w:r>
      <w:r w:rsidR="00450699" w:rsidRPr="00CF210E">
        <w:t>r the person can request help with this from someone</w:t>
      </w:r>
      <w:r w:rsidR="00A80A59" w:rsidRPr="00CF210E">
        <w:t xml:space="preserve"> else</w:t>
      </w:r>
      <w:r w:rsidR="00450699" w:rsidRPr="00CF210E">
        <w:t xml:space="preserve">. </w:t>
      </w:r>
    </w:p>
    <w:p w14:paraId="70B316AF" w14:textId="4B2699B7" w:rsidR="00CF210E" w:rsidRPr="00CF210E" w:rsidRDefault="00CD3755" w:rsidP="004750BB">
      <w:pPr>
        <w:spacing w:after="120"/>
      </w:pPr>
      <w:r>
        <w:t xml:space="preserve">The development of the plan should be led and signed off by the Person.  </w:t>
      </w:r>
      <w:r w:rsidR="000106DC">
        <w:t xml:space="preserve">The NASC </w:t>
      </w:r>
      <w:r w:rsidR="00B811CC">
        <w:t>should</w:t>
      </w:r>
      <w:r w:rsidR="00E35CE3">
        <w:t xml:space="preserve"> provide guidance to the Person and their fami</w:t>
      </w:r>
      <w:r w:rsidR="009B6AEA">
        <w:t>ly/whanau/</w:t>
      </w:r>
      <w:r w:rsidR="00E35CE3">
        <w:t>nominated representative about</w:t>
      </w:r>
      <w:r w:rsidR="009B6AEA">
        <w:t xml:space="preserve"> this. The NASC will also</w:t>
      </w:r>
      <w:r w:rsidR="00B811CC">
        <w:t xml:space="preserve"> </w:t>
      </w:r>
      <w:r w:rsidR="009B6AEA">
        <w:t>consider</w:t>
      </w:r>
      <w:r w:rsidR="000106DC">
        <w:t xml:space="preserve"> the following</w:t>
      </w:r>
      <w:r w:rsidR="007C7784">
        <w:t xml:space="preserve"> factors before</w:t>
      </w:r>
      <w:r w:rsidR="000106DC">
        <w:t xml:space="preserve"> </w:t>
      </w:r>
      <w:r w:rsidR="009B6AEA">
        <w:t xml:space="preserve">approving the </w:t>
      </w:r>
      <w:r w:rsidR="00203BAC">
        <w:t xml:space="preserve">Support </w:t>
      </w:r>
      <w:r w:rsidR="009B6AEA">
        <w:t xml:space="preserve">plan and </w:t>
      </w:r>
      <w:r w:rsidR="000106DC">
        <w:t>coordinating the Choice in Community Living service</w:t>
      </w:r>
      <w:r w:rsidR="00CF210E" w:rsidRPr="00CF210E">
        <w:t xml:space="preserve">: </w:t>
      </w:r>
    </w:p>
    <w:p w14:paraId="217A3DC6" w14:textId="764D9127" w:rsidR="00CF210E" w:rsidRDefault="00CF210E" w:rsidP="00820C91">
      <w:pPr>
        <w:pStyle w:val="ListParagraph"/>
        <w:numPr>
          <w:ilvl w:val="0"/>
          <w:numId w:val="6"/>
        </w:numPr>
        <w:spacing w:after="120"/>
        <w:ind w:left="788" w:hanging="357"/>
        <w:contextualSpacing w:val="0"/>
      </w:pPr>
      <w:r w:rsidRPr="00CC7BE4">
        <w:t>evidence the plan re</w:t>
      </w:r>
      <w:r>
        <w:t>flects the Person’s preferences</w:t>
      </w:r>
    </w:p>
    <w:p w14:paraId="0481127B" w14:textId="66AE9B00" w:rsidR="000106DC" w:rsidRPr="00CC7BE4" w:rsidRDefault="000106DC" w:rsidP="00820C91">
      <w:pPr>
        <w:pStyle w:val="ListParagraph"/>
        <w:numPr>
          <w:ilvl w:val="0"/>
          <w:numId w:val="6"/>
        </w:numPr>
        <w:spacing w:after="120"/>
        <w:ind w:left="788" w:hanging="357"/>
        <w:contextualSpacing w:val="0"/>
      </w:pPr>
      <w:r>
        <w:t>all essential</w:t>
      </w:r>
      <w:r w:rsidRPr="00CC7BE4">
        <w:t xml:space="preserve"> information </w:t>
      </w:r>
      <w:r>
        <w:t xml:space="preserve">is </w:t>
      </w:r>
      <w:r w:rsidRPr="00CC7BE4">
        <w:t>present</w:t>
      </w:r>
      <w:r>
        <w:t>ed</w:t>
      </w:r>
      <w:r w:rsidRPr="00CC7BE4">
        <w:t xml:space="preserve"> in the plan and </w:t>
      </w:r>
      <w:r>
        <w:t xml:space="preserve">it </w:t>
      </w:r>
      <w:r w:rsidRPr="00CC7BE4">
        <w:t>is presented in a format that is accessible to the Person, other stakeholders, and auditors</w:t>
      </w:r>
      <w:r>
        <w:t>.</w:t>
      </w:r>
    </w:p>
    <w:p w14:paraId="69A094B1" w14:textId="44ECC071" w:rsidR="00CF210E" w:rsidRPr="00CC7BE4" w:rsidRDefault="00CF210E" w:rsidP="00820C91">
      <w:pPr>
        <w:pStyle w:val="ListParagraph"/>
        <w:numPr>
          <w:ilvl w:val="0"/>
          <w:numId w:val="6"/>
        </w:numPr>
        <w:spacing w:after="120"/>
        <w:ind w:left="788" w:hanging="357"/>
        <w:contextualSpacing w:val="0"/>
      </w:pPr>
      <w:r w:rsidRPr="00CC7BE4">
        <w:t>the total cost</w:t>
      </w:r>
      <w:r w:rsidR="000106DC">
        <w:t xml:space="preserve"> of the </w:t>
      </w:r>
      <w:r w:rsidR="00735263">
        <w:t>supports</w:t>
      </w:r>
      <w:r w:rsidR="000106DC">
        <w:t xml:space="preserve"> proposed within the plan</w:t>
      </w:r>
      <w:r w:rsidRPr="00CC7BE4">
        <w:t xml:space="preserve"> </w:t>
      </w:r>
      <w:r w:rsidR="00735263">
        <w:t>is</w:t>
      </w:r>
      <w:r>
        <w:t xml:space="preserve"> </w:t>
      </w:r>
      <w:r w:rsidRPr="00CC7BE4">
        <w:t xml:space="preserve">less than or equal to the allocation of </w:t>
      </w:r>
      <w:r w:rsidR="000106DC">
        <w:t xml:space="preserve">funding for the </w:t>
      </w:r>
      <w:r w:rsidR="00735263">
        <w:t>service.</w:t>
      </w:r>
      <w:r w:rsidRPr="00CC7BE4">
        <w:t xml:space="preserve"> </w:t>
      </w:r>
    </w:p>
    <w:p w14:paraId="3C484499" w14:textId="6B7B26FC" w:rsidR="00CF210E" w:rsidRPr="00CC7BE4" w:rsidRDefault="00CF210E" w:rsidP="00820C91">
      <w:pPr>
        <w:pStyle w:val="ListParagraph"/>
        <w:numPr>
          <w:ilvl w:val="0"/>
          <w:numId w:val="6"/>
        </w:numPr>
        <w:spacing w:after="120"/>
        <w:ind w:left="788" w:hanging="357"/>
        <w:contextualSpacing w:val="0"/>
      </w:pPr>
      <w:r>
        <w:t>t</w:t>
      </w:r>
      <w:r w:rsidRPr="00CC7BE4">
        <w:t xml:space="preserve">he </w:t>
      </w:r>
      <w:r w:rsidR="00A328B7">
        <w:t xml:space="preserve">proposed </w:t>
      </w:r>
      <w:r w:rsidRPr="00CC7BE4">
        <w:t>support</w:t>
      </w:r>
      <w:r>
        <w:t xml:space="preserve"> </w:t>
      </w:r>
      <w:r w:rsidR="007C7784">
        <w:t xml:space="preserve">that </w:t>
      </w:r>
      <w:r>
        <w:t>is</w:t>
      </w:r>
      <w:r w:rsidR="00A328B7">
        <w:t xml:space="preserve"> specified is consistent with the</w:t>
      </w:r>
      <w:r w:rsidRPr="00CC7BE4">
        <w:t xml:space="preserve"> Purchasing Guideline</w:t>
      </w:r>
      <w:r>
        <w:t>s</w:t>
      </w:r>
      <w:r w:rsidR="003C6D03">
        <w:t xml:space="preserve"> (see Appen</w:t>
      </w:r>
      <w:r w:rsidR="00735263">
        <w:t xml:space="preserve">dix). </w:t>
      </w:r>
    </w:p>
    <w:p w14:paraId="3BF6A3ED" w14:textId="582D75B3" w:rsidR="00CF210E" w:rsidRDefault="00735263" w:rsidP="00820C91">
      <w:pPr>
        <w:pStyle w:val="ListParagraph"/>
        <w:numPr>
          <w:ilvl w:val="0"/>
          <w:numId w:val="6"/>
        </w:numPr>
        <w:spacing w:after="120"/>
        <w:ind w:left="788" w:hanging="357"/>
        <w:contextualSpacing w:val="0"/>
      </w:pPr>
      <w:r>
        <w:t>t</w:t>
      </w:r>
      <w:r w:rsidR="00CF210E" w:rsidRPr="00CC7BE4">
        <w:t>he plan include</w:t>
      </w:r>
      <w:r>
        <w:t xml:space="preserve">s contingencies </w:t>
      </w:r>
      <w:r w:rsidR="00CF210E" w:rsidRPr="00CC7BE4">
        <w:t xml:space="preserve">in </w:t>
      </w:r>
      <w:r>
        <w:t>case things don’t go as planned</w:t>
      </w:r>
    </w:p>
    <w:p w14:paraId="53E446C1" w14:textId="06551374" w:rsidR="003E7AB6" w:rsidRDefault="00853F3B" w:rsidP="004750BB">
      <w:pPr>
        <w:spacing w:before="120"/>
        <w:rPr>
          <w:rFonts w:cs="Arial"/>
        </w:rPr>
      </w:pPr>
      <w:r>
        <w:rPr>
          <w:rFonts w:cs="Arial"/>
        </w:rPr>
        <w:t>The P</w:t>
      </w:r>
      <w:r w:rsidR="003E7AB6" w:rsidRPr="004750BB">
        <w:rPr>
          <w:rFonts w:cs="Arial"/>
        </w:rPr>
        <w:t>rovider will formally commit to the plan by signing the section that describes wh</w:t>
      </w:r>
      <w:r>
        <w:rPr>
          <w:rFonts w:cs="Arial"/>
        </w:rPr>
        <w:t>at they will do to support the P</w:t>
      </w:r>
      <w:r w:rsidR="003E7AB6" w:rsidRPr="004750BB">
        <w:rPr>
          <w:rFonts w:cs="Arial"/>
        </w:rPr>
        <w:t>erson.  Other people specified in the plan who ha</w:t>
      </w:r>
      <w:r>
        <w:rPr>
          <w:rFonts w:cs="Arial"/>
        </w:rPr>
        <w:t>ve committed to supporting the P</w:t>
      </w:r>
      <w:r w:rsidR="003E7AB6" w:rsidRPr="004750BB">
        <w:rPr>
          <w:rFonts w:cs="Arial"/>
        </w:rPr>
        <w:t xml:space="preserve">erson may also be asked to sign it. </w:t>
      </w:r>
    </w:p>
    <w:p w14:paraId="22918813" w14:textId="74BF0EA9" w:rsidR="00617720" w:rsidRDefault="00617720" w:rsidP="004750BB">
      <w:pPr>
        <w:spacing w:before="120"/>
        <w:rPr>
          <w:rFonts w:cs="Arial"/>
        </w:rPr>
      </w:pPr>
      <w:r>
        <w:rPr>
          <w:rFonts w:cs="Arial"/>
        </w:rPr>
        <w:t>The plan should be updated when required and reviewed at least annually.</w:t>
      </w:r>
    </w:p>
    <w:p w14:paraId="63D3D7A6" w14:textId="77777777" w:rsidR="00E169EE" w:rsidRDefault="00E169EE" w:rsidP="004750BB">
      <w:pPr>
        <w:spacing w:before="120"/>
        <w:rPr>
          <w:rFonts w:cs="Arial"/>
        </w:rPr>
      </w:pPr>
    </w:p>
    <w:p w14:paraId="456E3034" w14:textId="77777777" w:rsidR="00E169EE" w:rsidRDefault="00E169EE" w:rsidP="004750BB">
      <w:pPr>
        <w:spacing w:before="120"/>
        <w:rPr>
          <w:rFonts w:cs="Arial"/>
        </w:rPr>
      </w:pPr>
    </w:p>
    <w:p w14:paraId="2E1C854E" w14:textId="77777777" w:rsidR="00E169EE" w:rsidRDefault="00E169EE" w:rsidP="004750BB">
      <w:pPr>
        <w:spacing w:before="120"/>
        <w:rPr>
          <w:rFonts w:cs="Arial"/>
        </w:rPr>
      </w:pPr>
    </w:p>
    <w:p w14:paraId="15513C0C" w14:textId="77777777" w:rsidR="00E169EE" w:rsidRDefault="00E169EE" w:rsidP="004750BB">
      <w:pPr>
        <w:spacing w:before="120"/>
        <w:rPr>
          <w:rFonts w:cs="Arial"/>
        </w:rPr>
      </w:pPr>
    </w:p>
    <w:p w14:paraId="1358E025" w14:textId="77777777" w:rsidR="00E169EE" w:rsidRPr="004750BB" w:rsidRDefault="00E169EE" w:rsidP="004750BB">
      <w:pPr>
        <w:spacing w:before="120"/>
        <w:rPr>
          <w:rFonts w:cs="Arial"/>
        </w:rPr>
      </w:pPr>
    </w:p>
    <w:p w14:paraId="1652C037" w14:textId="77777777" w:rsidR="00C66D12" w:rsidRDefault="00450699" w:rsidP="00FB1064">
      <w:pPr>
        <w:pStyle w:val="Heading2"/>
        <w:spacing w:before="240" w:after="120"/>
      </w:pPr>
      <w:r>
        <w:lastRenderedPageBreak/>
        <w:t>Service components</w:t>
      </w:r>
    </w:p>
    <w:tbl>
      <w:tblPr>
        <w:tblStyle w:val="TableGrid"/>
        <w:tblW w:w="0" w:type="auto"/>
        <w:shd w:val="clear" w:color="auto" w:fill="DBE5F1" w:themeFill="accent1" w:themeFillTint="33"/>
        <w:tblLook w:val="04A0" w:firstRow="1" w:lastRow="0" w:firstColumn="1" w:lastColumn="0" w:noHBand="0" w:noVBand="1"/>
      </w:tblPr>
      <w:tblGrid>
        <w:gridCol w:w="9174"/>
      </w:tblGrid>
      <w:tr w:rsidR="00C66D12" w14:paraId="2A0FE1B5" w14:textId="77777777" w:rsidTr="001B6F76">
        <w:trPr>
          <w:trHeight w:val="3710"/>
        </w:trPr>
        <w:tc>
          <w:tcPr>
            <w:tcW w:w="9288" w:type="dxa"/>
            <w:shd w:val="clear" w:color="auto" w:fill="DBE5F1" w:themeFill="accent1" w:themeFillTint="33"/>
          </w:tcPr>
          <w:p w14:paraId="7FA4AE15" w14:textId="7D545AB5" w:rsidR="00C66D12" w:rsidRPr="002E18E2" w:rsidRDefault="00C66D12" w:rsidP="00A8246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eastAsiaTheme="minorHAnsi" w:hAnsi="Arial" w:cs="Arial"/>
                <w:b/>
                <w:i/>
                <w:sz w:val="24"/>
                <w:szCs w:val="24"/>
                <w:lang w:eastAsia="en-US"/>
              </w:rPr>
            </w:pPr>
            <w:r w:rsidRPr="002E18E2">
              <w:rPr>
                <w:rFonts w:ascii="Arial" w:eastAsiaTheme="minorHAnsi" w:hAnsi="Arial" w:cs="Arial"/>
                <w:b/>
                <w:i/>
                <w:sz w:val="24"/>
                <w:szCs w:val="24"/>
                <w:lang w:eastAsia="en-US"/>
              </w:rPr>
              <w:t>Guidance:</w:t>
            </w:r>
          </w:p>
          <w:p w14:paraId="2828DF5F" w14:textId="1832F152" w:rsidR="00323004" w:rsidRDefault="00853F3B" w:rsidP="00A8246D">
            <w:pPr>
              <w:rPr>
                <w:rFonts w:ascii="Arial" w:eastAsiaTheme="minorHAnsi" w:hAnsi="Arial" w:cs="Arial"/>
                <w:i/>
                <w:sz w:val="24"/>
                <w:szCs w:val="22"/>
                <w:lang w:eastAsia="en-US"/>
              </w:rPr>
            </w:pPr>
            <w:r>
              <w:rPr>
                <w:rFonts w:ascii="Arial" w:eastAsiaTheme="minorHAnsi" w:hAnsi="Arial" w:cs="Arial"/>
                <w:i/>
                <w:sz w:val="24"/>
                <w:szCs w:val="22"/>
                <w:lang w:eastAsia="en-US"/>
              </w:rPr>
              <w:t>Every P</w:t>
            </w:r>
            <w:r w:rsidR="00660618">
              <w:rPr>
                <w:rFonts w:ascii="Arial" w:eastAsiaTheme="minorHAnsi" w:hAnsi="Arial" w:cs="Arial"/>
                <w:i/>
                <w:sz w:val="24"/>
                <w:szCs w:val="22"/>
                <w:lang w:eastAsia="en-US"/>
              </w:rPr>
              <w:t>erson who chooses Choice in Community Living</w:t>
            </w:r>
            <w:r w:rsidR="00323004">
              <w:rPr>
                <w:rFonts w:ascii="Arial" w:eastAsiaTheme="minorHAnsi" w:hAnsi="Arial" w:cs="Arial"/>
                <w:i/>
                <w:sz w:val="24"/>
                <w:szCs w:val="22"/>
                <w:lang w:eastAsia="en-US"/>
              </w:rPr>
              <w:t xml:space="preserve"> has different support needs and preferences about how the</w:t>
            </w:r>
            <w:r w:rsidR="00203BAC">
              <w:rPr>
                <w:rFonts w:ascii="Arial" w:eastAsiaTheme="minorHAnsi" w:hAnsi="Arial" w:cs="Arial"/>
                <w:i/>
                <w:sz w:val="24"/>
                <w:szCs w:val="22"/>
                <w:lang w:eastAsia="en-US"/>
              </w:rPr>
              <w:t>y are supported</w:t>
            </w:r>
            <w:r w:rsidR="00323004">
              <w:rPr>
                <w:rFonts w:ascii="Arial" w:eastAsiaTheme="minorHAnsi" w:hAnsi="Arial" w:cs="Arial"/>
                <w:i/>
                <w:sz w:val="24"/>
                <w:szCs w:val="22"/>
                <w:lang w:eastAsia="en-US"/>
              </w:rPr>
              <w:t>. As much as possible these preferences should be accommodated by providing varied</w:t>
            </w:r>
            <w:r w:rsidR="00203BAC">
              <w:rPr>
                <w:rFonts w:ascii="Arial" w:eastAsiaTheme="minorHAnsi" w:hAnsi="Arial" w:cs="Arial"/>
                <w:i/>
                <w:sz w:val="24"/>
                <w:szCs w:val="22"/>
                <w:lang w:eastAsia="en-US"/>
              </w:rPr>
              <w:t xml:space="preserve"> and flexible service options</w:t>
            </w:r>
            <w:r>
              <w:rPr>
                <w:rFonts w:ascii="Arial" w:eastAsiaTheme="minorHAnsi" w:hAnsi="Arial" w:cs="Arial"/>
                <w:i/>
                <w:sz w:val="24"/>
                <w:szCs w:val="22"/>
                <w:lang w:eastAsia="en-US"/>
              </w:rPr>
              <w:t xml:space="preserve"> for the Person</w:t>
            </w:r>
            <w:r w:rsidR="00323004">
              <w:rPr>
                <w:rFonts w:ascii="Arial" w:eastAsiaTheme="minorHAnsi" w:hAnsi="Arial" w:cs="Arial"/>
                <w:i/>
                <w:sz w:val="24"/>
                <w:szCs w:val="22"/>
                <w:lang w:eastAsia="en-US"/>
              </w:rPr>
              <w:t xml:space="preserve"> to choose what best suits them. </w:t>
            </w:r>
          </w:p>
          <w:p w14:paraId="0F36DBAC" w14:textId="77777777" w:rsidR="00C66D12" w:rsidRDefault="00C66D12" w:rsidP="00323004">
            <w:pPr>
              <w:spacing w:before="120"/>
              <w:rPr>
                <w:rFonts w:ascii="Arial" w:eastAsiaTheme="minorHAnsi" w:hAnsi="Arial" w:cs="Arial"/>
                <w:i/>
                <w:sz w:val="24"/>
                <w:szCs w:val="22"/>
                <w:lang w:eastAsia="en-US"/>
              </w:rPr>
            </w:pPr>
            <w:r w:rsidRPr="00BE6F4A">
              <w:rPr>
                <w:rFonts w:ascii="Arial" w:eastAsiaTheme="minorHAnsi" w:hAnsi="Arial" w:cs="Arial"/>
                <w:i/>
                <w:sz w:val="24"/>
                <w:szCs w:val="22"/>
                <w:lang w:eastAsia="en-US"/>
              </w:rPr>
              <w:t xml:space="preserve">It is important that a service provider </w:t>
            </w:r>
            <w:r w:rsidR="00323004">
              <w:rPr>
                <w:rFonts w:ascii="Arial" w:eastAsiaTheme="minorHAnsi" w:hAnsi="Arial" w:cs="Arial"/>
                <w:i/>
                <w:sz w:val="24"/>
                <w:szCs w:val="22"/>
                <w:lang w:eastAsia="en-US"/>
              </w:rPr>
              <w:t>who provides any</w:t>
            </w:r>
            <w:r w:rsidR="007C7784" w:rsidRPr="00BE6F4A">
              <w:rPr>
                <w:rFonts w:ascii="Arial" w:eastAsiaTheme="minorHAnsi" w:hAnsi="Arial" w:cs="Arial"/>
                <w:i/>
                <w:sz w:val="24"/>
                <w:szCs w:val="22"/>
                <w:lang w:eastAsia="en-US"/>
              </w:rPr>
              <w:t xml:space="preserve"> funded service for</w:t>
            </w:r>
            <w:r w:rsidRPr="00BE6F4A">
              <w:rPr>
                <w:rFonts w:ascii="Arial" w:eastAsiaTheme="minorHAnsi" w:hAnsi="Arial" w:cs="Arial"/>
                <w:i/>
                <w:sz w:val="24"/>
                <w:szCs w:val="22"/>
                <w:lang w:eastAsia="en-US"/>
              </w:rPr>
              <w:t xml:space="preserve"> a disabled person clearly defines their responsibilities</w:t>
            </w:r>
            <w:r w:rsidR="00323004">
              <w:rPr>
                <w:rFonts w:ascii="Arial" w:eastAsiaTheme="minorHAnsi" w:hAnsi="Arial" w:cs="Arial"/>
                <w:i/>
                <w:sz w:val="24"/>
                <w:szCs w:val="22"/>
                <w:lang w:eastAsia="en-US"/>
              </w:rPr>
              <w:t xml:space="preserve"> and obligations to the Person. </w:t>
            </w:r>
            <w:r w:rsidR="00853F3B">
              <w:rPr>
                <w:rFonts w:ascii="Arial" w:eastAsiaTheme="minorHAnsi" w:hAnsi="Arial" w:cs="Arial"/>
                <w:i/>
                <w:sz w:val="24"/>
                <w:szCs w:val="22"/>
                <w:lang w:eastAsia="en-US"/>
              </w:rPr>
              <w:t>The P</w:t>
            </w:r>
            <w:r w:rsidRPr="00BE6F4A">
              <w:rPr>
                <w:rFonts w:ascii="Arial" w:eastAsiaTheme="minorHAnsi" w:hAnsi="Arial" w:cs="Arial"/>
                <w:i/>
                <w:sz w:val="24"/>
                <w:szCs w:val="22"/>
                <w:lang w:eastAsia="en-US"/>
              </w:rPr>
              <w:t xml:space="preserve">rovider should clearly identify and document what tasks they will do as part of the service and what other people </w:t>
            </w:r>
            <w:r w:rsidR="007C7784" w:rsidRPr="00BE6F4A">
              <w:rPr>
                <w:rFonts w:ascii="Arial" w:eastAsiaTheme="minorHAnsi" w:hAnsi="Arial" w:cs="Arial"/>
                <w:i/>
                <w:sz w:val="24"/>
                <w:szCs w:val="22"/>
                <w:lang w:eastAsia="en-US"/>
              </w:rPr>
              <w:t xml:space="preserve">may </w:t>
            </w:r>
            <w:r w:rsidRPr="00BE6F4A">
              <w:rPr>
                <w:rFonts w:ascii="Arial" w:eastAsiaTheme="minorHAnsi" w:hAnsi="Arial" w:cs="Arial"/>
                <w:i/>
                <w:sz w:val="24"/>
                <w:szCs w:val="22"/>
                <w:lang w:eastAsia="en-US"/>
              </w:rPr>
              <w:t>have committed to doing</w:t>
            </w:r>
            <w:r w:rsidR="007C7784" w:rsidRPr="00BE6F4A">
              <w:rPr>
                <w:rFonts w:ascii="Arial" w:eastAsiaTheme="minorHAnsi" w:hAnsi="Arial" w:cs="Arial"/>
                <w:i/>
                <w:sz w:val="24"/>
                <w:szCs w:val="22"/>
                <w:lang w:eastAsia="en-US"/>
              </w:rPr>
              <w:t>.</w:t>
            </w:r>
            <w:r w:rsidRPr="00BE6F4A">
              <w:rPr>
                <w:rFonts w:ascii="Arial" w:eastAsiaTheme="minorHAnsi" w:hAnsi="Arial" w:cs="Arial"/>
                <w:i/>
                <w:sz w:val="24"/>
                <w:szCs w:val="22"/>
                <w:lang w:eastAsia="en-US"/>
              </w:rPr>
              <w:t xml:space="preserve"> This can avoid any confusion and/or assumptions amongst the parties about what supports people are responsible for</w:t>
            </w:r>
            <w:r w:rsidR="007C7784" w:rsidRPr="00BE6F4A">
              <w:rPr>
                <w:rFonts w:ascii="Arial" w:eastAsiaTheme="minorHAnsi" w:hAnsi="Arial" w:cs="Arial"/>
                <w:i/>
                <w:sz w:val="24"/>
                <w:szCs w:val="22"/>
                <w:lang w:eastAsia="en-US"/>
              </w:rPr>
              <w:t xml:space="preserve"> so that there are no gaps in the essential supports required by the Person.</w:t>
            </w:r>
          </w:p>
          <w:p w14:paraId="7211A5BB" w14:textId="7C882D18" w:rsidR="0093702B" w:rsidRPr="00323004" w:rsidRDefault="0093702B" w:rsidP="00323004">
            <w:pPr>
              <w:spacing w:before="120"/>
              <w:rPr>
                <w:rFonts w:ascii="Arial" w:eastAsiaTheme="minorHAnsi" w:hAnsi="Arial" w:cs="Arial"/>
                <w:i/>
                <w:sz w:val="24"/>
                <w:szCs w:val="22"/>
                <w:lang w:eastAsia="en-US"/>
              </w:rPr>
            </w:pPr>
          </w:p>
        </w:tc>
      </w:tr>
    </w:tbl>
    <w:p w14:paraId="525C776A" w14:textId="77777777" w:rsidR="004C1C41" w:rsidRPr="00C66D12" w:rsidRDefault="004C1C41" w:rsidP="00FB1064">
      <w:pPr>
        <w:pStyle w:val="Heading3"/>
        <w:spacing w:before="240" w:after="120"/>
        <w:ind w:left="709" w:hanging="709"/>
        <w:rPr>
          <w:b w:val="0"/>
          <w:i/>
        </w:rPr>
      </w:pPr>
      <w:r w:rsidRPr="00C66D12">
        <w:rPr>
          <w:b w:val="0"/>
          <w:i/>
        </w:rPr>
        <w:t>Support Agreement</w:t>
      </w:r>
    </w:p>
    <w:p w14:paraId="298223D5" w14:textId="58FA703B" w:rsidR="004C1C41" w:rsidRPr="004750BB" w:rsidRDefault="00171D85" w:rsidP="004B04A0">
      <w:r w:rsidRPr="004750BB">
        <w:t>The</w:t>
      </w:r>
      <w:r w:rsidR="004C1C41" w:rsidRPr="004750BB">
        <w:t xml:space="preserve"> </w:t>
      </w:r>
      <w:r w:rsidR="005E2768" w:rsidRPr="004750BB">
        <w:t>type</w:t>
      </w:r>
      <w:r w:rsidRPr="004750BB">
        <w:t xml:space="preserve"> and quantity of </w:t>
      </w:r>
      <w:r w:rsidR="004C1C41" w:rsidRPr="004750BB">
        <w:t>support</w:t>
      </w:r>
      <w:r w:rsidR="005E2768" w:rsidRPr="004750BB">
        <w:t xml:space="preserve"> that is</w:t>
      </w:r>
      <w:r w:rsidRPr="004750BB">
        <w:t xml:space="preserve"> to be</w:t>
      </w:r>
      <w:r w:rsidR="004C1C41" w:rsidRPr="004750BB">
        <w:t xml:space="preserve"> delivered</w:t>
      </w:r>
      <w:r w:rsidR="005E2768" w:rsidRPr="004750BB">
        <w:t xml:space="preserve"> </w:t>
      </w:r>
      <w:r w:rsidRPr="004750BB">
        <w:t>by the</w:t>
      </w:r>
      <w:r w:rsidR="004C1C41" w:rsidRPr="004750BB">
        <w:t xml:space="preserve"> Choice in Communi</w:t>
      </w:r>
      <w:r w:rsidR="00853F3B">
        <w:t>ty Living P</w:t>
      </w:r>
      <w:r w:rsidRPr="004750BB">
        <w:t>rovider</w:t>
      </w:r>
      <w:r w:rsidR="004C1C41" w:rsidRPr="004750BB">
        <w:t xml:space="preserve"> will be agreed between the </w:t>
      </w:r>
      <w:r w:rsidRPr="004750BB">
        <w:t xml:space="preserve">parties. These supports </w:t>
      </w:r>
      <w:r w:rsidR="005F784E">
        <w:t>will be recorded in a Support A</w:t>
      </w:r>
      <w:r w:rsidR="004C1C41" w:rsidRPr="004750BB">
        <w:t>greement.</w:t>
      </w:r>
    </w:p>
    <w:p w14:paraId="4A9CBD2C" w14:textId="2312F65B" w:rsidR="00D1589A" w:rsidRPr="004750BB" w:rsidRDefault="005F784E" w:rsidP="004B04A0">
      <w:r>
        <w:t>The Support A</w:t>
      </w:r>
      <w:r w:rsidR="000A3273">
        <w:t xml:space="preserve">greement </w:t>
      </w:r>
      <w:r w:rsidR="004C1C41" w:rsidRPr="004750BB">
        <w:t>record</w:t>
      </w:r>
      <w:r w:rsidR="000A3273">
        <w:t>s</w:t>
      </w:r>
      <w:r w:rsidR="004C1C41" w:rsidRPr="004750BB">
        <w:t xml:space="preserve"> the particular responsibilities and roles of all parties</w:t>
      </w:r>
      <w:r w:rsidR="004C1C41" w:rsidRPr="00C35B48">
        <w:rPr>
          <w:rStyle w:val="FootnoteReference"/>
        </w:rPr>
        <w:footnoteReference w:id="4"/>
      </w:r>
      <w:r w:rsidR="004C1C41" w:rsidRPr="004750BB">
        <w:t xml:space="preserve"> involved in supporting the Person</w:t>
      </w:r>
      <w:r w:rsidR="000A3273">
        <w:t xml:space="preserve"> and should consider the supports that are documented in the Person’s Support plan</w:t>
      </w:r>
      <w:r w:rsidR="004C1C41" w:rsidRPr="004750BB">
        <w:t xml:space="preserve">. This can involve identifying specific tasks that each </w:t>
      </w:r>
      <w:r w:rsidR="00D1589A" w:rsidRPr="004750BB">
        <w:t>will undertake and agreement about how the support will be reviewed and changed.</w:t>
      </w:r>
      <w:r w:rsidR="001947B7">
        <w:t xml:space="preserve"> The Provider must also disclose</w:t>
      </w:r>
      <w:r w:rsidR="001947B7" w:rsidRPr="004750BB">
        <w:t xml:space="preserve"> </w:t>
      </w:r>
      <w:r w:rsidR="001947B7">
        <w:t>all service fees that will be deducted from the Person’s Personal Budget prior to the parties signing the Support Agreement</w:t>
      </w:r>
    </w:p>
    <w:p w14:paraId="60EE0804" w14:textId="62A2DBEA" w:rsidR="00536B2E" w:rsidRPr="004750BB" w:rsidRDefault="00536B2E" w:rsidP="004B04A0">
      <w:r w:rsidRPr="004750BB">
        <w:t>In the event that the Person or any other stakeholder has concerns about the amount or type of suppo</w:t>
      </w:r>
      <w:r w:rsidR="00853F3B">
        <w:t>rt that has been provided, the Support A</w:t>
      </w:r>
      <w:r w:rsidRPr="004750BB">
        <w:t>greement should provide a clear record of what all parties agreed to.</w:t>
      </w:r>
    </w:p>
    <w:p w14:paraId="07C26BDE" w14:textId="5563D05E" w:rsidR="001947B7" w:rsidRDefault="00171D85" w:rsidP="004B04A0">
      <w:r w:rsidRPr="004750BB">
        <w:t>There will be limits on what is practical and financially feasible under th</w:t>
      </w:r>
      <w:r w:rsidR="00583054">
        <w:t>is service specification.  The P</w:t>
      </w:r>
      <w:r w:rsidRPr="004750BB">
        <w:t xml:space="preserve">rovider must disclose any practical limits they believe exist including limitations on the range of options they offer to the Person and their family as soon as these limitations become apparent. </w:t>
      </w:r>
    </w:p>
    <w:p w14:paraId="2A1863A0" w14:textId="77777777" w:rsidR="005F784E" w:rsidRPr="001E23AC" w:rsidRDefault="005F784E" w:rsidP="00F430A3">
      <w:r>
        <w:t>The development of the Support Agreement must</w:t>
      </w:r>
      <w:r w:rsidRPr="00C81F80">
        <w:t xml:space="preserve"> </w:t>
      </w:r>
      <w:r>
        <w:t xml:space="preserve">also </w:t>
      </w:r>
      <w:r w:rsidRPr="001E23AC">
        <w:t xml:space="preserve">give consideration to a range of factors including: </w:t>
      </w:r>
    </w:p>
    <w:p w14:paraId="04B2C400" w14:textId="4F0B4B0D" w:rsidR="005F784E" w:rsidRDefault="005F784E" w:rsidP="00820C91">
      <w:pPr>
        <w:pStyle w:val="ListParagraph"/>
        <w:numPr>
          <w:ilvl w:val="0"/>
          <w:numId w:val="6"/>
        </w:numPr>
        <w:spacing w:after="120"/>
        <w:ind w:left="788" w:hanging="357"/>
        <w:contextualSpacing w:val="0"/>
      </w:pPr>
      <w:r>
        <w:t>the outcomes identified as part of the assessment and recorded in the Support Plan</w:t>
      </w:r>
    </w:p>
    <w:p w14:paraId="5915E36E" w14:textId="77777777" w:rsidR="005F784E" w:rsidRPr="001E23AC" w:rsidRDefault="005F784E" w:rsidP="00820C91">
      <w:pPr>
        <w:pStyle w:val="ListParagraph"/>
        <w:numPr>
          <w:ilvl w:val="0"/>
          <w:numId w:val="6"/>
        </w:numPr>
        <w:spacing w:after="120"/>
        <w:ind w:left="788" w:hanging="357"/>
        <w:contextualSpacing w:val="0"/>
      </w:pPr>
      <w:r w:rsidRPr="001E23AC">
        <w:lastRenderedPageBreak/>
        <w:t xml:space="preserve">evidence the </w:t>
      </w:r>
      <w:r>
        <w:t>Support Agreement</w:t>
      </w:r>
      <w:r w:rsidRPr="001E23AC">
        <w:t xml:space="preserve"> is personalised and reflects the </w:t>
      </w:r>
      <w:r>
        <w:t>Person</w:t>
      </w:r>
      <w:r w:rsidRPr="001E23AC">
        <w:t>’s preferences</w:t>
      </w:r>
    </w:p>
    <w:p w14:paraId="37C2CBFA" w14:textId="3358E40C" w:rsidR="005F784E" w:rsidRPr="001E23AC" w:rsidRDefault="005F784E" w:rsidP="00820C91">
      <w:pPr>
        <w:pStyle w:val="ListParagraph"/>
        <w:numPr>
          <w:ilvl w:val="0"/>
          <w:numId w:val="6"/>
        </w:numPr>
        <w:spacing w:after="120"/>
        <w:ind w:left="788" w:hanging="357"/>
        <w:contextualSpacing w:val="0"/>
      </w:pPr>
      <w:r w:rsidRPr="001E23AC">
        <w:t xml:space="preserve">the cost </w:t>
      </w:r>
      <w:r>
        <w:t xml:space="preserve">of service provision is within the </w:t>
      </w:r>
      <w:r w:rsidR="001947B7">
        <w:t xml:space="preserve">Person’s </w:t>
      </w:r>
      <w:r>
        <w:t xml:space="preserve">Personal Budget </w:t>
      </w:r>
    </w:p>
    <w:p w14:paraId="47180791" w14:textId="77777777" w:rsidR="005F784E" w:rsidRPr="001E23AC" w:rsidRDefault="005F784E" w:rsidP="00820C91">
      <w:pPr>
        <w:pStyle w:val="ListParagraph"/>
        <w:numPr>
          <w:ilvl w:val="0"/>
          <w:numId w:val="6"/>
        </w:numPr>
        <w:spacing w:after="120"/>
        <w:ind w:left="788" w:hanging="357"/>
        <w:contextualSpacing w:val="0"/>
      </w:pPr>
      <w:r w:rsidRPr="001E23AC">
        <w:t xml:space="preserve">the support provided </w:t>
      </w:r>
      <w:r>
        <w:t>is</w:t>
      </w:r>
      <w:r w:rsidRPr="001E23AC">
        <w:t xml:space="preserve"> consistent with the Purchasing Guidelines</w:t>
      </w:r>
    </w:p>
    <w:p w14:paraId="7FE72608" w14:textId="77777777" w:rsidR="005F784E" w:rsidRPr="001E23AC" w:rsidRDefault="005F784E" w:rsidP="00820C91">
      <w:pPr>
        <w:pStyle w:val="ListParagraph"/>
        <w:numPr>
          <w:ilvl w:val="0"/>
          <w:numId w:val="6"/>
        </w:numPr>
        <w:spacing w:after="120"/>
        <w:ind w:left="788" w:hanging="357"/>
        <w:contextualSpacing w:val="0"/>
      </w:pPr>
      <w:r w:rsidRPr="001E23AC">
        <w:t xml:space="preserve">the </w:t>
      </w:r>
      <w:r>
        <w:t>Support Agreement</w:t>
      </w:r>
      <w:r w:rsidRPr="001E23AC">
        <w:t xml:space="preserve"> is presented in a format that is accessible to the Person, other stakeholders, and auditors</w:t>
      </w:r>
    </w:p>
    <w:p w14:paraId="61AAF15F" w14:textId="00470B1F" w:rsidR="005F784E" w:rsidRDefault="005F784E" w:rsidP="00820C91">
      <w:pPr>
        <w:pStyle w:val="ListParagraph"/>
        <w:numPr>
          <w:ilvl w:val="0"/>
          <w:numId w:val="6"/>
        </w:numPr>
        <w:spacing w:after="120"/>
        <w:ind w:left="788" w:hanging="357"/>
        <w:contextualSpacing w:val="0"/>
      </w:pPr>
      <w:r>
        <w:t xml:space="preserve">the cost of any </w:t>
      </w:r>
      <w:r w:rsidR="001947B7">
        <w:t xml:space="preserve">additional </w:t>
      </w:r>
      <w:r>
        <w:t xml:space="preserve">services / supports / fees </w:t>
      </w:r>
      <w:r w:rsidR="00CD3755">
        <w:t>(such as payroll services</w:t>
      </w:r>
      <w:r w:rsidR="00F556DF">
        <w:t xml:space="preserve"> </w:t>
      </w:r>
      <w:r>
        <w:t>to be paid to the Provider from the Personal Budget</w:t>
      </w:r>
      <w:r w:rsidR="00CD3755">
        <w:t xml:space="preserve"> </w:t>
      </w:r>
    </w:p>
    <w:p w14:paraId="75FABC13" w14:textId="34A5AC15" w:rsidR="005F784E" w:rsidRDefault="005F784E" w:rsidP="00820C91">
      <w:pPr>
        <w:pStyle w:val="ListParagraph"/>
        <w:numPr>
          <w:ilvl w:val="0"/>
          <w:numId w:val="6"/>
        </w:numPr>
        <w:spacing w:after="120"/>
        <w:ind w:left="788" w:hanging="357"/>
        <w:contextualSpacing w:val="0"/>
      </w:pPr>
      <w:r w:rsidRPr="001E23AC">
        <w:t xml:space="preserve">contingencies for </w:t>
      </w:r>
      <w:r w:rsidR="00E21037">
        <w:t>situations when</w:t>
      </w:r>
      <w:r>
        <w:t xml:space="preserve"> </w:t>
      </w:r>
      <w:r w:rsidRPr="001E23AC">
        <w:t>things don’t go as planned</w:t>
      </w:r>
    </w:p>
    <w:p w14:paraId="2F0E1AB1" w14:textId="405F8098" w:rsidR="005F784E" w:rsidRDefault="005F784E" w:rsidP="00820C91">
      <w:pPr>
        <w:pStyle w:val="ListParagraph"/>
        <w:numPr>
          <w:ilvl w:val="0"/>
          <w:numId w:val="6"/>
        </w:numPr>
        <w:spacing w:after="120"/>
        <w:ind w:left="788" w:hanging="357"/>
        <w:contextualSpacing w:val="0"/>
      </w:pPr>
      <w:r>
        <w:t xml:space="preserve">how the Person will identify </w:t>
      </w:r>
      <w:r w:rsidR="00842D24">
        <w:t xml:space="preserve">and agree any </w:t>
      </w:r>
      <w:r>
        <w:t>changes</w:t>
      </w:r>
      <w:r w:rsidR="00724A46">
        <w:t xml:space="preserve"> they </w:t>
      </w:r>
      <w:r w:rsidR="00842D24">
        <w:t xml:space="preserve">may </w:t>
      </w:r>
      <w:r w:rsidR="00724A46">
        <w:t>want</w:t>
      </w:r>
      <w:r>
        <w:t xml:space="preserve"> to their Support Agreement</w:t>
      </w:r>
    </w:p>
    <w:p w14:paraId="0F3E1F46" w14:textId="77777777" w:rsidR="005F784E" w:rsidRDefault="005F784E" w:rsidP="00820C91">
      <w:pPr>
        <w:pStyle w:val="ListParagraph"/>
        <w:numPr>
          <w:ilvl w:val="0"/>
          <w:numId w:val="6"/>
        </w:numPr>
        <w:spacing w:after="120"/>
        <w:ind w:left="788" w:hanging="357"/>
        <w:contextualSpacing w:val="0"/>
      </w:pPr>
      <w:r>
        <w:t>how often the Support Agreement will be reviewed</w:t>
      </w:r>
    </w:p>
    <w:p w14:paraId="5D4280F1" w14:textId="77777777" w:rsidR="005F784E" w:rsidRDefault="005F784E" w:rsidP="00820C91">
      <w:pPr>
        <w:pStyle w:val="ListParagraph"/>
        <w:numPr>
          <w:ilvl w:val="0"/>
          <w:numId w:val="6"/>
        </w:numPr>
        <w:spacing w:after="120"/>
        <w:ind w:left="788" w:hanging="357"/>
        <w:contextualSpacing w:val="0"/>
      </w:pPr>
      <w:r>
        <w:t xml:space="preserve">the process for either party to give notice to terminate the agreement, including notice periods. </w:t>
      </w:r>
    </w:p>
    <w:p w14:paraId="7F908C0F" w14:textId="2FD7B237" w:rsidR="005F784E" w:rsidRDefault="005F784E" w:rsidP="00820C91">
      <w:pPr>
        <w:pStyle w:val="ListParagraph"/>
        <w:numPr>
          <w:ilvl w:val="0"/>
          <w:numId w:val="6"/>
        </w:numPr>
        <w:spacing w:after="120"/>
        <w:ind w:left="788" w:hanging="357"/>
        <w:contextualSpacing w:val="0"/>
      </w:pPr>
      <w:r>
        <w:t xml:space="preserve">accountability arrangements where the Person is </w:t>
      </w:r>
      <w:r w:rsidR="00853F3B">
        <w:t>self-</w:t>
      </w:r>
      <w:r>
        <w:t>managing their own</w:t>
      </w:r>
      <w:r w:rsidR="00853F3B">
        <w:t xml:space="preserve"> supports or their</w:t>
      </w:r>
      <w:r>
        <w:t xml:space="preserve"> Personal Budget (as per Direct Fundholding).</w:t>
      </w:r>
    </w:p>
    <w:p w14:paraId="1289044F" w14:textId="58EBCCB0" w:rsidR="00BF0CA6" w:rsidRPr="004750BB" w:rsidRDefault="005F784E" w:rsidP="00F430A3">
      <w:pPr>
        <w:spacing w:before="240"/>
      </w:pPr>
      <w:r>
        <w:t>The Support A</w:t>
      </w:r>
      <w:r w:rsidR="00CD3755">
        <w:t>greement must be</w:t>
      </w:r>
      <w:r w:rsidR="00BF0CA6" w:rsidRPr="004750BB">
        <w:t xml:space="preserve"> viewed and signed by the </w:t>
      </w:r>
      <w:r w:rsidR="00853F3B">
        <w:t xml:space="preserve">Person’s NASC before </w:t>
      </w:r>
      <w:r w:rsidR="00CD3755">
        <w:t>the Provider can commence</w:t>
      </w:r>
      <w:r w:rsidR="0028355E">
        <w:t xml:space="preserve"> delivery of Choice in Community Living</w:t>
      </w:r>
      <w:r w:rsidR="00BF0CA6" w:rsidRPr="004750BB">
        <w:t xml:space="preserve">.  </w:t>
      </w:r>
    </w:p>
    <w:p w14:paraId="09DE9C37" w14:textId="3C1BA6AC" w:rsidR="00536B2E" w:rsidRDefault="00536B2E" w:rsidP="00FB1064">
      <w:pPr>
        <w:pStyle w:val="Heading3"/>
        <w:spacing w:before="240" w:after="120"/>
        <w:ind w:left="709" w:hanging="709"/>
        <w:rPr>
          <w:b w:val="0"/>
          <w:i/>
        </w:rPr>
      </w:pPr>
      <w:r>
        <w:rPr>
          <w:b w:val="0"/>
          <w:i/>
        </w:rPr>
        <w:t>Personal Budget</w:t>
      </w:r>
    </w:p>
    <w:p w14:paraId="4541EF4D" w14:textId="601BC592" w:rsidR="0048350C" w:rsidRDefault="00564A3E" w:rsidP="004B04A0">
      <w:r w:rsidRPr="004B04A0">
        <w:t>The funding all</w:t>
      </w:r>
      <w:r w:rsidR="00853F3B">
        <w:t>ocated to a Person</w:t>
      </w:r>
      <w:r w:rsidRPr="004B04A0">
        <w:t xml:space="preserve"> who accept</w:t>
      </w:r>
      <w:r w:rsidR="002666A5">
        <w:t>s this service is called their Personal B</w:t>
      </w:r>
      <w:r w:rsidRPr="004B04A0">
        <w:t>udget.</w:t>
      </w:r>
      <w:r w:rsidR="00DC7C1B">
        <w:t xml:space="preserve"> </w:t>
      </w:r>
      <w:r w:rsidRPr="004B04A0">
        <w:t>The funds in</w:t>
      </w:r>
      <w:r w:rsidR="002666A5">
        <w:t xml:space="preserve"> this Personal B</w:t>
      </w:r>
      <w:r w:rsidR="00DC7C1B">
        <w:t xml:space="preserve">udget can be expended up to the </w:t>
      </w:r>
      <w:r w:rsidRPr="004750BB">
        <w:t xml:space="preserve">allocated amount to purchase supports and services </w:t>
      </w:r>
      <w:r w:rsidR="009D4FED">
        <w:t>that</w:t>
      </w:r>
      <w:r w:rsidRPr="004750BB">
        <w:t xml:space="preserve"> achieve the outcomes </w:t>
      </w:r>
      <w:r w:rsidR="009D4FED">
        <w:t xml:space="preserve">specified </w:t>
      </w:r>
      <w:r w:rsidR="00A421E3">
        <w:t>in the Person’s Support</w:t>
      </w:r>
      <w:r w:rsidRPr="004750BB">
        <w:t xml:space="preserve"> plan</w:t>
      </w:r>
      <w:r w:rsidR="009D4FED">
        <w:t xml:space="preserve"> </w:t>
      </w:r>
      <w:r w:rsidR="00C35B48">
        <w:t>over the course of a</w:t>
      </w:r>
      <w:r w:rsidR="009D4FED">
        <w:t xml:space="preserve"> budget period</w:t>
      </w:r>
      <w:r w:rsidRPr="004750BB">
        <w:t>.</w:t>
      </w:r>
      <w:r w:rsidR="00FE48BB" w:rsidRPr="004750BB">
        <w:t xml:space="preserve"> </w:t>
      </w:r>
    </w:p>
    <w:p w14:paraId="23D56F6E" w14:textId="4EFD1BA0" w:rsidR="00B75531" w:rsidRPr="004750BB" w:rsidRDefault="009D4FED" w:rsidP="004B04A0">
      <w:r>
        <w:t>The budget period will have a de</w:t>
      </w:r>
      <w:r w:rsidR="00BF0002">
        <w:t xml:space="preserve">fined start date and a date </w:t>
      </w:r>
      <w:r>
        <w:t>when it will be reviewed. This period is normally for 12 months.</w:t>
      </w:r>
      <w:r w:rsidR="00B813B0">
        <w:t xml:space="preserve"> </w:t>
      </w:r>
      <w:r w:rsidR="0048350C">
        <w:t>Unused funding cannot be saved up to purchase support in a subsequent budget period. At the end of a Perso</w:t>
      </w:r>
      <w:r w:rsidR="00842D24">
        <w:t>nal Budget period any unused</w:t>
      </w:r>
      <w:r w:rsidR="0048350C">
        <w:t xml:space="preserve"> funding will lapse.</w:t>
      </w:r>
    </w:p>
    <w:p w14:paraId="0287104D" w14:textId="6AF613D2" w:rsidR="00BF0CA6" w:rsidRPr="00BF0CA6" w:rsidRDefault="005E2768" w:rsidP="00FB1064">
      <w:pPr>
        <w:pStyle w:val="Heading3"/>
        <w:spacing w:before="240" w:after="120"/>
        <w:ind w:left="709" w:hanging="709"/>
        <w:rPr>
          <w:b w:val="0"/>
          <w:i/>
        </w:rPr>
      </w:pPr>
      <w:r>
        <w:rPr>
          <w:b w:val="0"/>
          <w:i/>
        </w:rPr>
        <w:t>Purchasing Guidelines</w:t>
      </w:r>
    </w:p>
    <w:p w14:paraId="147BFA3E" w14:textId="4537F686" w:rsidR="00C45069" w:rsidRPr="004B04A0" w:rsidRDefault="00A90F2E" w:rsidP="004B04A0">
      <w:pPr>
        <w:jc w:val="both"/>
        <w:rPr>
          <w:bCs/>
        </w:rPr>
      </w:pPr>
      <w:r w:rsidRPr="004B04A0">
        <w:rPr>
          <w:bCs/>
        </w:rPr>
        <w:t>The supports or services that a</w:t>
      </w:r>
      <w:r w:rsidR="002666A5">
        <w:rPr>
          <w:bCs/>
        </w:rPr>
        <w:t>re purchased from the Person’s Personal B</w:t>
      </w:r>
      <w:r w:rsidRPr="004B04A0">
        <w:rPr>
          <w:bCs/>
        </w:rPr>
        <w:t>udget must be consistent with the Ministry's Purchasing Guidelines. These guidelines outline what can be purchased with the allocated funding (refer to Purchasing Guidelines</w:t>
      </w:r>
      <w:r w:rsidR="00C45069" w:rsidRPr="004B04A0">
        <w:rPr>
          <w:bCs/>
        </w:rPr>
        <w:t xml:space="preserve"> in Appendix 1</w:t>
      </w:r>
      <w:r w:rsidRPr="004B04A0">
        <w:rPr>
          <w:bCs/>
        </w:rPr>
        <w:t>).</w:t>
      </w:r>
    </w:p>
    <w:p w14:paraId="03370239" w14:textId="1A959275" w:rsidR="00A90F2E" w:rsidRPr="004B04A0" w:rsidRDefault="00323004" w:rsidP="004B04A0">
      <w:pPr>
        <w:jc w:val="both"/>
        <w:rPr>
          <w:bCs/>
        </w:rPr>
      </w:pPr>
      <w:r w:rsidRPr="004B04A0">
        <w:rPr>
          <w:bCs/>
        </w:rPr>
        <w:t>T</w:t>
      </w:r>
      <w:r w:rsidR="00420D4F">
        <w:rPr>
          <w:bCs/>
        </w:rPr>
        <w:t>he P</w:t>
      </w:r>
      <w:r w:rsidR="00C45069" w:rsidRPr="004B04A0">
        <w:rPr>
          <w:bCs/>
        </w:rPr>
        <w:t>urcha</w:t>
      </w:r>
      <w:r w:rsidR="00420D4F">
        <w:rPr>
          <w:bCs/>
        </w:rPr>
        <w:t>sing G</w:t>
      </w:r>
      <w:r w:rsidR="00C45069" w:rsidRPr="004B04A0">
        <w:rPr>
          <w:bCs/>
        </w:rPr>
        <w:t>uidelines may be subject to change or modification within the duration of the service contract.</w:t>
      </w:r>
      <w:r w:rsidR="00A90F2E" w:rsidRPr="004B04A0">
        <w:rPr>
          <w:bCs/>
        </w:rPr>
        <w:t xml:space="preserve"> </w:t>
      </w:r>
      <w:r w:rsidR="004133DF" w:rsidRPr="004B04A0">
        <w:rPr>
          <w:bCs/>
        </w:rPr>
        <w:t xml:space="preserve">The Ministry will inform Providers in writing if </w:t>
      </w:r>
      <w:r w:rsidR="00B81C40">
        <w:rPr>
          <w:bCs/>
        </w:rPr>
        <w:t xml:space="preserve">there are proposed changes to </w:t>
      </w:r>
      <w:r w:rsidR="004133DF" w:rsidRPr="004B04A0">
        <w:rPr>
          <w:bCs/>
        </w:rPr>
        <w:t>these</w:t>
      </w:r>
      <w:r w:rsidR="00A90F2E" w:rsidRPr="004B04A0">
        <w:rPr>
          <w:bCs/>
        </w:rPr>
        <w:t xml:space="preserve"> </w:t>
      </w:r>
      <w:r w:rsidR="00B81C40">
        <w:rPr>
          <w:bCs/>
        </w:rPr>
        <w:t>guidelines</w:t>
      </w:r>
      <w:r w:rsidR="004133DF" w:rsidRPr="004B04A0">
        <w:rPr>
          <w:bCs/>
        </w:rPr>
        <w:t>.</w:t>
      </w:r>
    </w:p>
    <w:p w14:paraId="4C84BB42" w14:textId="2468B521" w:rsidR="002833A1" w:rsidRPr="004B04A0" w:rsidRDefault="002833A1" w:rsidP="004B04A0">
      <w:pPr>
        <w:jc w:val="both"/>
        <w:rPr>
          <w:bCs/>
        </w:rPr>
      </w:pPr>
      <w:r w:rsidRPr="004B04A0">
        <w:rPr>
          <w:bCs/>
        </w:rPr>
        <w:lastRenderedPageBreak/>
        <w:t>In instances when the purchase of a particular support is not clearly defined wi</w:t>
      </w:r>
      <w:r w:rsidR="00420D4F">
        <w:rPr>
          <w:bCs/>
        </w:rPr>
        <w:t>thin the scope of the P</w:t>
      </w:r>
      <w:r w:rsidRPr="004B04A0">
        <w:rPr>
          <w:bCs/>
        </w:rPr>
        <w:t>urchas</w:t>
      </w:r>
      <w:r w:rsidR="00420D4F">
        <w:rPr>
          <w:bCs/>
        </w:rPr>
        <w:t>ing G</w:t>
      </w:r>
      <w:r w:rsidR="004F64DA">
        <w:rPr>
          <w:bCs/>
        </w:rPr>
        <w:t>uidelines the Provider m</w:t>
      </w:r>
      <w:r w:rsidR="004F64DA" w:rsidRPr="002666A5">
        <w:rPr>
          <w:bCs/>
          <w:color w:val="000000" w:themeColor="text1"/>
        </w:rPr>
        <w:t>ay</w:t>
      </w:r>
      <w:r w:rsidRPr="004B04A0">
        <w:rPr>
          <w:bCs/>
        </w:rPr>
        <w:t xml:space="preserve"> seek confirmation from</w:t>
      </w:r>
      <w:r w:rsidR="00BF0002">
        <w:rPr>
          <w:bCs/>
        </w:rPr>
        <w:t xml:space="preserve"> the Person’s NASC</w:t>
      </w:r>
      <w:r w:rsidRPr="004B04A0">
        <w:rPr>
          <w:bCs/>
        </w:rPr>
        <w:t>.</w:t>
      </w:r>
    </w:p>
    <w:p w14:paraId="7D68442D" w14:textId="600BC8F3" w:rsidR="00536B2E" w:rsidRDefault="008A67AA" w:rsidP="00FB1064">
      <w:pPr>
        <w:pStyle w:val="Heading3"/>
        <w:spacing w:before="240" w:after="120"/>
        <w:ind w:left="709" w:hanging="709"/>
        <w:rPr>
          <w:b w:val="0"/>
          <w:i/>
        </w:rPr>
      </w:pPr>
      <w:r>
        <w:rPr>
          <w:b w:val="0"/>
          <w:i/>
        </w:rPr>
        <w:t>Purchasing mechanisms</w:t>
      </w:r>
    </w:p>
    <w:p w14:paraId="497CD5E6" w14:textId="162E3401" w:rsidR="008A67AA" w:rsidRDefault="008A67AA" w:rsidP="003750CA">
      <w:pPr>
        <w:spacing w:after="120"/>
      </w:pPr>
      <w:r w:rsidRPr="004750BB">
        <w:t>There are three options available for the Person to choose how the Provider will assist them to purchase their supports</w:t>
      </w:r>
      <w:r w:rsidR="008F033C">
        <w:t xml:space="preserve"> with their </w:t>
      </w:r>
      <w:r w:rsidR="00420D4F">
        <w:t>Personal B</w:t>
      </w:r>
      <w:r w:rsidR="008F033C">
        <w:t>udget</w:t>
      </w:r>
      <w:r w:rsidRPr="004750BB">
        <w:t>.</w:t>
      </w:r>
      <w:r w:rsidR="00184A6E" w:rsidRPr="004750BB">
        <w:t xml:space="preserve"> </w:t>
      </w:r>
    </w:p>
    <w:p w14:paraId="1C013B44" w14:textId="3BC83EA2" w:rsidR="002529A1" w:rsidRDefault="002529A1" w:rsidP="00820C91">
      <w:pPr>
        <w:pStyle w:val="ListParagraph"/>
        <w:numPr>
          <w:ilvl w:val="0"/>
          <w:numId w:val="6"/>
        </w:numPr>
        <w:spacing w:after="120"/>
        <w:ind w:left="788" w:hanging="357"/>
        <w:contextualSpacing w:val="0"/>
      </w:pPr>
      <w:r>
        <w:t>Direct Fundholding</w:t>
      </w:r>
    </w:p>
    <w:p w14:paraId="764B6AB4" w14:textId="4088C0DF" w:rsidR="002529A1" w:rsidRDefault="002529A1" w:rsidP="00820C91">
      <w:pPr>
        <w:pStyle w:val="ListParagraph"/>
        <w:numPr>
          <w:ilvl w:val="0"/>
          <w:numId w:val="6"/>
        </w:numPr>
        <w:spacing w:after="120"/>
        <w:ind w:left="788" w:hanging="357"/>
        <w:contextualSpacing w:val="0"/>
      </w:pPr>
      <w:r>
        <w:t>Facilitated Buying</w:t>
      </w:r>
    </w:p>
    <w:p w14:paraId="0B11B3AA" w14:textId="431D383D" w:rsidR="002529A1" w:rsidRPr="004750BB" w:rsidRDefault="002529A1" w:rsidP="00820C91">
      <w:pPr>
        <w:pStyle w:val="ListParagraph"/>
        <w:numPr>
          <w:ilvl w:val="0"/>
          <w:numId w:val="6"/>
        </w:numPr>
        <w:spacing w:after="120"/>
        <w:ind w:left="788" w:hanging="357"/>
        <w:contextualSpacing w:val="0"/>
      </w:pPr>
      <w:r>
        <w:t>Flexible Support</w:t>
      </w:r>
    </w:p>
    <w:p w14:paraId="7D6D2AB1" w14:textId="2C2AD12E" w:rsidR="008A67AA" w:rsidRDefault="00716145" w:rsidP="003750CA">
      <w:pPr>
        <w:spacing w:before="240" w:after="120"/>
        <w:ind w:left="709" w:hanging="284"/>
        <w:rPr>
          <w:i/>
        </w:rPr>
      </w:pPr>
      <w:r>
        <w:rPr>
          <w:i/>
        </w:rPr>
        <w:t>6.4</w:t>
      </w:r>
      <w:r w:rsidR="005D5ED8">
        <w:rPr>
          <w:i/>
        </w:rPr>
        <w:t>.1</w:t>
      </w:r>
      <w:r w:rsidR="005D5ED8">
        <w:rPr>
          <w:i/>
        </w:rPr>
        <w:tab/>
      </w:r>
      <w:r w:rsidR="002529A1">
        <w:rPr>
          <w:i/>
        </w:rPr>
        <w:t>Direct F</w:t>
      </w:r>
      <w:r w:rsidR="008A67AA" w:rsidRPr="008A67AA">
        <w:rPr>
          <w:i/>
        </w:rPr>
        <w:t>und holding</w:t>
      </w:r>
    </w:p>
    <w:p w14:paraId="1505C291" w14:textId="418E0A12" w:rsidR="002529A1" w:rsidRDefault="002529A1" w:rsidP="004B04A0">
      <w:pPr>
        <w:ind w:left="426"/>
      </w:pPr>
      <w:r>
        <w:t>Direct F</w:t>
      </w:r>
      <w:r w:rsidR="006E04E4">
        <w:t>undholding is when the Person</w:t>
      </w:r>
      <w:r w:rsidR="00AA0A15">
        <w:t xml:space="preserve"> takes overall responsibility for </w:t>
      </w:r>
      <w:r w:rsidR="00420D4F">
        <w:t>self-</w:t>
      </w:r>
      <w:r w:rsidR="00AA0A15">
        <w:t xml:space="preserve">managing their Personal Budget and </w:t>
      </w:r>
      <w:r w:rsidR="009432CC">
        <w:t>purchasing or employing</w:t>
      </w:r>
      <w:r w:rsidR="00AA0A15">
        <w:t xml:space="preserve"> their own support services from it</w:t>
      </w:r>
      <w:r w:rsidR="002666A5">
        <w:t>.</w:t>
      </w:r>
      <w:r w:rsidR="009432CC">
        <w:t xml:space="preserve"> If they </w:t>
      </w:r>
      <w:r>
        <w:t>choose to directly</w:t>
      </w:r>
      <w:r w:rsidR="009432CC">
        <w:t xml:space="preserve"> employ their support workers</w:t>
      </w:r>
      <w:r>
        <w:t xml:space="preserve"> they must provide the Provider with their employed support workers’ identification and contact details. </w:t>
      </w:r>
    </w:p>
    <w:p w14:paraId="73630FFE" w14:textId="6399CE15" w:rsidR="006E04E4" w:rsidRDefault="009432CC" w:rsidP="00C40751">
      <w:pPr>
        <w:ind w:left="426"/>
      </w:pPr>
      <w:r>
        <w:t>T</w:t>
      </w:r>
      <w:r w:rsidR="006E04E4">
        <w:t>he Pro</w:t>
      </w:r>
      <w:r w:rsidR="002529A1">
        <w:t xml:space="preserve">vider hosts the funding and </w:t>
      </w:r>
      <w:r w:rsidR="006E04E4">
        <w:t>administer</w:t>
      </w:r>
      <w:r w:rsidR="002529A1">
        <w:t>s</w:t>
      </w:r>
      <w:r w:rsidR="006E04E4">
        <w:t xml:space="preserve"> the payments for the</w:t>
      </w:r>
      <w:r w:rsidR="002666A5">
        <w:t xml:space="preserve"> services the Person purchases</w:t>
      </w:r>
      <w:r>
        <w:t xml:space="preserve"> or employs</w:t>
      </w:r>
      <w:r w:rsidR="00C40751">
        <w:t xml:space="preserve">. </w:t>
      </w:r>
      <w:r w:rsidR="00583054">
        <w:t>The P</w:t>
      </w:r>
      <w:r w:rsidR="002666A5">
        <w:t>rovider may also provide some initial coaching to the person on their employment responsibilities as well as assist them with monitoring the quality of</w:t>
      </w:r>
      <w:r w:rsidR="002529A1">
        <w:t xml:space="preserve"> support services purchased.</w:t>
      </w:r>
      <w:r w:rsidR="006E04E4">
        <w:t xml:space="preserve"> </w:t>
      </w:r>
    </w:p>
    <w:p w14:paraId="1B95FF27" w14:textId="22CEE116" w:rsidR="00751FA8" w:rsidRDefault="00751FA8" w:rsidP="004B04A0">
      <w:pPr>
        <w:ind w:left="426"/>
      </w:pPr>
      <w:r>
        <w:t>Any tax, or employment related d</w:t>
      </w:r>
      <w:r w:rsidR="006E04E4">
        <w:t xml:space="preserve">eductions that are required </w:t>
      </w:r>
      <w:r w:rsidR="002666A5">
        <w:t xml:space="preserve">may </w:t>
      </w:r>
      <w:r>
        <w:t>be administered</w:t>
      </w:r>
      <w:r w:rsidR="006A0CC2">
        <w:t xml:space="preserve"> and paid</w:t>
      </w:r>
      <w:r>
        <w:t xml:space="preserve"> by the Provider</w:t>
      </w:r>
      <w:r w:rsidR="006A0CC2">
        <w:t xml:space="preserve"> with funds</w:t>
      </w:r>
      <w:r w:rsidR="009432CC">
        <w:t xml:space="preserve"> from the Person’s P</w:t>
      </w:r>
      <w:r>
        <w:t xml:space="preserve">ersonal budget. </w:t>
      </w:r>
    </w:p>
    <w:p w14:paraId="580FD1C9" w14:textId="1DBBFECB" w:rsidR="00BF0002" w:rsidRDefault="00BF0002" w:rsidP="00BF0002">
      <w:pPr>
        <w:ind w:left="426"/>
      </w:pPr>
      <w:r w:rsidRPr="004B04A0">
        <w:t xml:space="preserve">The </w:t>
      </w:r>
      <w:r>
        <w:t>details are determined in the Support A</w:t>
      </w:r>
      <w:r w:rsidRPr="004B04A0">
        <w:t>greement between the Provider and the Person</w:t>
      </w:r>
      <w:r>
        <w:t>.</w:t>
      </w:r>
    </w:p>
    <w:p w14:paraId="04DED45E" w14:textId="6DF7D2C3" w:rsidR="00BF0002" w:rsidRPr="00C45069" w:rsidRDefault="00BF0002" w:rsidP="00BF0002">
      <w:pPr>
        <w:ind w:left="426"/>
      </w:pPr>
      <w:r>
        <w:t>Section 7.2 of this document relates specifically to the fee for this particular funding mechanism.</w:t>
      </w:r>
    </w:p>
    <w:p w14:paraId="13426793" w14:textId="16452ABA" w:rsidR="00B75531" w:rsidRDefault="00716145" w:rsidP="00FB1064">
      <w:pPr>
        <w:spacing w:after="120"/>
        <w:ind w:left="709" w:hanging="284"/>
        <w:rPr>
          <w:i/>
        </w:rPr>
      </w:pPr>
      <w:r>
        <w:rPr>
          <w:i/>
        </w:rPr>
        <w:t>6.4</w:t>
      </w:r>
      <w:r w:rsidR="005D5ED8">
        <w:rPr>
          <w:i/>
        </w:rPr>
        <w:t>.2</w:t>
      </w:r>
      <w:r w:rsidR="005D5ED8">
        <w:rPr>
          <w:i/>
        </w:rPr>
        <w:tab/>
      </w:r>
      <w:r w:rsidR="00B75531" w:rsidRPr="005D5ED8">
        <w:rPr>
          <w:i/>
        </w:rPr>
        <w:t>Facilitated buying</w:t>
      </w:r>
    </w:p>
    <w:p w14:paraId="35BB0584" w14:textId="28E8FF12" w:rsidR="001F6BD7" w:rsidRPr="004B04A0" w:rsidRDefault="001F6BD7" w:rsidP="004B04A0">
      <w:pPr>
        <w:ind w:left="426"/>
      </w:pPr>
      <w:r w:rsidRPr="004B04A0">
        <w:t>Facilitated buyin</w:t>
      </w:r>
      <w:r w:rsidR="00751FA8" w:rsidRPr="004B04A0">
        <w:t>g allows the Provider to directly purchase</w:t>
      </w:r>
      <w:r w:rsidR="00184A6E" w:rsidRPr="004B04A0">
        <w:t xml:space="preserve"> some or all of</w:t>
      </w:r>
      <w:r w:rsidR="00751FA8" w:rsidRPr="004B04A0">
        <w:t xml:space="preserve"> the Person’s chosen</w:t>
      </w:r>
      <w:r w:rsidRPr="004B04A0">
        <w:t xml:space="preserve"> supports and services</w:t>
      </w:r>
      <w:r w:rsidR="00184A6E" w:rsidRPr="004B04A0">
        <w:t xml:space="preserve"> on the Person’s behalf</w:t>
      </w:r>
      <w:r w:rsidR="00420D4F">
        <w:t xml:space="preserve"> in line with the P</w:t>
      </w:r>
      <w:r w:rsidR="00B510DF">
        <w:t>urchas</w:t>
      </w:r>
      <w:r w:rsidR="00420D4F">
        <w:t>ing G</w:t>
      </w:r>
      <w:r w:rsidR="00B510DF">
        <w:t>uidelines</w:t>
      </w:r>
      <w:r w:rsidRPr="004B04A0">
        <w:t>.</w:t>
      </w:r>
      <w:r w:rsidR="00751FA8" w:rsidRPr="004B04A0">
        <w:t xml:space="preserve"> The amount and type of services they</w:t>
      </w:r>
      <w:r w:rsidR="00B510DF">
        <w:t xml:space="preserve"> purchase is determined in the Support A</w:t>
      </w:r>
      <w:r w:rsidR="00751FA8" w:rsidRPr="004B04A0">
        <w:t>greement between the Provider and the Person.</w:t>
      </w:r>
    </w:p>
    <w:p w14:paraId="28CF3CBC" w14:textId="289DCB53" w:rsidR="006A0CC2" w:rsidRDefault="00184A6E" w:rsidP="004B04A0">
      <w:pPr>
        <w:ind w:left="426"/>
      </w:pPr>
      <w:r w:rsidRPr="004B04A0">
        <w:t>Administering the purchasing requirements will be the Provider’s responsibility but any contractual obligations resulting from the contracting of a service</w:t>
      </w:r>
      <w:r w:rsidR="006A0CC2" w:rsidRPr="004B04A0">
        <w:t xml:space="preserve"> </w:t>
      </w:r>
      <w:r w:rsidRPr="004B04A0">
        <w:t xml:space="preserve">will be the Person’s responsibility. The Provider can assist the Person with understanding and meeting these requirements if needed. </w:t>
      </w:r>
    </w:p>
    <w:p w14:paraId="50F5946D" w14:textId="77777777" w:rsidR="00947763" w:rsidRPr="004B04A0" w:rsidRDefault="00947763" w:rsidP="004B04A0">
      <w:pPr>
        <w:ind w:left="426"/>
      </w:pPr>
    </w:p>
    <w:p w14:paraId="3D00F4A2" w14:textId="6474A1EC" w:rsidR="00B75531" w:rsidRPr="005D5ED8" w:rsidRDefault="00716145" w:rsidP="00FB1064">
      <w:pPr>
        <w:spacing w:after="120"/>
        <w:ind w:left="709" w:hanging="284"/>
        <w:rPr>
          <w:i/>
        </w:rPr>
      </w:pPr>
      <w:r>
        <w:rPr>
          <w:i/>
        </w:rPr>
        <w:lastRenderedPageBreak/>
        <w:t>6.4</w:t>
      </w:r>
      <w:r w:rsidR="005D5ED8">
        <w:rPr>
          <w:i/>
        </w:rPr>
        <w:t>.3</w:t>
      </w:r>
      <w:r w:rsidR="005D5ED8">
        <w:rPr>
          <w:i/>
        </w:rPr>
        <w:tab/>
      </w:r>
      <w:r w:rsidR="00B510DF">
        <w:rPr>
          <w:i/>
        </w:rPr>
        <w:t>Flexible Support</w:t>
      </w:r>
    </w:p>
    <w:p w14:paraId="099943D2" w14:textId="18AF0891" w:rsidR="00A43461" w:rsidRPr="004B04A0" w:rsidRDefault="000E542B" w:rsidP="004B04A0">
      <w:pPr>
        <w:ind w:left="426"/>
      </w:pPr>
      <w:r>
        <w:t xml:space="preserve">Flexible Support enables the Provider to directly provide some or all of the supports and services the Person requires from their </w:t>
      </w:r>
      <w:r w:rsidR="00A421E3">
        <w:t>Support</w:t>
      </w:r>
      <w:r>
        <w:t xml:space="preserve"> Plan. </w:t>
      </w:r>
      <w:r w:rsidR="00A43461" w:rsidRPr="004B04A0">
        <w:t xml:space="preserve">The Person and </w:t>
      </w:r>
      <w:r w:rsidR="00C97C99" w:rsidRPr="004B04A0">
        <w:t xml:space="preserve">the </w:t>
      </w:r>
      <w:r w:rsidR="00A43461" w:rsidRPr="004B04A0">
        <w:t xml:space="preserve">Provider will discuss what support </w:t>
      </w:r>
      <w:r w:rsidR="00EE31DE" w:rsidRPr="004B04A0">
        <w:t>is required</w:t>
      </w:r>
      <w:r w:rsidR="00C97C99" w:rsidRPr="004B04A0">
        <w:t xml:space="preserve"> and how it can</w:t>
      </w:r>
      <w:r w:rsidR="00A43461" w:rsidRPr="004B04A0">
        <w:t xml:space="preserve"> be delivered</w:t>
      </w:r>
      <w:r w:rsidR="00C97C99" w:rsidRPr="004B04A0">
        <w:t xml:space="preserve"> flexibly to meet the identified </w:t>
      </w:r>
      <w:r w:rsidR="003750CA">
        <w:t>outcomes in the Person’s Support</w:t>
      </w:r>
      <w:r w:rsidR="00C97C99" w:rsidRPr="004B04A0">
        <w:t xml:space="preserve"> plan</w:t>
      </w:r>
      <w:r w:rsidR="00A43461" w:rsidRPr="004B04A0">
        <w:t>. This will be documented in the Support Agreement and must be aligned to the Purchasing Guidelines</w:t>
      </w:r>
      <w:r w:rsidR="003750CA">
        <w:t xml:space="preserve"> and the Tier one Service Specification</w:t>
      </w:r>
      <w:r w:rsidR="00A43461" w:rsidRPr="004B04A0">
        <w:t>.</w:t>
      </w:r>
    </w:p>
    <w:p w14:paraId="1F986106" w14:textId="75CF14AC" w:rsidR="005F64CE" w:rsidRDefault="005F64CE" w:rsidP="005F64CE">
      <w:pPr>
        <w:pStyle w:val="Heading3"/>
        <w:spacing w:before="240" w:after="120"/>
        <w:ind w:left="709" w:hanging="709"/>
        <w:rPr>
          <w:b w:val="0"/>
          <w:i/>
        </w:rPr>
      </w:pPr>
      <w:r w:rsidRPr="005F64CE">
        <w:rPr>
          <w:b w:val="0"/>
          <w:i/>
        </w:rPr>
        <w:t xml:space="preserve">Staffing </w:t>
      </w:r>
    </w:p>
    <w:p w14:paraId="351F8014" w14:textId="775B252F" w:rsidR="00183B4A" w:rsidRPr="00183B4A" w:rsidRDefault="00183B4A" w:rsidP="00183B4A">
      <w:pPr>
        <w:spacing w:after="120"/>
      </w:pPr>
      <w:r w:rsidRPr="00183B4A">
        <w:t>The Provider will ensure that it has sufficient staff who are suitably qualified to provi</w:t>
      </w:r>
      <w:r w:rsidR="00820C91">
        <w:t>de</w:t>
      </w:r>
      <w:r>
        <w:t xml:space="preserve"> </w:t>
      </w:r>
      <w:proofErr w:type="spellStart"/>
      <w:r>
        <w:t>CiCL</w:t>
      </w:r>
      <w:proofErr w:type="spellEnd"/>
      <w:r w:rsidR="00820C91">
        <w:t xml:space="preserve"> supports</w:t>
      </w:r>
      <w:r>
        <w:t xml:space="preserve"> as described in this s</w:t>
      </w:r>
      <w:r w:rsidRPr="00183B4A">
        <w:t>pe</w:t>
      </w:r>
      <w:r w:rsidR="00820C91">
        <w:t>cification.  This will include s</w:t>
      </w:r>
      <w:r w:rsidRPr="00183B4A">
        <w:t>upport functions</w:t>
      </w:r>
      <w:r w:rsidR="00820C91">
        <w:t xml:space="preserve"> tailored to meet the Person’s specified needs</w:t>
      </w:r>
      <w:r w:rsidRPr="00183B4A">
        <w:t xml:space="preserve">. The Provider will </w:t>
      </w:r>
      <w:r w:rsidR="00820C91">
        <w:t>also ensure that staff</w:t>
      </w:r>
      <w:r w:rsidRPr="00183B4A">
        <w:t xml:space="preserve"> have access to appropriate trainin</w:t>
      </w:r>
      <w:r w:rsidR="00820C91">
        <w:t xml:space="preserve">g.  </w:t>
      </w:r>
    </w:p>
    <w:p w14:paraId="09E89C29" w14:textId="5B69E6FB" w:rsidR="003750CA" w:rsidRDefault="003750CA" w:rsidP="003750CA">
      <w:pPr>
        <w:pStyle w:val="Heading2"/>
        <w:spacing w:before="240"/>
      </w:pPr>
      <w:r>
        <w:t>Payments</w:t>
      </w:r>
    </w:p>
    <w:tbl>
      <w:tblPr>
        <w:tblStyle w:val="TableGrid"/>
        <w:tblW w:w="0" w:type="auto"/>
        <w:shd w:val="clear" w:color="auto" w:fill="DBE5F1" w:themeFill="accent1" w:themeFillTint="33"/>
        <w:tblLook w:val="04A0" w:firstRow="1" w:lastRow="0" w:firstColumn="1" w:lastColumn="0" w:noHBand="0" w:noVBand="1"/>
      </w:tblPr>
      <w:tblGrid>
        <w:gridCol w:w="9060"/>
      </w:tblGrid>
      <w:tr w:rsidR="0048350C" w14:paraId="49C4F0FD" w14:textId="77777777" w:rsidTr="001B6F76">
        <w:trPr>
          <w:trHeight w:val="3076"/>
        </w:trPr>
        <w:tc>
          <w:tcPr>
            <w:tcW w:w="9060" w:type="dxa"/>
            <w:shd w:val="clear" w:color="auto" w:fill="DBE5F1" w:themeFill="accent1" w:themeFillTint="33"/>
          </w:tcPr>
          <w:p w14:paraId="546208D5" w14:textId="547CE901" w:rsidR="0048350C" w:rsidRPr="0048350C" w:rsidRDefault="0048350C" w:rsidP="0048350C">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eastAsiaTheme="minorHAnsi" w:hAnsi="Arial" w:cs="Arial"/>
                <w:b/>
                <w:i/>
                <w:sz w:val="24"/>
                <w:szCs w:val="24"/>
                <w:lang w:eastAsia="en-US"/>
              </w:rPr>
            </w:pPr>
            <w:r w:rsidRPr="0048350C">
              <w:rPr>
                <w:rFonts w:ascii="Arial" w:eastAsiaTheme="minorHAnsi" w:hAnsi="Arial" w:cs="Arial"/>
                <w:b/>
                <w:i/>
                <w:sz w:val="24"/>
                <w:szCs w:val="24"/>
                <w:lang w:eastAsia="en-US"/>
              </w:rPr>
              <w:t>Guidance</w:t>
            </w:r>
          </w:p>
          <w:p w14:paraId="0F4B3D57" w14:textId="1CBE1601" w:rsidR="0048350C" w:rsidRDefault="00C40751" w:rsidP="0048350C">
            <w:pPr>
              <w:rPr>
                <w:rFonts w:ascii="Arial" w:eastAsiaTheme="minorHAnsi" w:hAnsi="Arial" w:cs="Arial"/>
                <w:i/>
                <w:sz w:val="24"/>
                <w:szCs w:val="22"/>
                <w:lang w:eastAsia="en-US"/>
              </w:rPr>
            </w:pPr>
            <w:r>
              <w:rPr>
                <w:rFonts w:ascii="Arial" w:eastAsiaTheme="minorHAnsi" w:hAnsi="Arial" w:cs="Arial"/>
                <w:i/>
                <w:sz w:val="24"/>
                <w:szCs w:val="22"/>
                <w:lang w:eastAsia="en-US"/>
              </w:rPr>
              <w:t>T</w:t>
            </w:r>
            <w:r w:rsidR="00260082">
              <w:rPr>
                <w:rFonts w:ascii="Arial" w:eastAsiaTheme="minorHAnsi" w:hAnsi="Arial" w:cs="Arial"/>
                <w:i/>
                <w:sz w:val="24"/>
                <w:szCs w:val="22"/>
                <w:lang w:eastAsia="en-US"/>
              </w:rPr>
              <w:t>he P</w:t>
            </w:r>
            <w:r w:rsidR="0048350C" w:rsidRPr="0048350C">
              <w:rPr>
                <w:rFonts w:ascii="Arial" w:eastAsiaTheme="minorHAnsi" w:hAnsi="Arial" w:cs="Arial"/>
                <w:i/>
                <w:sz w:val="24"/>
                <w:szCs w:val="22"/>
                <w:lang w:eastAsia="en-US"/>
              </w:rPr>
              <w:t>rovider is responsible for invoicing the Ministry</w:t>
            </w:r>
            <w:r w:rsidR="00AA0A15">
              <w:rPr>
                <w:rFonts w:ascii="Arial" w:eastAsiaTheme="minorHAnsi" w:hAnsi="Arial" w:cs="Arial"/>
                <w:i/>
                <w:sz w:val="24"/>
                <w:szCs w:val="22"/>
                <w:lang w:eastAsia="en-US"/>
              </w:rPr>
              <w:t xml:space="preserve"> for both the support</w:t>
            </w:r>
            <w:r w:rsidR="00260082">
              <w:rPr>
                <w:rFonts w:ascii="Arial" w:eastAsiaTheme="minorHAnsi" w:hAnsi="Arial" w:cs="Arial"/>
                <w:i/>
                <w:sz w:val="24"/>
                <w:szCs w:val="22"/>
                <w:lang w:eastAsia="en-US"/>
              </w:rPr>
              <w:t>s</w:t>
            </w:r>
            <w:r w:rsidR="00AA0A15">
              <w:rPr>
                <w:rFonts w:ascii="Arial" w:eastAsiaTheme="minorHAnsi" w:hAnsi="Arial" w:cs="Arial"/>
                <w:i/>
                <w:sz w:val="24"/>
                <w:szCs w:val="22"/>
                <w:lang w:eastAsia="en-US"/>
              </w:rPr>
              <w:t xml:space="preserve"> purchased or delivered for the Person as well as for the cost of the </w:t>
            </w:r>
            <w:r w:rsidR="00217F88" w:rsidRPr="00217F88">
              <w:rPr>
                <w:rFonts w:ascii="Arial" w:eastAsiaTheme="minorHAnsi" w:hAnsi="Arial" w:cs="Arial"/>
                <w:i/>
                <w:sz w:val="24"/>
                <w:szCs w:val="22"/>
                <w:lang w:eastAsia="en-US"/>
              </w:rPr>
              <w:t>Choice in Community Living</w:t>
            </w:r>
            <w:r w:rsidR="00217F88" w:rsidRPr="00730E9F">
              <w:rPr>
                <w:rFonts w:ascii="Arial" w:hAnsi="Arial" w:cs="Arial"/>
              </w:rPr>
              <w:t xml:space="preserve"> </w:t>
            </w:r>
            <w:r w:rsidR="00AA0A15">
              <w:rPr>
                <w:rFonts w:ascii="Arial" w:eastAsiaTheme="minorHAnsi" w:hAnsi="Arial" w:cs="Arial"/>
                <w:i/>
                <w:sz w:val="24"/>
                <w:szCs w:val="22"/>
                <w:lang w:eastAsia="en-US"/>
              </w:rPr>
              <w:t>service itself</w:t>
            </w:r>
            <w:r>
              <w:rPr>
                <w:rFonts w:ascii="Arial" w:eastAsiaTheme="minorHAnsi" w:hAnsi="Arial" w:cs="Arial"/>
                <w:i/>
                <w:sz w:val="24"/>
                <w:szCs w:val="22"/>
                <w:lang w:eastAsia="en-US"/>
              </w:rPr>
              <w:t xml:space="preserve"> with funding from the Person’s personal budget</w:t>
            </w:r>
            <w:r w:rsidR="00AA0A15">
              <w:rPr>
                <w:rFonts w:ascii="Arial" w:eastAsiaTheme="minorHAnsi" w:hAnsi="Arial" w:cs="Arial"/>
                <w:i/>
                <w:sz w:val="24"/>
                <w:szCs w:val="22"/>
                <w:lang w:eastAsia="en-US"/>
              </w:rPr>
              <w:t>.</w:t>
            </w:r>
          </w:p>
          <w:p w14:paraId="5703A042" w14:textId="77777777" w:rsidR="00AA0A15" w:rsidRDefault="00AA0A15" w:rsidP="0048350C">
            <w:pPr>
              <w:rPr>
                <w:rFonts w:ascii="Arial" w:eastAsiaTheme="minorHAnsi" w:hAnsi="Arial" w:cs="Arial"/>
                <w:i/>
                <w:sz w:val="24"/>
                <w:szCs w:val="22"/>
                <w:lang w:eastAsia="en-US"/>
              </w:rPr>
            </w:pPr>
          </w:p>
          <w:p w14:paraId="2A924DF1" w14:textId="6852FA81" w:rsidR="00AA0A15" w:rsidRDefault="00C40751" w:rsidP="00217F88">
            <w:pPr>
              <w:rPr>
                <w:lang w:eastAsia="ko-KR"/>
              </w:rPr>
            </w:pPr>
            <w:r>
              <w:rPr>
                <w:rFonts w:ascii="Arial" w:eastAsiaTheme="minorHAnsi" w:hAnsi="Arial" w:cs="Arial"/>
                <w:i/>
                <w:sz w:val="24"/>
                <w:szCs w:val="22"/>
                <w:lang w:eastAsia="en-US"/>
              </w:rPr>
              <w:t>T</w:t>
            </w:r>
            <w:r w:rsidR="00AA0A15">
              <w:rPr>
                <w:rFonts w:ascii="Arial" w:eastAsiaTheme="minorHAnsi" w:hAnsi="Arial" w:cs="Arial"/>
                <w:i/>
                <w:sz w:val="24"/>
                <w:szCs w:val="22"/>
                <w:lang w:eastAsia="en-US"/>
              </w:rPr>
              <w:t xml:space="preserve">he </w:t>
            </w:r>
            <w:r w:rsidR="00260082">
              <w:rPr>
                <w:rFonts w:ascii="Arial" w:eastAsiaTheme="minorHAnsi" w:hAnsi="Arial" w:cs="Arial"/>
                <w:i/>
                <w:sz w:val="24"/>
                <w:szCs w:val="22"/>
                <w:lang w:eastAsia="en-US"/>
              </w:rPr>
              <w:t xml:space="preserve">amount charged for the </w:t>
            </w:r>
            <w:r w:rsidR="00217F88" w:rsidRPr="00217F88">
              <w:rPr>
                <w:rFonts w:ascii="Arial" w:eastAsiaTheme="minorHAnsi" w:hAnsi="Arial" w:cs="Arial"/>
                <w:i/>
                <w:sz w:val="24"/>
                <w:szCs w:val="22"/>
                <w:lang w:eastAsia="en-US"/>
              </w:rPr>
              <w:t>Choice in Community Living</w:t>
            </w:r>
            <w:r w:rsidR="00217F88" w:rsidRPr="00730E9F">
              <w:rPr>
                <w:rFonts w:ascii="Arial" w:hAnsi="Arial" w:cs="Arial"/>
              </w:rPr>
              <w:t xml:space="preserve"> </w:t>
            </w:r>
            <w:r w:rsidR="00260082">
              <w:rPr>
                <w:rFonts w:ascii="Arial" w:eastAsiaTheme="minorHAnsi" w:hAnsi="Arial" w:cs="Arial"/>
                <w:i/>
                <w:sz w:val="24"/>
                <w:szCs w:val="22"/>
                <w:lang w:eastAsia="en-US"/>
              </w:rPr>
              <w:t>service must be a fair and reasonable reflection of the costs expended</w:t>
            </w:r>
            <w:r w:rsidR="00747D8C">
              <w:rPr>
                <w:rFonts w:ascii="Arial" w:eastAsiaTheme="minorHAnsi" w:hAnsi="Arial" w:cs="Arial"/>
                <w:i/>
                <w:sz w:val="24"/>
                <w:szCs w:val="22"/>
                <w:lang w:eastAsia="en-US"/>
              </w:rPr>
              <w:t xml:space="preserve"> by the Provider</w:t>
            </w:r>
            <w:r w:rsidR="00260082">
              <w:rPr>
                <w:rFonts w:ascii="Arial" w:eastAsiaTheme="minorHAnsi" w:hAnsi="Arial" w:cs="Arial"/>
                <w:i/>
                <w:sz w:val="24"/>
                <w:szCs w:val="22"/>
                <w:lang w:eastAsia="en-US"/>
              </w:rPr>
              <w:t xml:space="preserve"> and be within any limits specified by the Ministry. The service fee must be</w:t>
            </w:r>
            <w:r w:rsidR="00AA0A15">
              <w:rPr>
                <w:rFonts w:ascii="Arial" w:eastAsiaTheme="minorHAnsi" w:hAnsi="Arial" w:cs="Arial"/>
                <w:i/>
                <w:sz w:val="24"/>
                <w:szCs w:val="22"/>
                <w:lang w:eastAsia="en-US"/>
              </w:rPr>
              <w:t xml:space="preserve"> agreed between the Provider and the Person and documented in the Support Agreement</w:t>
            </w:r>
            <w:r w:rsidR="00747D8C">
              <w:rPr>
                <w:rFonts w:ascii="Arial" w:eastAsiaTheme="minorHAnsi" w:hAnsi="Arial" w:cs="Arial"/>
                <w:i/>
                <w:sz w:val="24"/>
                <w:szCs w:val="22"/>
                <w:lang w:eastAsia="en-US"/>
              </w:rPr>
              <w:t xml:space="preserve"> prior to the service commencing</w:t>
            </w:r>
            <w:r w:rsidR="00AA0A15">
              <w:rPr>
                <w:rFonts w:ascii="Arial" w:eastAsiaTheme="minorHAnsi" w:hAnsi="Arial" w:cs="Arial"/>
                <w:i/>
                <w:sz w:val="24"/>
                <w:szCs w:val="22"/>
                <w:lang w:eastAsia="en-US"/>
              </w:rPr>
              <w:t>.</w:t>
            </w:r>
            <w:r w:rsidR="00260082">
              <w:rPr>
                <w:rFonts w:ascii="Arial" w:eastAsiaTheme="minorHAnsi" w:hAnsi="Arial" w:cs="Arial"/>
                <w:i/>
                <w:sz w:val="24"/>
                <w:szCs w:val="22"/>
                <w:lang w:eastAsia="en-US"/>
              </w:rPr>
              <w:t xml:space="preserve"> </w:t>
            </w:r>
          </w:p>
        </w:tc>
      </w:tr>
    </w:tbl>
    <w:p w14:paraId="1EDC679C" w14:textId="3B4DA8A7" w:rsidR="00B813B0" w:rsidRDefault="003750CA" w:rsidP="00AA0A15">
      <w:pPr>
        <w:spacing w:before="200"/>
      </w:pPr>
      <w:r w:rsidRPr="004B04A0">
        <w:t xml:space="preserve">The Provider may directly provide, purchase or pay for </w:t>
      </w:r>
      <w:r w:rsidR="00C40751">
        <w:t>support</w:t>
      </w:r>
      <w:r w:rsidRPr="004B04A0">
        <w:t>s for or on behalf of the Person as per the agreed purchasing mechanism(s) that support</w:t>
      </w:r>
      <w:r>
        <w:t xml:space="preserve">s </w:t>
      </w:r>
      <w:r w:rsidRPr="004B04A0">
        <w:t>the</w:t>
      </w:r>
      <w:r>
        <w:t xml:space="preserve"> Person’s Support</w:t>
      </w:r>
      <w:r w:rsidRPr="004B04A0">
        <w:t xml:space="preserve"> plan.</w:t>
      </w:r>
      <w:r w:rsidR="00C40751">
        <w:t xml:space="preserve"> The funding for these support</w:t>
      </w:r>
      <w:r>
        <w:t>s comes from the Person’</w:t>
      </w:r>
      <w:r w:rsidR="0082562B">
        <w:t>s Personal B</w:t>
      </w:r>
      <w:r>
        <w:t>udget.</w:t>
      </w:r>
      <w:r w:rsidRPr="004B04A0">
        <w:t xml:space="preserve"> </w:t>
      </w:r>
      <w:r w:rsidR="005141F4">
        <w:t>The Pr</w:t>
      </w:r>
      <w:r w:rsidR="00217F88">
        <w:t xml:space="preserve">ovider must verify that the </w:t>
      </w:r>
      <w:r w:rsidR="00217F88" w:rsidRPr="00217F88">
        <w:rPr>
          <w:rFonts w:cs="Arial"/>
        </w:rPr>
        <w:t>Choice in Community Living</w:t>
      </w:r>
      <w:r w:rsidR="005141F4">
        <w:t xml:space="preserve"> supports </w:t>
      </w:r>
      <w:r w:rsidR="00B813B0">
        <w:t xml:space="preserve">have been delivered and </w:t>
      </w:r>
      <w:r w:rsidR="005141F4">
        <w:t>are compliant with current Ministry policies prior to invoicing the Ministry for payment.</w:t>
      </w:r>
      <w:r w:rsidR="00B813B0">
        <w:t xml:space="preserve"> </w:t>
      </w:r>
    </w:p>
    <w:p w14:paraId="604DF619" w14:textId="0A7AA0B6" w:rsidR="005141F4" w:rsidRPr="004B04A0" w:rsidRDefault="00B813B0" w:rsidP="003750CA">
      <w:r>
        <w:t>Each scheduled fortnightly period t</w:t>
      </w:r>
      <w:r w:rsidR="003750CA">
        <w:t>he Provider</w:t>
      </w:r>
      <w:r w:rsidR="003750CA" w:rsidRPr="004B04A0">
        <w:t xml:space="preserve"> </w:t>
      </w:r>
      <w:r w:rsidR="003750CA">
        <w:t xml:space="preserve">will </w:t>
      </w:r>
      <w:r>
        <w:t>electronically</w:t>
      </w:r>
      <w:r w:rsidR="005141F4">
        <w:t xml:space="preserve"> </w:t>
      </w:r>
      <w:r w:rsidR="003750CA" w:rsidRPr="004B04A0">
        <w:t>invoice the Ministry</w:t>
      </w:r>
      <w:r w:rsidR="004429B3">
        <w:t xml:space="preserve"> (a</w:t>
      </w:r>
      <w:r w:rsidR="004429B3" w:rsidRPr="004429B3">
        <w:t>s per Appendix 5 of the Outcome Agreement</w:t>
      </w:r>
      <w:r w:rsidR="004429B3">
        <w:t>)</w:t>
      </w:r>
      <w:r w:rsidR="003750CA" w:rsidRPr="004B04A0">
        <w:t xml:space="preserve"> for the expended costs of the</w:t>
      </w:r>
      <w:r w:rsidR="003750CA">
        <w:t xml:space="preserve"> Person’s</w:t>
      </w:r>
      <w:r w:rsidR="003750CA" w:rsidRPr="004B04A0">
        <w:t xml:space="preserve"> services provided or purchased </w:t>
      </w:r>
      <w:r w:rsidR="003750CA">
        <w:t xml:space="preserve">within </w:t>
      </w:r>
      <w:r>
        <w:t xml:space="preserve">the previous fortnightly </w:t>
      </w:r>
      <w:r w:rsidR="003750CA" w:rsidRPr="004B04A0">
        <w:t>period.</w:t>
      </w:r>
    </w:p>
    <w:p w14:paraId="7A23F054" w14:textId="77777777" w:rsidR="003750CA" w:rsidRPr="00E77B12" w:rsidRDefault="003750CA" w:rsidP="00FB1064">
      <w:pPr>
        <w:pStyle w:val="Heading3"/>
        <w:spacing w:before="240" w:after="120"/>
        <w:ind w:left="709" w:hanging="709"/>
        <w:rPr>
          <w:b w:val="0"/>
          <w:i/>
        </w:rPr>
      </w:pPr>
      <w:r w:rsidRPr="00E77B12">
        <w:rPr>
          <w:b w:val="0"/>
          <w:i/>
        </w:rPr>
        <w:t>Service fee</w:t>
      </w:r>
    </w:p>
    <w:p w14:paraId="4FC7BDA7" w14:textId="7669F54E" w:rsidR="003750CA" w:rsidRPr="004B04A0" w:rsidRDefault="003750CA" w:rsidP="003750CA">
      <w:r w:rsidRPr="004B04A0">
        <w:t>The invoiced amount will also include a service fee</w:t>
      </w:r>
      <w:r>
        <w:t>(s)</w:t>
      </w:r>
      <w:r w:rsidRPr="004B04A0">
        <w:t xml:space="preserve"> that the Provider and the Person (along with their nominated representative if required) will have negotiated and agreed to prior to the commencement of the service. The amount of the fee will be reflective </w:t>
      </w:r>
      <w:r w:rsidR="00D00E70">
        <w:t>of the type and level of support</w:t>
      </w:r>
      <w:r>
        <w:t xml:space="preserve"> </w:t>
      </w:r>
      <w:r w:rsidRPr="004B04A0">
        <w:t>that the Person requires from the Provider including the particular purchasing mechan</w:t>
      </w:r>
      <w:r w:rsidR="00D00E70">
        <w:t>ism(s) that the Person chooses</w:t>
      </w:r>
      <w:r w:rsidR="00747D8C">
        <w:t>.</w:t>
      </w:r>
    </w:p>
    <w:p w14:paraId="25BE2044" w14:textId="792865E3" w:rsidR="003750CA" w:rsidRDefault="003750CA" w:rsidP="003750CA">
      <w:r w:rsidRPr="004B04A0">
        <w:lastRenderedPageBreak/>
        <w:t>The total service fee(s) must be documented in</w:t>
      </w:r>
      <w:r w:rsidR="00F2046A">
        <w:t xml:space="preserve"> the Support A</w:t>
      </w:r>
      <w:r w:rsidRPr="004B04A0">
        <w:t>greement and may be subject to audit and appra</w:t>
      </w:r>
      <w:r w:rsidR="00842D24">
        <w:t>isal by the Ministry</w:t>
      </w:r>
      <w:r w:rsidRPr="004B04A0">
        <w:t xml:space="preserve">. </w:t>
      </w:r>
    </w:p>
    <w:p w14:paraId="59F49B5C" w14:textId="2A290569" w:rsidR="00D00E70" w:rsidRDefault="00D00E70" w:rsidP="00D00E70">
      <w:pPr>
        <w:pStyle w:val="Heading3"/>
        <w:spacing w:before="240" w:after="120"/>
        <w:ind w:left="709" w:hanging="709"/>
        <w:rPr>
          <w:b w:val="0"/>
          <w:i/>
        </w:rPr>
      </w:pPr>
      <w:r w:rsidRPr="00570AD8">
        <w:rPr>
          <w:b w:val="0"/>
          <w:i/>
        </w:rPr>
        <w:t>Fee for</w:t>
      </w:r>
      <w:r w:rsidR="0069177A" w:rsidRPr="00570AD8">
        <w:rPr>
          <w:b w:val="0"/>
          <w:i/>
        </w:rPr>
        <w:t xml:space="preserve"> hosting</w:t>
      </w:r>
      <w:r w:rsidRPr="00570AD8">
        <w:rPr>
          <w:b w:val="0"/>
          <w:i/>
        </w:rPr>
        <w:t xml:space="preserve"> direct fund holding</w:t>
      </w:r>
    </w:p>
    <w:p w14:paraId="2A46D8C3" w14:textId="77777777" w:rsidR="002F7973" w:rsidRDefault="00570AD8" w:rsidP="00570AD8">
      <w:pPr>
        <w:autoSpaceDE w:val="0"/>
        <w:autoSpaceDN w:val="0"/>
        <w:adjustRightInd w:val="0"/>
        <w:spacing w:after="0" w:line="240" w:lineRule="auto"/>
        <w:rPr>
          <w:rFonts w:cs="Arial"/>
          <w:color w:val="000000"/>
          <w:szCs w:val="24"/>
        </w:rPr>
      </w:pPr>
      <w:r>
        <w:rPr>
          <w:rFonts w:cs="Arial"/>
          <w:color w:val="000000"/>
          <w:szCs w:val="24"/>
        </w:rPr>
        <w:t>The Provider may claim payment from the Ministry for hosting the funding for a Person who has chosen</w:t>
      </w:r>
      <w:r w:rsidR="00F358D2">
        <w:rPr>
          <w:rFonts w:cs="Arial"/>
          <w:color w:val="000000"/>
          <w:szCs w:val="24"/>
        </w:rPr>
        <w:t xml:space="preserve"> to</w:t>
      </w:r>
      <w:r w:rsidR="001823DB">
        <w:rPr>
          <w:rFonts w:cs="Arial"/>
          <w:color w:val="000000"/>
          <w:szCs w:val="24"/>
        </w:rPr>
        <w:t xml:space="preserve"> manage</w:t>
      </w:r>
      <w:r w:rsidR="00F358D2">
        <w:rPr>
          <w:rFonts w:cs="Arial"/>
          <w:color w:val="000000"/>
          <w:szCs w:val="24"/>
        </w:rPr>
        <w:t xml:space="preserve"> their </w:t>
      </w:r>
      <w:r w:rsidR="001823DB">
        <w:rPr>
          <w:rFonts w:cs="Arial"/>
          <w:color w:val="000000"/>
          <w:szCs w:val="24"/>
        </w:rPr>
        <w:t>supports</w:t>
      </w:r>
      <w:r w:rsidR="00F358D2">
        <w:rPr>
          <w:rFonts w:cs="Arial"/>
          <w:color w:val="000000"/>
          <w:szCs w:val="24"/>
        </w:rPr>
        <w:t xml:space="preserve"> through direct fund holding</w:t>
      </w:r>
      <w:r>
        <w:rPr>
          <w:rFonts w:cs="Arial"/>
          <w:color w:val="000000"/>
          <w:szCs w:val="24"/>
        </w:rPr>
        <w:t xml:space="preserve">. </w:t>
      </w:r>
    </w:p>
    <w:p w14:paraId="5EEB2A1D" w14:textId="77777777" w:rsidR="002F7973" w:rsidRDefault="002F7973" w:rsidP="00570AD8">
      <w:pPr>
        <w:autoSpaceDE w:val="0"/>
        <w:autoSpaceDN w:val="0"/>
        <w:adjustRightInd w:val="0"/>
        <w:spacing w:after="0" w:line="240" w:lineRule="auto"/>
        <w:rPr>
          <w:rFonts w:cs="Arial"/>
          <w:color w:val="000000"/>
          <w:szCs w:val="24"/>
        </w:rPr>
      </w:pPr>
    </w:p>
    <w:p w14:paraId="3F3882F7" w14:textId="5110568B" w:rsidR="00F358D2" w:rsidRDefault="002F7973" w:rsidP="00570AD8">
      <w:pPr>
        <w:autoSpaceDE w:val="0"/>
        <w:autoSpaceDN w:val="0"/>
        <w:adjustRightInd w:val="0"/>
        <w:spacing w:after="0" w:line="240" w:lineRule="auto"/>
        <w:rPr>
          <w:rFonts w:cs="Arial"/>
          <w:color w:val="000000"/>
          <w:szCs w:val="24"/>
        </w:rPr>
      </w:pPr>
      <w:r>
        <w:rPr>
          <w:rFonts w:cs="Arial"/>
          <w:color w:val="000000"/>
          <w:szCs w:val="24"/>
        </w:rPr>
        <w:t>The hosting fee is a deducted percentage from the Person’s Personal Budget</w:t>
      </w:r>
      <w:r w:rsidR="008326AA">
        <w:rPr>
          <w:rFonts w:cs="Arial"/>
          <w:color w:val="000000"/>
          <w:szCs w:val="24"/>
        </w:rPr>
        <w:t xml:space="preserve"> (depending on the Budget’s size</w:t>
      </w:r>
      <w:r w:rsidR="0028355E">
        <w:rPr>
          <w:rFonts w:cs="Arial"/>
          <w:color w:val="000000"/>
          <w:szCs w:val="24"/>
        </w:rPr>
        <w:t xml:space="preserve"> see Table 1 below</w:t>
      </w:r>
      <w:r w:rsidR="008326AA">
        <w:rPr>
          <w:rFonts w:cs="Arial"/>
          <w:color w:val="000000"/>
          <w:szCs w:val="24"/>
        </w:rPr>
        <w:t>)</w:t>
      </w:r>
      <w:r>
        <w:rPr>
          <w:rFonts w:cs="Arial"/>
          <w:color w:val="000000"/>
          <w:szCs w:val="24"/>
        </w:rPr>
        <w:t xml:space="preserve"> and a </w:t>
      </w:r>
      <w:r w:rsidR="00EF1018">
        <w:rPr>
          <w:rFonts w:cs="Arial"/>
          <w:color w:val="000000"/>
          <w:szCs w:val="24"/>
        </w:rPr>
        <w:t>fortnightly proportion of this hosting fee will be</w:t>
      </w:r>
      <w:r w:rsidR="00AA02A8">
        <w:rPr>
          <w:rFonts w:cs="Arial"/>
          <w:color w:val="000000"/>
          <w:szCs w:val="24"/>
        </w:rPr>
        <w:t xml:space="preserve"> invoiced to</w:t>
      </w:r>
      <w:r w:rsidR="001823DB">
        <w:rPr>
          <w:rFonts w:cs="Arial"/>
          <w:color w:val="000000"/>
          <w:szCs w:val="24"/>
        </w:rPr>
        <w:t xml:space="preserve"> the Ministry along</w:t>
      </w:r>
      <w:r w:rsidR="00EF1018">
        <w:rPr>
          <w:rFonts w:cs="Arial"/>
          <w:color w:val="000000"/>
          <w:szCs w:val="24"/>
        </w:rPr>
        <w:t xml:space="preserve"> </w:t>
      </w:r>
      <w:r w:rsidR="001823DB">
        <w:rPr>
          <w:rFonts w:cs="Arial"/>
          <w:color w:val="000000"/>
          <w:szCs w:val="24"/>
        </w:rPr>
        <w:t>with any</w:t>
      </w:r>
      <w:r w:rsidR="00EF1018">
        <w:rPr>
          <w:rFonts w:cs="Arial"/>
          <w:color w:val="000000"/>
          <w:szCs w:val="24"/>
        </w:rPr>
        <w:t xml:space="preserve"> expenditures the person has incurred</w:t>
      </w:r>
      <w:r w:rsidR="001823DB">
        <w:rPr>
          <w:rFonts w:cs="Arial"/>
          <w:color w:val="000000"/>
          <w:szCs w:val="24"/>
        </w:rPr>
        <w:t xml:space="preserve"> from their </w:t>
      </w:r>
      <w:r>
        <w:rPr>
          <w:rFonts w:cs="Arial"/>
          <w:color w:val="000000"/>
          <w:szCs w:val="24"/>
        </w:rPr>
        <w:t>P</w:t>
      </w:r>
      <w:r w:rsidR="001823DB">
        <w:rPr>
          <w:rFonts w:cs="Arial"/>
          <w:color w:val="000000"/>
          <w:szCs w:val="24"/>
        </w:rPr>
        <w:t xml:space="preserve">ersonal </w:t>
      </w:r>
      <w:r>
        <w:rPr>
          <w:rFonts w:cs="Arial"/>
          <w:color w:val="000000"/>
          <w:szCs w:val="24"/>
        </w:rPr>
        <w:t>B</w:t>
      </w:r>
      <w:r w:rsidR="001823DB">
        <w:rPr>
          <w:rFonts w:cs="Arial"/>
          <w:color w:val="000000"/>
          <w:szCs w:val="24"/>
        </w:rPr>
        <w:t>udget each fortnight.</w:t>
      </w:r>
    </w:p>
    <w:p w14:paraId="7D92C89C" w14:textId="77777777" w:rsidR="001823DB" w:rsidRDefault="001823DB" w:rsidP="0028355E">
      <w:pPr>
        <w:autoSpaceDE w:val="0"/>
        <w:autoSpaceDN w:val="0"/>
        <w:adjustRightInd w:val="0"/>
        <w:spacing w:after="0" w:line="240" w:lineRule="auto"/>
        <w:rPr>
          <w:rFonts w:cs="Arial"/>
          <w:b/>
          <w:bCs/>
          <w:color w:val="000000"/>
          <w:szCs w:val="24"/>
        </w:rPr>
      </w:pPr>
    </w:p>
    <w:p w14:paraId="64A1BC12" w14:textId="6F494D3D" w:rsidR="001823DB" w:rsidRDefault="001823DB" w:rsidP="001823DB">
      <w:pPr>
        <w:autoSpaceDE w:val="0"/>
        <w:autoSpaceDN w:val="0"/>
        <w:adjustRightInd w:val="0"/>
        <w:spacing w:after="0" w:line="240" w:lineRule="auto"/>
        <w:ind w:left="360" w:hanging="360"/>
        <w:rPr>
          <w:rFonts w:cs="Arial"/>
          <w:b/>
          <w:bCs/>
          <w:color w:val="000000"/>
          <w:szCs w:val="24"/>
        </w:rPr>
      </w:pPr>
      <w:r>
        <w:rPr>
          <w:rFonts w:cs="Arial"/>
          <w:b/>
          <w:bCs/>
          <w:color w:val="000000"/>
          <w:szCs w:val="24"/>
        </w:rPr>
        <w:t>Table 1:  Fee cha</w:t>
      </w:r>
      <w:r w:rsidR="002F7973">
        <w:rPr>
          <w:rFonts w:cs="Arial"/>
          <w:b/>
          <w:bCs/>
          <w:color w:val="000000"/>
          <w:szCs w:val="24"/>
        </w:rPr>
        <w:t xml:space="preserve">rged for hosting </w:t>
      </w:r>
      <w:r>
        <w:rPr>
          <w:rFonts w:cs="Arial"/>
          <w:b/>
          <w:bCs/>
          <w:color w:val="000000"/>
          <w:szCs w:val="24"/>
        </w:rPr>
        <w:t>direct fund holding</w:t>
      </w:r>
      <w:r w:rsidR="00064501">
        <w:rPr>
          <w:rStyle w:val="FootnoteReference"/>
          <w:rFonts w:cs="Arial"/>
          <w:b/>
          <w:bCs/>
          <w:color w:val="000000"/>
          <w:szCs w:val="24"/>
        </w:rPr>
        <w:footnoteReference w:id="5"/>
      </w:r>
    </w:p>
    <w:p w14:paraId="2BB8F740" w14:textId="77777777" w:rsidR="001823DB" w:rsidRDefault="001823DB" w:rsidP="001823DB">
      <w:pPr>
        <w:autoSpaceDE w:val="0"/>
        <w:autoSpaceDN w:val="0"/>
        <w:adjustRightInd w:val="0"/>
        <w:spacing w:after="0" w:line="240" w:lineRule="auto"/>
        <w:rPr>
          <w:rFonts w:cs="Arial"/>
          <w:b/>
          <w:bCs/>
          <w:color w:val="000000"/>
          <w:szCs w:val="24"/>
        </w:rPr>
      </w:pPr>
    </w:p>
    <w:tbl>
      <w:tblPr>
        <w:tblW w:w="0" w:type="auto"/>
        <w:tblInd w:w="394" w:type="dxa"/>
        <w:tblLayout w:type="fixed"/>
        <w:tblLook w:val="00A0" w:firstRow="1" w:lastRow="0" w:firstColumn="1" w:lastColumn="0" w:noHBand="0" w:noVBand="0"/>
      </w:tblPr>
      <w:tblGrid>
        <w:gridCol w:w="2436"/>
        <w:gridCol w:w="4632"/>
      </w:tblGrid>
      <w:tr w:rsidR="001823DB" w14:paraId="3C2E7A05" w14:textId="77777777" w:rsidTr="00635785">
        <w:tc>
          <w:tcPr>
            <w:tcW w:w="2436" w:type="dxa"/>
            <w:tcBorders>
              <w:top w:val="single" w:sz="4" w:space="0" w:color="000000"/>
              <w:left w:val="single" w:sz="4" w:space="0" w:color="000000"/>
              <w:bottom w:val="single" w:sz="4" w:space="0" w:color="000000"/>
              <w:right w:val="single" w:sz="4" w:space="0" w:color="000000"/>
            </w:tcBorders>
          </w:tcPr>
          <w:p w14:paraId="71F21DA0" w14:textId="78F7DBC8" w:rsidR="001823DB" w:rsidRDefault="001823DB" w:rsidP="00AF62B4">
            <w:pPr>
              <w:autoSpaceDE w:val="0"/>
              <w:autoSpaceDN w:val="0"/>
              <w:adjustRightInd w:val="0"/>
              <w:spacing w:after="0" w:line="240" w:lineRule="auto"/>
              <w:rPr>
                <w:rFonts w:cs="Arial"/>
                <w:b/>
                <w:bCs/>
                <w:color w:val="000000"/>
                <w:sz w:val="20"/>
                <w:szCs w:val="20"/>
              </w:rPr>
            </w:pPr>
            <w:r>
              <w:rPr>
                <w:rFonts w:cs="Arial"/>
                <w:b/>
                <w:bCs/>
                <w:color w:val="000000"/>
                <w:sz w:val="20"/>
                <w:szCs w:val="20"/>
              </w:rPr>
              <w:t xml:space="preserve">The </w:t>
            </w:r>
            <w:r w:rsidR="00AF62B4">
              <w:rPr>
                <w:rFonts w:cs="Arial"/>
                <w:b/>
                <w:bCs/>
                <w:color w:val="000000"/>
                <w:sz w:val="20"/>
                <w:szCs w:val="20"/>
              </w:rPr>
              <w:t>weekly proportion of a Person’s Personal Budget</w:t>
            </w:r>
            <w:r>
              <w:rPr>
                <w:rFonts w:cs="Arial"/>
                <w:b/>
                <w:bCs/>
                <w:color w:val="000000"/>
                <w:sz w:val="20"/>
                <w:szCs w:val="20"/>
              </w:rPr>
              <w:t>:</w:t>
            </w:r>
          </w:p>
        </w:tc>
        <w:tc>
          <w:tcPr>
            <w:tcW w:w="4632" w:type="dxa"/>
            <w:tcBorders>
              <w:top w:val="single" w:sz="4" w:space="0" w:color="000000"/>
              <w:left w:val="single" w:sz="4" w:space="0" w:color="000000"/>
              <w:bottom w:val="single" w:sz="4" w:space="0" w:color="000000"/>
              <w:right w:val="single" w:sz="4" w:space="0" w:color="000000"/>
            </w:tcBorders>
          </w:tcPr>
          <w:p w14:paraId="30C978DD" w14:textId="2CF235EE" w:rsidR="001823DB" w:rsidRDefault="00AF62B4" w:rsidP="00AF62B4">
            <w:pPr>
              <w:autoSpaceDE w:val="0"/>
              <w:autoSpaceDN w:val="0"/>
              <w:adjustRightInd w:val="0"/>
              <w:spacing w:after="0" w:line="240" w:lineRule="auto"/>
              <w:rPr>
                <w:rFonts w:cs="Arial"/>
                <w:b/>
                <w:bCs/>
                <w:color w:val="000000"/>
                <w:sz w:val="20"/>
                <w:szCs w:val="20"/>
              </w:rPr>
            </w:pPr>
            <w:r>
              <w:rPr>
                <w:rFonts w:cs="Arial"/>
                <w:b/>
                <w:bCs/>
                <w:color w:val="000000"/>
                <w:sz w:val="20"/>
                <w:szCs w:val="20"/>
              </w:rPr>
              <w:t>The</w:t>
            </w:r>
            <w:r w:rsidR="001823DB">
              <w:rPr>
                <w:rFonts w:cs="Arial"/>
                <w:b/>
                <w:bCs/>
                <w:color w:val="000000"/>
                <w:sz w:val="20"/>
                <w:szCs w:val="20"/>
              </w:rPr>
              <w:t xml:space="preserve"> percentage </w:t>
            </w:r>
            <w:r>
              <w:rPr>
                <w:rFonts w:cs="Arial"/>
                <w:b/>
                <w:bCs/>
                <w:color w:val="000000"/>
                <w:sz w:val="20"/>
                <w:szCs w:val="20"/>
              </w:rPr>
              <w:t>of a Person’s Person</w:t>
            </w:r>
            <w:r w:rsidR="00B75D52">
              <w:rPr>
                <w:rFonts w:cs="Arial"/>
                <w:b/>
                <w:bCs/>
                <w:color w:val="000000"/>
                <w:sz w:val="20"/>
                <w:szCs w:val="20"/>
              </w:rPr>
              <w:t>al Budget that a P</w:t>
            </w:r>
            <w:r>
              <w:rPr>
                <w:rFonts w:cs="Arial"/>
                <w:b/>
                <w:bCs/>
                <w:color w:val="000000"/>
                <w:sz w:val="20"/>
                <w:szCs w:val="20"/>
              </w:rPr>
              <w:t>rovider may deduct as a fee for hosting direct fund holding</w:t>
            </w:r>
          </w:p>
        </w:tc>
      </w:tr>
      <w:tr w:rsidR="001823DB" w14:paraId="611EA068" w14:textId="77777777" w:rsidTr="00635785">
        <w:tc>
          <w:tcPr>
            <w:tcW w:w="2436" w:type="dxa"/>
            <w:tcBorders>
              <w:top w:val="single" w:sz="4" w:space="0" w:color="000000"/>
              <w:left w:val="single" w:sz="4" w:space="0" w:color="000000"/>
              <w:bottom w:val="single" w:sz="4" w:space="0" w:color="000000"/>
              <w:right w:val="single" w:sz="4" w:space="0" w:color="000000"/>
            </w:tcBorders>
            <w:vAlign w:val="center"/>
          </w:tcPr>
          <w:p w14:paraId="5E0BF372"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 xml:space="preserve">$0-527  </w:t>
            </w:r>
          </w:p>
        </w:tc>
        <w:tc>
          <w:tcPr>
            <w:tcW w:w="4632" w:type="dxa"/>
            <w:tcBorders>
              <w:top w:val="single" w:sz="4" w:space="0" w:color="000000"/>
              <w:left w:val="single" w:sz="4" w:space="0" w:color="000000"/>
              <w:bottom w:val="single" w:sz="4" w:space="0" w:color="000000"/>
              <w:right w:val="single" w:sz="4" w:space="0" w:color="000000"/>
            </w:tcBorders>
            <w:vAlign w:val="center"/>
          </w:tcPr>
          <w:p w14:paraId="0B875042"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6.00%</w:t>
            </w:r>
          </w:p>
        </w:tc>
      </w:tr>
      <w:tr w:rsidR="001823DB" w14:paraId="6D2FADE1" w14:textId="77777777" w:rsidTr="00635785">
        <w:tc>
          <w:tcPr>
            <w:tcW w:w="2436" w:type="dxa"/>
            <w:tcBorders>
              <w:top w:val="single" w:sz="4" w:space="0" w:color="000000"/>
              <w:left w:val="single" w:sz="4" w:space="0" w:color="000000"/>
              <w:bottom w:val="single" w:sz="4" w:space="0" w:color="000000"/>
              <w:right w:val="single" w:sz="4" w:space="0" w:color="000000"/>
            </w:tcBorders>
            <w:vAlign w:val="center"/>
          </w:tcPr>
          <w:p w14:paraId="6EFCAAF7"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 xml:space="preserve">$528-1161  </w:t>
            </w:r>
          </w:p>
        </w:tc>
        <w:tc>
          <w:tcPr>
            <w:tcW w:w="4632" w:type="dxa"/>
            <w:tcBorders>
              <w:top w:val="single" w:sz="4" w:space="0" w:color="000000"/>
              <w:left w:val="single" w:sz="4" w:space="0" w:color="000000"/>
              <w:bottom w:val="single" w:sz="4" w:space="0" w:color="000000"/>
              <w:right w:val="single" w:sz="4" w:space="0" w:color="000000"/>
            </w:tcBorders>
            <w:vAlign w:val="center"/>
          </w:tcPr>
          <w:p w14:paraId="6E37C93A"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5.50%</w:t>
            </w:r>
          </w:p>
        </w:tc>
      </w:tr>
      <w:tr w:rsidR="001823DB" w14:paraId="3F1AAE05" w14:textId="77777777" w:rsidTr="00635785">
        <w:tc>
          <w:tcPr>
            <w:tcW w:w="2436" w:type="dxa"/>
            <w:tcBorders>
              <w:top w:val="single" w:sz="4" w:space="0" w:color="000000"/>
              <w:left w:val="single" w:sz="4" w:space="0" w:color="000000"/>
              <w:bottom w:val="single" w:sz="4" w:space="0" w:color="000000"/>
              <w:right w:val="single" w:sz="4" w:space="0" w:color="000000"/>
            </w:tcBorders>
            <w:vAlign w:val="center"/>
          </w:tcPr>
          <w:p w14:paraId="592E7BA9"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$1,162 and over</w:t>
            </w:r>
          </w:p>
        </w:tc>
        <w:tc>
          <w:tcPr>
            <w:tcW w:w="4632" w:type="dxa"/>
            <w:tcBorders>
              <w:top w:val="single" w:sz="4" w:space="0" w:color="000000"/>
              <w:left w:val="single" w:sz="4" w:space="0" w:color="000000"/>
              <w:bottom w:val="single" w:sz="4" w:space="0" w:color="000000"/>
              <w:right w:val="single" w:sz="4" w:space="0" w:color="000000"/>
            </w:tcBorders>
            <w:vAlign w:val="center"/>
          </w:tcPr>
          <w:p w14:paraId="674AE406"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4.75%</w:t>
            </w:r>
          </w:p>
        </w:tc>
      </w:tr>
    </w:tbl>
    <w:p w14:paraId="3F952E1A" w14:textId="539E3BBC" w:rsidR="00F62D67" w:rsidRPr="00BA5C57" w:rsidRDefault="00F62D67" w:rsidP="003C02BC">
      <w:pPr>
        <w:pStyle w:val="Heading2"/>
        <w:spacing w:before="240"/>
      </w:pPr>
      <w:r w:rsidRPr="00F62D67">
        <w:t>Quality Requirements</w:t>
      </w:r>
    </w:p>
    <w:p w14:paraId="59167A61" w14:textId="77777777" w:rsidR="00F62D67" w:rsidRPr="004B04A0" w:rsidRDefault="00F62D67" w:rsidP="004B04A0">
      <w:pPr>
        <w:pStyle w:val="BodyText"/>
        <w:jc w:val="left"/>
        <w:rPr>
          <w:rFonts w:ascii="Arial" w:hAnsi="Arial" w:cs="Arial"/>
        </w:rPr>
      </w:pPr>
      <w:r w:rsidRPr="004B04A0">
        <w:rPr>
          <w:rFonts w:ascii="Arial" w:hAnsi="Arial" w:cs="Arial"/>
        </w:rPr>
        <w:t>The Service Provider must provide Services in accordance with:</w:t>
      </w:r>
    </w:p>
    <w:p w14:paraId="4E61BA66" w14:textId="77777777" w:rsidR="00F62D67" w:rsidRPr="002833A1" w:rsidRDefault="00F62D67" w:rsidP="00820C91">
      <w:pPr>
        <w:pStyle w:val="ListParagraph"/>
        <w:numPr>
          <w:ilvl w:val="0"/>
          <w:numId w:val="6"/>
        </w:numPr>
        <w:spacing w:after="120"/>
        <w:ind w:left="788" w:hanging="357"/>
        <w:contextualSpacing w:val="0"/>
      </w:pPr>
      <w:r w:rsidRPr="002833A1">
        <w:t>the Code of Health and Disability Services Consumers’ Rights 1996</w:t>
      </w:r>
    </w:p>
    <w:p w14:paraId="1638A8C2" w14:textId="77777777" w:rsidR="00F62D67" w:rsidRPr="002833A1" w:rsidRDefault="00F62D67" w:rsidP="00820C91">
      <w:pPr>
        <w:pStyle w:val="ListParagraph"/>
        <w:numPr>
          <w:ilvl w:val="0"/>
          <w:numId w:val="6"/>
        </w:numPr>
        <w:spacing w:after="120"/>
        <w:ind w:left="788" w:hanging="357"/>
        <w:contextualSpacing w:val="0"/>
      </w:pPr>
      <w:r w:rsidRPr="002833A1">
        <w:t>the Health Act 1956</w:t>
      </w:r>
    </w:p>
    <w:p w14:paraId="16AEDBD1" w14:textId="77777777" w:rsidR="00F62D67" w:rsidRPr="002833A1" w:rsidRDefault="00F62D67" w:rsidP="00820C91">
      <w:pPr>
        <w:pStyle w:val="ListParagraph"/>
        <w:numPr>
          <w:ilvl w:val="0"/>
          <w:numId w:val="6"/>
        </w:numPr>
        <w:spacing w:after="120"/>
        <w:ind w:left="788" w:hanging="357"/>
        <w:contextualSpacing w:val="0"/>
      </w:pPr>
      <w:r w:rsidRPr="002833A1">
        <w:t>the Health Information Privacy Code 1994</w:t>
      </w:r>
    </w:p>
    <w:p w14:paraId="4D33A363" w14:textId="77777777" w:rsidR="00F62D67" w:rsidRPr="002833A1" w:rsidRDefault="00F62D67" w:rsidP="00820C91">
      <w:pPr>
        <w:pStyle w:val="ListParagraph"/>
        <w:numPr>
          <w:ilvl w:val="0"/>
          <w:numId w:val="6"/>
        </w:numPr>
        <w:spacing w:after="120"/>
        <w:ind w:left="788" w:hanging="357"/>
        <w:contextualSpacing w:val="0"/>
      </w:pPr>
      <w:r w:rsidRPr="002833A1">
        <w:t xml:space="preserve">the New Zealand Disability Strategy 2001 </w:t>
      </w:r>
    </w:p>
    <w:p w14:paraId="510FEB39" w14:textId="77777777" w:rsidR="00F62D67" w:rsidRDefault="00F62D67" w:rsidP="00820C91">
      <w:pPr>
        <w:pStyle w:val="ListParagraph"/>
        <w:numPr>
          <w:ilvl w:val="0"/>
          <w:numId w:val="6"/>
        </w:numPr>
        <w:spacing w:after="120"/>
        <w:ind w:left="788" w:hanging="357"/>
        <w:contextualSpacing w:val="0"/>
      </w:pPr>
      <w:r w:rsidRPr="002833A1">
        <w:t>Health Practitioners Competence Assurance Act 2003</w:t>
      </w:r>
    </w:p>
    <w:p w14:paraId="09E1EC93" w14:textId="5EAB5D62" w:rsidR="000E542B" w:rsidRPr="002833A1" w:rsidRDefault="000E542B" w:rsidP="00820C91">
      <w:pPr>
        <w:pStyle w:val="ListParagraph"/>
        <w:numPr>
          <w:ilvl w:val="0"/>
          <w:numId w:val="6"/>
        </w:numPr>
        <w:spacing w:after="120"/>
        <w:ind w:left="788" w:hanging="357"/>
        <w:contextualSpacing w:val="0"/>
      </w:pPr>
      <w:r>
        <w:t>Ministry of Health Policy and Guidelines, as issued by the Ministry from time to time</w:t>
      </w:r>
    </w:p>
    <w:p w14:paraId="5CA3422A" w14:textId="76146A85" w:rsidR="00F62D67" w:rsidRPr="002833A1" w:rsidRDefault="00F62D67" w:rsidP="00820C91">
      <w:pPr>
        <w:pStyle w:val="ListParagraph"/>
        <w:numPr>
          <w:ilvl w:val="0"/>
          <w:numId w:val="6"/>
        </w:numPr>
        <w:spacing w:after="120"/>
        <w:ind w:left="788" w:hanging="357"/>
        <w:contextualSpacing w:val="0"/>
      </w:pPr>
      <w:r w:rsidRPr="002833A1">
        <w:t>all other relevant law relating to employment, health and safety, privacy.</w:t>
      </w:r>
    </w:p>
    <w:p w14:paraId="7E2E2995" w14:textId="77777777" w:rsidR="00F62D67" w:rsidRPr="004B04A0" w:rsidRDefault="00F62D67" w:rsidP="004B04A0">
      <w:pPr>
        <w:pStyle w:val="BodyText"/>
        <w:jc w:val="left"/>
        <w:rPr>
          <w:rFonts w:ascii="Arial" w:hAnsi="Arial" w:cs="Arial"/>
        </w:rPr>
      </w:pPr>
      <w:r w:rsidRPr="004B04A0">
        <w:rPr>
          <w:rFonts w:ascii="Arial" w:hAnsi="Arial" w:cs="Arial"/>
        </w:rPr>
        <w:t>The Provider will have a set of documented policies/ protocols as part of its Risk and Quality Management framework including, but not limited to:</w:t>
      </w:r>
    </w:p>
    <w:p w14:paraId="4BFE41A6" w14:textId="49AE1325" w:rsidR="00F62D67" w:rsidRPr="002833A1" w:rsidRDefault="00AA02A8" w:rsidP="00820C91">
      <w:pPr>
        <w:pStyle w:val="ListParagraph"/>
        <w:numPr>
          <w:ilvl w:val="0"/>
          <w:numId w:val="6"/>
        </w:numPr>
        <w:spacing w:after="120"/>
        <w:ind w:left="788" w:hanging="357"/>
        <w:contextualSpacing w:val="0"/>
      </w:pPr>
      <w:r>
        <w:t>code of c</w:t>
      </w:r>
      <w:r w:rsidR="00F62D67" w:rsidRPr="002833A1">
        <w:t>onduct, including professional boundaries</w:t>
      </w:r>
    </w:p>
    <w:p w14:paraId="74295558" w14:textId="77777777" w:rsidR="00F62D67" w:rsidRPr="002833A1" w:rsidRDefault="00F62D67" w:rsidP="00820C91">
      <w:pPr>
        <w:pStyle w:val="ListParagraph"/>
        <w:numPr>
          <w:ilvl w:val="0"/>
          <w:numId w:val="6"/>
        </w:numPr>
        <w:spacing w:after="120"/>
        <w:ind w:left="788" w:hanging="357"/>
        <w:contextualSpacing w:val="0"/>
      </w:pPr>
      <w:r w:rsidRPr="002833A1">
        <w:t>conflict of interest</w:t>
      </w:r>
    </w:p>
    <w:p w14:paraId="70BBFB37" w14:textId="77777777" w:rsidR="00F62D67" w:rsidRPr="002833A1" w:rsidRDefault="00F62D67" w:rsidP="00820C91">
      <w:pPr>
        <w:pStyle w:val="ListParagraph"/>
        <w:numPr>
          <w:ilvl w:val="0"/>
          <w:numId w:val="6"/>
        </w:numPr>
        <w:spacing w:after="120"/>
        <w:ind w:left="788" w:hanging="357"/>
        <w:contextualSpacing w:val="0"/>
      </w:pPr>
      <w:r w:rsidRPr="002833A1">
        <w:t>complaints policy and processes</w:t>
      </w:r>
    </w:p>
    <w:p w14:paraId="76A15CB2" w14:textId="7AD4FBD8" w:rsidR="00F62D67" w:rsidRPr="002833A1" w:rsidRDefault="00F62D67" w:rsidP="00820C91">
      <w:pPr>
        <w:pStyle w:val="ListParagraph"/>
        <w:numPr>
          <w:ilvl w:val="0"/>
          <w:numId w:val="6"/>
        </w:numPr>
        <w:spacing w:after="120"/>
        <w:ind w:left="788" w:hanging="357"/>
        <w:contextualSpacing w:val="0"/>
      </w:pPr>
      <w:r w:rsidRPr="002833A1">
        <w:t xml:space="preserve">an abuse policy that covers recognising and reporting physical or sexual abuse and preventing abuse (physical, sexual, financial and psychological)  from staff </w:t>
      </w:r>
    </w:p>
    <w:p w14:paraId="276E1246" w14:textId="77777777" w:rsidR="00F62D67" w:rsidRPr="002833A1" w:rsidRDefault="00F62D67" w:rsidP="00820C91">
      <w:pPr>
        <w:pStyle w:val="ListParagraph"/>
        <w:numPr>
          <w:ilvl w:val="0"/>
          <w:numId w:val="6"/>
        </w:numPr>
        <w:spacing w:after="120"/>
        <w:ind w:left="788" w:hanging="357"/>
        <w:contextualSpacing w:val="0"/>
      </w:pPr>
      <w:r w:rsidRPr="002833A1">
        <w:lastRenderedPageBreak/>
        <w:t>confidentiality</w:t>
      </w:r>
    </w:p>
    <w:p w14:paraId="44BFD9C7" w14:textId="269739D7" w:rsidR="00F62D67" w:rsidRPr="002833A1" w:rsidRDefault="0028355E" w:rsidP="00820C91">
      <w:pPr>
        <w:pStyle w:val="ListParagraph"/>
        <w:numPr>
          <w:ilvl w:val="0"/>
          <w:numId w:val="6"/>
        </w:numPr>
        <w:spacing w:after="120"/>
        <w:ind w:left="788" w:hanging="357"/>
        <w:contextualSpacing w:val="0"/>
      </w:pPr>
      <w:r>
        <w:t>positive behaviour management</w:t>
      </w:r>
    </w:p>
    <w:p w14:paraId="01033FD3" w14:textId="5416257D" w:rsidR="00F62D67" w:rsidRDefault="00F62D67" w:rsidP="00820C91">
      <w:pPr>
        <w:pStyle w:val="ListParagraph"/>
        <w:numPr>
          <w:ilvl w:val="0"/>
          <w:numId w:val="6"/>
        </w:numPr>
        <w:spacing w:after="120"/>
        <w:ind w:left="788" w:hanging="357"/>
        <w:contextualSpacing w:val="0"/>
      </w:pPr>
      <w:r w:rsidRPr="002833A1">
        <w:t>a process to identify vulnerabilities in relation to specific people supported by the service, and intentional safeguards that respond.</w:t>
      </w:r>
    </w:p>
    <w:p w14:paraId="0C086B42" w14:textId="31EC60BE" w:rsidR="003C02BC" w:rsidRPr="004B04A0" w:rsidRDefault="003C02BC" w:rsidP="004B04A0">
      <w:pPr>
        <w:pStyle w:val="BodyText"/>
        <w:jc w:val="left"/>
        <w:rPr>
          <w:rFonts w:ascii="Arial" w:hAnsi="Arial" w:cs="Arial"/>
        </w:rPr>
      </w:pPr>
      <w:r w:rsidRPr="004B04A0">
        <w:rPr>
          <w:rFonts w:ascii="Arial" w:hAnsi="Arial" w:cs="Arial"/>
        </w:rPr>
        <w:t xml:space="preserve">The Provider will </w:t>
      </w:r>
      <w:r w:rsidR="00BE7585" w:rsidRPr="004B04A0">
        <w:rPr>
          <w:rFonts w:ascii="Arial" w:hAnsi="Arial" w:cs="Arial"/>
        </w:rPr>
        <w:t>be responsible for ensuring</w:t>
      </w:r>
      <w:r w:rsidRPr="004B04A0">
        <w:rPr>
          <w:rFonts w:ascii="Arial" w:hAnsi="Arial" w:cs="Arial"/>
        </w:rPr>
        <w:t xml:space="preserve"> that their polici</w:t>
      </w:r>
      <w:r w:rsidR="00BE7585" w:rsidRPr="004B04A0">
        <w:rPr>
          <w:rFonts w:ascii="Arial" w:hAnsi="Arial" w:cs="Arial"/>
        </w:rPr>
        <w:t>es and protocols are adhered to when delivering the service to the Person.</w:t>
      </w:r>
    </w:p>
    <w:p w14:paraId="459A79DB" w14:textId="4BBBE560" w:rsidR="00E358BA" w:rsidRPr="00E358BA" w:rsidRDefault="00E358BA" w:rsidP="00E358BA">
      <w:pPr>
        <w:pStyle w:val="Heading2"/>
        <w:spacing w:before="240"/>
      </w:pPr>
      <w:r w:rsidRPr="00E358BA">
        <w:t>Accountability</w:t>
      </w:r>
    </w:p>
    <w:p w14:paraId="3B9370A4" w14:textId="30FAFDBC" w:rsidR="00E358BA" w:rsidRPr="00E358BA" w:rsidRDefault="00A421E3" w:rsidP="00E358BA">
      <w:pPr>
        <w:pStyle w:val="Heading3"/>
        <w:spacing w:before="240"/>
        <w:ind w:left="709" w:hanging="709"/>
        <w:rPr>
          <w:b w:val="0"/>
          <w:i/>
        </w:rPr>
      </w:pPr>
      <w:r>
        <w:rPr>
          <w:b w:val="0"/>
          <w:i/>
        </w:rPr>
        <w:t>Accountability documented in the S</w:t>
      </w:r>
      <w:r w:rsidR="00A81CDB">
        <w:rPr>
          <w:b w:val="0"/>
          <w:i/>
        </w:rPr>
        <w:t>upport</w:t>
      </w:r>
      <w:r w:rsidR="00E3323A">
        <w:rPr>
          <w:b w:val="0"/>
          <w:i/>
        </w:rPr>
        <w:t xml:space="preserve"> Agreement</w:t>
      </w:r>
    </w:p>
    <w:p w14:paraId="34177D69" w14:textId="4143F3AA" w:rsidR="00E358BA" w:rsidRPr="00E358BA" w:rsidRDefault="00842D24" w:rsidP="00E358BA">
      <w:pPr>
        <w:rPr>
          <w:lang w:eastAsia="ko-KR"/>
        </w:rPr>
      </w:pPr>
      <w:r>
        <w:rPr>
          <w:lang w:eastAsia="ko-KR"/>
        </w:rPr>
        <w:t>In the event that the P</w:t>
      </w:r>
      <w:r w:rsidR="00E358BA" w:rsidRPr="00E358BA">
        <w:rPr>
          <w:lang w:eastAsia="ko-KR"/>
        </w:rPr>
        <w:t xml:space="preserve">erson or any other stakeholder has concerns about the amount or type of </w:t>
      </w:r>
      <w:r w:rsidR="00217F88" w:rsidRPr="00217F88">
        <w:rPr>
          <w:rFonts w:cs="Arial"/>
        </w:rPr>
        <w:t>Choice in Community Living</w:t>
      </w:r>
      <w:r w:rsidR="00E3323A">
        <w:rPr>
          <w:lang w:eastAsia="ko-KR"/>
        </w:rPr>
        <w:t xml:space="preserve"> </w:t>
      </w:r>
      <w:r w:rsidR="00E358BA" w:rsidRPr="00E358BA">
        <w:rPr>
          <w:lang w:eastAsia="ko-KR"/>
        </w:rPr>
        <w:t>suppo</w:t>
      </w:r>
      <w:r w:rsidR="00A81CDB">
        <w:rPr>
          <w:lang w:eastAsia="ko-KR"/>
        </w:rPr>
        <w:t xml:space="preserve">rt that has been provided, the </w:t>
      </w:r>
      <w:r w:rsidR="00E3323A">
        <w:rPr>
          <w:lang w:eastAsia="ko-KR"/>
        </w:rPr>
        <w:t>Support Agreement should</w:t>
      </w:r>
      <w:r w:rsidR="00E358BA" w:rsidRPr="00E358BA">
        <w:rPr>
          <w:lang w:eastAsia="ko-KR"/>
        </w:rPr>
        <w:t xml:space="preserve"> provide a clear record</w:t>
      </w:r>
      <w:r w:rsidR="00E358BA">
        <w:rPr>
          <w:lang w:eastAsia="ko-KR"/>
        </w:rPr>
        <w:t xml:space="preserve"> of what all parties agreed to.</w:t>
      </w:r>
    </w:p>
    <w:p w14:paraId="3064BE23" w14:textId="49A015FE" w:rsidR="00E358BA" w:rsidRPr="00E358BA" w:rsidRDefault="00E358BA" w:rsidP="00FB1064">
      <w:pPr>
        <w:pStyle w:val="Heading3"/>
        <w:spacing w:before="240" w:after="120"/>
        <w:ind w:left="709" w:hanging="709"/>
        <w:rPr>
          <w:b w:val="0"/>
          <w:i/>
        </w:rPr>
      </w:pPr>
      <w:r w:rsidRPr="00E358BA">
        <w:rPr>
          <w:b w:val="0"/>
          <w:i/>
        </w:rPr>
        <w:t>Record keeping</w:t>
      </w:r>
    </w:p>
    <w:p w14:paraId="745D2CA3" w14:textId="77777777" w:rsidR="00E25283" w:rsidRDefault="00E358BA" w:rsidP="00E358BA">
      <w:pPr>
        <w:rPr>
          <w:lang w:eastAsia="ko-KR"/>
        </w:rPr>
      </w:pPr>
      <w:r w:rsidRPr="00E358BA">
        <w:rPr>
          <w:lang w:eastAsia="ko-KR"/>
        </w:rPr>
        <w:t xml:space="preserve">The Provider will keep records that document the provision of support to the Person as per the </w:t>
      </w:r>
      <w:r w:rsidR="00E25283">
        <w:rPr>
          <w:lang w:eastAsia="ko-KR"/>
        </w:rPr>
        <w:t>S</w:t>
      </w:r>
      <w:r>
        <w:rPr>
          <w:lang w:eastAsia="ko-KR"/>
        </w:rPr>
        <w:t>upport</w:t>
      </w:r>
      <w:r w:rsidR="00E25283">
        <w:rPr>
          <w:lang w:eastAsia="ko-KR"/>
        </w:rPr>
        <w:t xml:space="preserve"> A</w:t>
      </w:r>
      <w:r w:rsidRPr="00E358BA">
        <w:rPr>
          <w:lang w:eastAsia="ko-KR"/>
        </w:rPr>
        <w:t>greement.  These records will include but are not limited to</w:t>
      </w:r>
      <w:r w:rsidR="00E25283">
        <w:rPr>
          <w:lang w:eastAsia="ko-KR"/>
        </w:rPr>
        <w:t>:</w:t>
      </w:r>
    </w:p>
    <w:p w14:paraId="4F0B78D7" w14:textId="1292C320" w:rsidR="00E25283" w:rsidRDefault="00E358BA" w:rsidP="00820C91">
      <w:pPr>
        <w:pStyle w:val="ListParagraph"/>
        <w:numPr>
          <w:ilvl w:val="0"/>
          <w:numId w:val="6"/>
        </w:numPr>
        <w:spacing w:after="120"/>
        <w:ind w:left="788" w:hanging="357"/>
        <w:contextualSpacing w:val="0"/>
      </w:pPr>
      <w:r w:rsidRPr="00E358BA">
        <w:t>evid</w:t>
      </w:r>
      <w:r w:rsidR="00E25283">
        <w:t>ence of support being provided</w:t>
      </w:r>
      <w:r w:rsidR="0028355E">
        <w:t xml:space="preserve"> and by whom</w:t>
      </w:r>
    </w:p>
    <w:p w14:paraId="22267E4B" w14:textId="77777777" w:rsidR="00E25283" w:rsidRDefault="00E358BA" w:rsidP="00820C91">
      <w:pPr>
        <w:pStyle w:val="ListParagraph"/>
        <w:numPr>
          <w:ilvl w:val="0"/>
          <w:numId w:val="6"/>
        </w:numPr>
        <w:spacing w:after="120"/>
        <w:ind w:left="788" w:hanging="357"/>
        <w:contextualSpacing w:val="0"/>
      </w:pPr>
      <w:r w:rsidRPr="00E358BA">
        <w:t>the cost of that suppor</w:t>
      </w:r>
      <w:r w:rsidR="00E25283">
        <w:t>t (including overheads)</w:t>
      </w:r>
    </w:p>
    <w:p w14:paraId="1FB5B621" w14:textId="77777777" w:rsidR="00E25283" w:rsidRDefault="00E358BA" w:rsidP="00820C91">
      <w:pPr>
        <w:pStyle w:val="ListParagraph"/>
        <w:numPr>
          <w:ilvl w:val="0"/>
          <w:numId w:val="6"/>
        </w:numPr>
        <w:spacing w:after="120"/>
        <w:ind w:left="788" w:hanging="357"/>
        <w:contextualSpacing w:val="0"/>
      </w:pPr>
      <w:r w:rsidRPr="00E358BA">
        <w:t>actual expenses being incurred where an item has been purchased or an aspect of the service subcontrac</w:t>
      </w:r>
      <w:r w:rsidR="00E25283">
        <w:t>ted</w:t>
      </w:r>
    </w:p>
    <w:p w14:paraId="3A4CAA3C" w14:textId="2A2B8FBF" w:rsidR="00E25283" w:rsidRDefault="00E25283" w:rsidP="00820C91">
      <w:pPr>
        <w:pStyle w:val="ListParagraph"/>
        <w:numPr>
          <w:ilvl w:val="0"/>
          <w:numId w:val="6"/>
        </w:numPr>
        <w:spacing w:after="120"/>
        <w:ind w:left="788" w:hanging="357"/>
        <w:contextualSpacing w:val="0"/>
      </w:pPr>
      <w:r>
        <w:t>all related documentation, such as time sheets, invoices and receipts</w:t>
      </w:r>
    </w:p>
    <w:p w14:paraId="41987FC6" w14:textId="23546A2F" w:rsidR="00E358BA" w:rsidRPr="00E358BA" w:rsidRDefault="00E358BA" w:rsidP="00E25283">
      <w:pPr>
        <w:rPr>
          <w:lang w:eastAsia="ko-KR"/>
        </w:rPr>
      </w:pPr>
      <w:r w:rsidRPr="00E358BA">
        <w:rPr>
          <w:lang w:eastAsia="ko-KR"/>
        </w:rPr>
        <w:t>All records will be maintained in an orderly way that is</w:t>
      </w:r>
      <w:r w:rsidR="0028355E">
        <w:rPr>
          <w:lang w:eastAsia="ko-KR"/>
        </w:rPr>
        <w:t xml:space="preserve"> auditable and</w:t>
      </w:r>
      <w:r>
        <w:rPr>
          <w:lang w:eastAsia="ko-KR"/>
        </w:rPr>
        <w:t xml:space="preserve"> consistent with best practice.</w:t>
      </w:r>
      <w:r w:rsidR="00E25283">
        <w:rPr>
          <w:lang w:eastAsia="ko-KR"/>
        </w:rPr>
        <w:t xml:space="preserve"> Where the person is purchasing their own supports (Direct</w:t>
      </w:r>
      <w:r w:rsidR="00A41087">
        <w:rPr>
          <w:lang w:eastAsia="ko-KR"/>
        </w:rPr>
        <w:t xml:space="preserve"> F</w:t>
      </w:r>
      <w:r w:rsidR="00583054">
        <w:rPr>
          <w:lang w:eastAsia="ko-KR"/>
        </w:rPr>
        <w:t>undholding) the P</w:t>
      </w:r>
      <w:r w:rsidR="00E25283">
        <w:rPr>
          <w:lang w:eastAsia="ko-KR"/>
        </w:rPr>
        <w:t>rovider should support the person to keep appropriate records</w:t>
      </w:r>
      <w:r w:rsidR="00A41087">
        <w:rPr>
          <w:lang w:eastAsia="ko-KR"/>
        </w:rPr>
        <w:t>.</w:t>
      </w:r>
    </w:p>
    <w:p w14:paraId="23408391" w14:textId="3049B39D" w:rsidR="00E358BA" w:rsidRDefault="00E358BA" w:rsidP="00FB1064">
      <w:pPr>
        <w:pStyle w:val="Heading3"/>
        <w:spacing w:before="240" w:after="120"/>
        <w:ind w:left="709" w:hanging="709"/>
        <w:rPr>
          <w:b w:val="0"/>
          <w:i/>
        </w:rPr>
      </w:pPr>
      <w:r w:rsidRPr="00E358BA">
        <w:rPr>
          <w:b w:val="0"/>
          <w:i/>
        </w:rPr>
        <w:t>Audits</w:t>
      </w:r>
    </w:p>
    <w:p w14:paraId="1A801588" w14:textId="4F46E5F4" w:rsidR="00A41087" w:rsidRDefault="00A41087" w:rsidP="00A41087">
      <w:pPr>
        <w:jc w:val="both"/>
        <w:rPr>
          <w:lang w:eastAsia="ko-KR"/>
        </w:rPr>
      </w:pPr>
      <w:r>
        <w:rPr>
          <w:lang w:eastAsia="ko-KR"/>
        </w:rPr>
        <w:t>The Ministry may conduct regular Quality Audits of the Providers activities under this Agreement, in accordance with the provisions of Annex B of the Outcome Agreement.</w:t>
      </w:r>
    </w:p>
    <w:p w14:paraId="3EC6BE93" w14:textId="77777777" w:rsidR="00A41087" w:rsidRDefault="00A41087" w:rsidP="00820C91">
      <w:pPr>
        <w:pStyle w:val="Sub-number"/>
        <w:numPr>
          <w:ilvl w:val="1"/>
          <w:numId w:val="8"/>
        </w:numPr>
        <w:spacing w:after="120"/>
        <w:jc w:val="both"/>
        <w:rPr>
          <w:lang w:eastAsia="ko-KR"/>
        </w:rPr>
      </w:pPr>
      <w:r>
        <w:rPr>
          <w:lang w:eastAsia="ko-KR"/>
        </w:rPr>
        <w:t>A Quality Audit may relate to Choice in Community Living supports provided in respect of a single Person (Single Person Quality Audit), or to the general practices of the Provider under this Agreement and not limited to the services provided a specific Person (a General Quality Audit).</w:t>
      </w:r>
    </w:p>
    <w:p w14:paraId="6989E1C5" w14:textId="77777777" w:rsidR="00A41087" w:rsidRDefault="00A41087" w:rsidP="00820C91">
      <w:pPr>
        <w:pStyle w:val="Sub-number"/>
        <w:numPr>
          <w:ilvl w:val="1"/>
          <w:numId w:val="8"/>
        </w:numPr>
        <w:spacing w:after="120"/>
        <w:jc w:val="both"/>
        <w:rPr>
          <w:lang w:eastAsia="ko-KR"/>
        </w:rPr>
      </w:pPr>
      <w:r>
        <w:rPr>
          <w:lang w:eastAsia="ko-KR"/>
        </w:rPr>
        <w:t>A General Quality Audit would not normally occur more than once a year, but multiple Single Person Quality Audits may occur in any year.</w:t>
      </w:r>
    </w:p>
    <w:p w14:paraId="69A730A2" w14:textId="2A7CBE85" w:rsidR="00A41087" w:rsidRDefault="00A41087" w:rsidP="00820C91">
      <w:pPr>
        <w:pStyle w:val="Sub-number"/>
        <w:numPr>
          <w:ilvl w:val="1"/>
          <w:numId w:val="8"/>
        </w:numPr>
        <w:spacing w:after="120"/>
        <w:jc w:val="both"/>
        <w:rPr>
          <w:lang w:eastAsia="ko-KR"/>
        </w:rPr>
      </w:pPr>
      <w:r>
        <w:rPr>
          <w:lang w:eastAsia="ko-KR"/>
        </w:rPr>
        <w:t>The parties will work together with the timing of the Quality Audits to minimise any inconvenience to the Provider.</w:t>
      </w:r>
    </w:p>
    <w:p w14:paraId="38D6A061" w14:textId="77777777" w:rsidR="00A41087" w:rsidRPr="00CA76A6" w:rsidRDefault="00A41087" w:rsidP="00FB1064">
      <w:pPr>
        <w:pStyle w:val="Heading3"/>
        <w:spacing w:before="240" w:after="120"/>
        <w:ind w:left="709" w:hanging="709"/>
        <w:rPr>
          <w:b w:val="0"/>
          <w:i/>
        </w:rPr>
      </w:pPr>
      <w:r w:rsidRPr="00CA76A6">
        <w:rPr>
          <w:b w:val="0"/>
          <w:i/>
        </w:rPr>
        <w:t>Accountability of Provider</w:t>
      </w:r>
    </w:p>
    <w:p w14:paraId="075063D3" w14:textId="7BBCC2A2" w:rsidR="00A41087" w:rsidRDefault="00A41087" w:rsidP="00A41087">
      <w:pPr>
        <w:jc w:val="both"/>
        <w:rPr>
          <w:lang w:eastAsia="ko-KR"/>
        </w:rPr>
      </w:pPr>
      <w:r>
        <w:rPr>
          <w:lang w:eastAsia="ko-KR"/>
        </w:rPr>
        <w:lastRenderedPageBreak/>
        <w:t>Where an overpayment has been made, or funding has not been used for the purposes it was provided for, or not delivered in accordance with the requirements of this Service Specification, the Provider must ensure that it repays any such overpayment t</w:t>
      </w:r>
      <w:r w:rsidR="00B332F7">
        <w:rPr>
          <w:lang w:eastAsia="ko-KR"/>
        </w:rPr>
        <w:t>hrough a process that will be advised by</w:t>
      </w:r>
      <w:r>
        <w:rPr>
          <w:lang w:eastAsia="ko-KR"/>
        </w:rPr>
        <w:t xml:space="preserve"> the Ministry.  </w:t>
      </w:r>
    </w:p>
    <w:p w14:paraId="1A664B1A" w14:textId="141E284A" w:rsidR="00A41087" w:rsidRPr="00A41087" w:rsidRDefault="00A41087" w:rsidP="00A41087">
      <w:pPr>
        <w:jc w:val="both"/>
        <w:rPr>
          <w:lang w:eastAsia="ko-KR"/>
        </w:rPr>
      </w:pPr>
      <w:r>
        <w:rPr>
          <w:lang w:eastAsia="ko-KR"/>
        </w:rPr>
        <w:t xml:space="preserve">The Provider must immediately notify the Ministry in writing of any significant risk such as potential fraud, inappropriate use of Choice in Community Living funding and safety risk to a Person. </w:t>
      </w:r>
      <w:r w:rsidR="00CA76A6">
        <w:rPr>
          <w:lang w:eastAsia="ko-KR"/>
        </w:rPr>
        <w:t>If any</w:t>
      </w:r>
      <w:r>
        <w:rPr>
          <w:lang w:eastAsia="ko-KR"/>
        </w:rPr>
        <w:t xml:space="preserve"> </w:t>
      </w:r>
      <w:r w:rsidR="00CA76A6">
        <w:rPr>
          <w:lang w:eastAsia="ko-KR"/>
        </w:rPr>
        <w:t>overpayment is due to fraud by the</w:t>
      </w:r>
      <w:r>
        <w:rPr>
          <w:lang w:eastAsia="ko-KR"/>
        </w:rPr>
        <w:t xml:space="preserve"> Person, and the Provider could not reasonably have discovered that when conducting its payment verification activities</w:t>
      </w:r>
      <w:r w:rsidR="00CA76A6">
        <w:rPr>
          <w:lang w:eastAsia="ko-KR"/>
        </w:rPr>
        <w:t>,</w:t>
      </w:r>
      <w:r>
        <w:rPr>
          <w:lang w:eastAsia="ko-KR"/>
        </w:rPr>
        <w:t xml:space="preserve"> the Provider must take all reasonable steps to recover the funds from the Person. This may include reduction of </w:t>
      </w:r>
      <w:r w:rsidR="00217F88">
        <w:rPr>
          <w:lang w:eastAsia="ko-KR"/>
        </w:rPr>
        <w:t xml:space="preserve">the equivalent amount of </w:t>
      </w:r>
      <w:r w:rsidR="00217F88" w:rsidRPr="00217F88">
        <w:rPr>
          <w:rFonts w:cs="Arial"/>
        </w:rPr>
        <w:t>Choice in Community Living</w:t>
      </w:r>
      <w:r w:rsidR="00CA76A6">
        <w:rPr>
          <w:lang w:eastAsia="ko-KR"/>
        </w:rPr>
        <w:t xml:space="preserve"> support</w:t>
      </w:r>
      <w:r>
        <w:rPr>
          <w:lang w:eastAsia="ko-KR"/>
        </w:rPr>
        <w:t>, or the</w:t>
      </w:r>
      <w:r w:rsidR="00CA76A6">
        <w:rPr>
          <w:lang w:eastAsia="ko-KR"/>
        </w:rPr>
        <w:t xml:space="preserve"> Person may repay the </w:t>
      </w:r>
      <w:r>
        <w:rPr>
          <w:lang w:eastAsia="ko-KR"/>
        </w:rPr>
        <w:t>monetary equivalent</w:t>
      </w:r>
      <w:r w:rsidR="00CA76A6">
        <w:rPr>
          <w:lang w:eastAsia="ko-KR"/>
        </w:rPr>
        <w:t xml:space="preserve"> of the overpaid amount</w:t>
      </w:r>
      <w:r>
        <w:rPr>
          <w:lang w:eastAsia="ko-KR"/>
        </w:rPr>
        <w:t xml:space="preserve">.  Other consequences may also follow for the Person, including but not limited to a greater level of management </w:t>
      </w:r>
      <w:r w:rsidR="00CA76A6">
        <w:rPr>
          <w:lang w:eastAsia="ko-KR"/>
        </w:rPr>
        <w:t>that may remove</w:t>
      </w:r>
      <w:r>
        <w:rPr>
          <w:lang w:eastAsia="ko-KR"/>
        </w:rPr>
        <w:t xml:space="preserve"> some of the choice</w:t>
      </w:r>
      <w:r w:rsidR="00CA76A6">
        <w:rPr>
          <w:lang w:eastAsia="ko-KR"/>
        </w:rPr>
        <w:t>s</w:t>
      </w:r>
      <w:r>
        <w:rPr>
          <w:lang w:eastAsia="ko-KR"/>
        </w:rPr>
        <w:t xml:space="preserve"> otherwise available to the</w:t>
      </w:r>
      <w:r w:rsidR="00CA76A6">
        <w:rPr>
          <w:lang w:eastAsia="ko-KR"/>
        </w:rPr>
        <w:t xml:space="preserve">m. </w:t>
      </w:r>
    </w:p>
    <w:p w14:paraId="58DA4E7E" w14:textId="4A022AF0" w:rsidR="008E4C9A" w:rsidRDefault="008E4C9A" w:rsidP="003C02BC">
      <w:pPr>
        <w:pStyle w:val="Heading2"/>
        <w:spacing w:before="240"/>
      </w:pPr>
      <w:r>
        <w:t>Exiting the service</w:t>
      </w:r>
    </w:p>
    <w:p w14:paraId="34D79535" w14:textId="06289F13" w:rsidR="00E358BA" w:rsidRPr="00E358BA" w:rsidRDefault="00E358BA" w:rsidP="00E358BA">
      <w:pPr>
        <w:rPr>
          <w:color w:val="000000" w:themeColor="text1"/>
          <w:lang w:eastAsia="ko-KR"/>
        </w:rPr>
      </w:pPr>
      <w:r w:rsidRPr="00E358BA">
        <w:rPr>
          <w:color w:val="000000" w:themeColor="text1"/>
          <w:lang w:eastAsia="ko-KR"/>
        </w:rPr>
        <w:t xml:space="preserve">The Person may choose to exit Choice in Community Living, or ask to be </w:t>
      </w:r>
      <w:r w:rsidR="005F71E2">
        <w:rPr>
          <w:color w:val="000000" w:themeColor="text1"/>
          <w:lang w:eastAsia="ko-KR"/>
        </w:rPr>
        <w:t>supported by another Provider</w:t>
      </w:r>
      <w:r w:rsidR="007C2CA4">
        <w:rPr>
          <w:color w:val="000000" w:themeColor="text1"/>
          <w:lang w:eastAsia="ko-KR"/>
        </w:rPr>
        <w:t>.  In the event the Person chooses to leave</w:t>
      </w:r>
      <w:r w:rsidRPr="00E358BA">
        <w:rPr>
          <w:color w:val="000000" w:themeColor="text1"/>
          <w:lang w:eastAsia="ko-KR"/>
        </w:rPr>
        <w:t xml:space="preserve"> Choice </w:t>
      </w:r>
      <w:r w:rsidR="007C2CA4">
        <w:rPr>
          <w:color w:val="000000" w:themeColor="text1"/>
          <w:lang w:eastAsia="ko-KR"/>
        </w:rPr>
        <w:t>in Community Living or changes</w:t>
      </w:r>
      <w:r w:rsidR="00583054">
        <w:rPr>
          <w:color w:val="000000" w:themeColor="text1"/>
          <w:lang w:eastAsia="ko-KR"/>
        </w:rPr>
        <w:t xml:space="preserve"> P</w:t>
      </w:r>
      <w:r w:rsidRPr="00E358BA">
        <w:rPr>
          <w:color w:val="000000" w:themeColor="text1"/>
          <w:lang w:eastAsia="ko-KR"/>
        </w:rPr>
        <w:t>roviders,</w:t>
      </w:r>
      <w:r w:rsidR="007C2CA4">
        <w:rPr>
          <w:color w:val="000000" w:themeColor="text1"/>
          <w:lang w:eastAsia="ko-KR"/>
        </w:rPr>
        <w:t xml:space="preserve"> their NASC must</w:t>
      </w:r>
      <w:r w:rsidRPr="00E358BA">
        <w:rPr>
          <w:color w:val="000000" w:themeColor="text1"/>
          <w:lang w:eastAsia="ko-KR"/>
        </w:rPr>
        <w:t xml:space="preserve"> be advised</w:t>
      </w:r>
      <w:r w:rsidR="007C2CA4">
        <w:rPr>
          <w:color w:val="000000" w:themeColor="text1"/>
          <w:lang w:eastAsia="ko-KR"/>
        </w:rPr>
        <w:t xml:space="preserve">. The NASC must </w:t>
      </w:r>
      <w:r w:rsidR="00583054">
        <w:rPr>
          <w:color w:val="000000" w:themeColor="text1"/>
          <w:lang w:eastAsia="ko-KR"/>
        </w:rPr>
        <w:t>agree to the exit before the P</w:t>
      </w:r>
      <w:r w:rsidRPr="00E358BA">
        <w:rPr>
          <w:color w:val="000000" w:themeColor="text1"/>
          <w:lang w:eastAsia="ko-KR"/>
        </w:rPr>
        <w:t xml:space="preserve">rovider stops supporting the </w:t>
      </w:r>
      <w:r w:rsidR="00AA02A8">
        <w:rPr>
          <w:color w:val="000000" w:themeColor="text1"/>
          <w:lang w:eastAsia="ko-KR"/>
        </w:rPr>
        <w:t>person.  This is to ensure the P</w:t>
      </w:r>
      <w:r w:rsidRPr="00E358BA">
        <w:rPr>
          <w:color w:val="000000" w:themeColor="text1"/>
          <w:lang w:eastAsia="ko-KR"/>
        </w:rPr>
        <w:t>erson’s decisions are being respected and that an appropriate transition plan ha</w:t>
      </w:r>
      <w:r w:rsidR="00583054">
        <w:rPr>
          <w:color w:val="000000" w:themeColor="text1"/>
          <w:lang w:eastAsia="ko-KR"/>
        </w:rPr>
        <w:t>s been put in place before the P</w:t>
      </w:r>
      <w:r w:rsidRPr="00E358BA">
        <w:rPr>
          <w:color w:val="000000" w:themeColor="text1"/>
          <w:lang w:eastAsia="ko-KR"/>
        </w:rPr>
        <w:t>rovid</w:t>
      </w:r>
      <w:r w:rsidR="00AA02A8">
        <w:rPr>
          <w:color w:val="000000" w:themeColor="text1"/>
          <w:lang w:eastAsia="ko-KR"/>
        </w:rPr>
        <w:t>er stops supporting the P</w:t>
      </w:r>
      <w:r w:rsidRPr="00E358BA">
        <w:rPr>
          <w:color w:val="000000" w:themeColor="text1"/>
          <w:lang w:eastAsia="ko-KR"/>
        </w:rPr>
        <w:t>erson.</w:t>
      </w:r>
    </w:p>
    <w:p w14:paraId="562267A0" w14:textId="2B46B809" w:rsidR="00E358BA" w:rsidRDefault="00D00E70" w:rsidP="00FB1064">
      <w:pPr>
        <w:pStyle w:val="Heading3"/>
        <w:spacing w:before="240" w:after="120"/>
        <w:ind w:left="709" w:hanging="709"/>
        <w:rPr>
          <w:b w:val="0"/>
          <w:i/>
        </w:rPr>
      </w:pPr>
      <w:r>
        <w:rPr>
          <w:b w:val="0"/>
          <w:i/>
        </w:rPr>
        <w:t>Wash up on exit</w:t>
      </w:r>
    </w:p>
    <w:p w14:paraId="6DE0262A" w14:textId="0E11AD60" w:rsidR="00D00E70" w:rsidRDefault="00D00E70" w:rsidP="00D00E70">
      <w:pPr>
        <w:jc w:val="both"/>
      </w:pPr>
      <w:r>
        <w:t>If the Person exits the Provider, the Provider will need to put in place a wash-up payment process that takes into account any funding that the Provider or Person holds or has accrued that has not been spent such as for leave and tax/levy obligations.</w:t>
      </w:r>
    </w:p>
    <w:p w14:paraId="530F0DCE" w14:textId="30CDB978" w:rsidR="00D00E70" w:rsidRPr="00D00E70" w:rsidRDefault="00D00E70" w:rsidP="00D00E70">
      <w:pPr>
        <w:jc w:val="both"/>
      </w:pPr>
      <w:r>
        <w:t>Unspe</w:t>
      </w:r>
      <w:r w:rsidR="00C046D3">
        <w:t>n</w:t>
      </w:r>
      <w:r>
        <w:t>t funding that the Provider or Person holds that is not accrued for supports delivered or purchased must be refunded to the Ministry. This can be done through the regular invoicing process.</w:t>
      </w:r>
    </w:p>
    <w:p w14:paraId="21232034" w14:textId="4FAB677F" w:rsidR="008E4C9A" w:rsidRDefault="008E4C9A" w:rsidP="003C02BC">
      <w:pPr>
        <w:pStyle w:val="Heading2"/>
        <w:spacing w:before="240"/>
      </w:pPr>
      <w:r>
        <w:t>Lin</w:t>
      </w:r>
      <w:r w:rsidR="00F62D67">
        <w:t>kages / Roles</w:t>
      </w:r>
    </w:p>
    <w:p w14:paraId="5B86D0A3" w14:textId="66B5EB05" w:rsidR="00B334CD" w:rsidRDefault="00B334CD" w:rsidP="00FB1064">
      <w:pPr>
        <w:pStyle w:val="Heading3"/>
        <w:spacing w:before="240" w:after="120"/>
        <w:ind w:left="709" w:hanging="709"/>
        <w:rPr>
          <w:b w:val="0"/>
          <w:i/>
        </w:rPr>
      </w:pPr>
      <w:r>
        <w:rPr>
          <w:b w:val="0"/>
          <w:i/>
        </w:rPr>
        <w:t>The Person</w:t>
      </w:r>
      <w:r w:rsidR="00B70A49">
        <w:rPr>
          <w:b w:val="0"/>
          <w:i/>
        </w:rPr>
        <w:t>’s role</w:t>
      </w:r>
    </w:p>
    <w:p w14:paraId="2C6E110F" w14:textId="251B4970" w:rsidR="000D0B4B" w:rsidRDefault="00980A6D" w:rsidP="00980A6D">
      <w:pPr>
        <w:jc w:val="both"/>
      </w:pPr>
      <w:r>
        <w:t>The Person may be supported by a nominated representative/advocate, family/whanau member, their NASC</w:t>
      </w:r>
      <w:r w:rsidR="00057C02">
        <w:t>, an Independent Facilitator</w:t>
      </w:r>
      <w:r>
        <w:t xml:space="preserve"> or even the Provider to fulfil their role under this specification </w:t>
      </w:r>
      <w:r w:rsidR="000D0B4B">
        <w:t>provided that supported decision making principles</w:t>
      </w:r>
      <w:r w:rsidRPr="001E23AC">
        <w:t xml:space="preserve"> </w:t>
      </w:r>
      <w:r w:rsidR="000D0B4B">
        <w:t xml:space="preserve">are adhered to when this support is provided and </w:t>
      </w:r>
      <w:r w:rsidRPr="001E23AC">
        <w:t>any conflict of int</w:t>
      </w:r>
      <w:r>
        <w:t>erest is managed appropriately.</w:t>
      </w:r>
    </w:p>
    <w:p w14:paraId="40E95965" w14:textId="13407668" w:rsidR="00980A6D" w:rsidRPr="00E208B3" w:rsidRDefault="000D0B4B" w:rsidP="00E208B3">
      <w:pPr>
        <w:pStyle w:val="Heading3"/>
        <w:spacing w:before="240" w:after="120"/>
        <w:ind w:left="709" w:hanging="709"/>
        <w:rPr>
          <w:b w:val="0"/>
          <w:i/>
        </w:rPr>
      </w:pPr>
      <w:r w:rsidRPr="00E208B3">
        <w:rPr>
          <w:b w:val="0"/>
          <w:i/>
        </w:rPr>
        <w:t>The Person’s role is</w:t>
      </w:r>
      <w:r w:rsidR="00980A6D" w:rsidRPr="00E208B3">
        <w:rPr>
          <w:b w:val="0"/>
          <w:i/>
        </w:rPr>
        <w:t xml:space="preserve"> to:</w:t>
      </w:r>
    </w:p>
    <w:p w14:paraId="531758F3" w14:textId="7D32630D" w:rsidR="00980A6D" w:rsidRPr="001E23AC" w:rsidRDefault="000D0B4B" w:rsidP="00820C91">
      <w:pPr>
        <w:pStyle w:val="ListParagraph"/>
        <w:numPr>
          <w:ilvl w:val="0"/>
          <w:numId w:val="6"/>
        </w:numPr>
        <w:spacing w:after="120"/>
        <w:ind w:left="788" w:hanging="357"/>
        <w:contextualSpacing w:val="0"/>
      </w:pPr>
      <w:r>
        <w:t>develop</w:t>
      </w:r>
      <w:r w:rsidR="002E4BF6">
        <w:t xml:space="preserve"> and review</w:t>
      </w:r>
      <w:r>
        <w:t xml:space="preserve"> the Support A</w:t>
      </w:r>
      <w:r w:rsidRPr="001E23AC">
        <w:t>greement</w:t>
      </w:r>
      <w:r>
        <w:t xml:space="preserve"> along with the Provider </w:t>
      </w:r>
    </w:p>
    <w:p w14:paraId="41BC3346" w14:textId="471C8A68" w:rsidR="00980A6D" w:rsidRPr="001E23AC" w:rsidRDefault="000D0B4B" w:rsidP="00820C91">
      <w:pPr>
        <w:pStyle w:val="ListParagraph"/>
        <w:numPr>
          <w:ilvl w:val="0"/>
          <w:numId w:val="6"/>
        </w:numPr>
        <w:spacing w:after="120"/>
        <w:ind w:left="788" w:hanging="357"/>
        <w:contextualSpacing w:val="0"/>
      </w:pPr>
      <w:r>
        <w:lastRenderedPageBreak/>
        <w:t>m</w:t>
      </w:r>
      <w:r w:rsidR="00980A6D" w:rsidRPr="001E23AC">
        <w:t>ake day</w:t>
      </w:r>
      <w:r w:rsidR="00980A6D">
        <w:t>-</w:t>
      </w:r>
      <w:r w:rsidR="00980A6D" w:rsidRPr="001E23AC">
        <w:t xml:space="preserve"> to</w:t>
      </w:r>
      <w:r w:rsidR="00980A6D">
        <w:t>-</w:t>
      </w:r>
      <w:r>
        <w:t xml:space="preserve"> day decisions about how the documented</w:t>
      </w:r>
      <w:r w:rsidR="00980A6D" w:rsidRPr="001E23AC">
        <w:t xml:space="preserve"> support</w:t>
      </w:r>
      <w:r>
        <w:t xml:space="preserve"> in the Support Agreement</w:t>
      </w:r>
      <w:r w:rsidR="00980A6D" w:rsidRPr="001E23AC">
        <w:t xml:space="preserve"> is provided</w:t>
      </w:r>
    </w:p>
    <w:p w14:paraId="6C07EBD4" w14:textId="77777777" w:rsidR="00980A6D" w:rsidRDefault="00980A6D" w:rsidP="00820C91">
      <w:pPr>
        <w:pStyle w:val="ListParagraph"/>
        <w:numPr>
          <w:ilvl w:val="0"/>
          <w:numId w:val="6"/>
        </w:numPr>
        <w:spacing w:after="120"/>
        <w:ind w:left="788" w:hanging="357"/>
        <w:contextualSpacing w:val="0"/>
      </w:pPr>
      <w:r w:rsidRPr="001E23AC">
        <w:t>lead/direct a regular review of their support arrangements</w:t>
      </w:r>
      <w:r w:rsidRPr="00D30D55">
        <w:t xml:space="preserve"> </w:t>
      </w:r>
    </w:p>
    <w:p w14:paraId="06EF1756" w14:textId="06EBDD51" w:rsidR="00980A6D" w:rsidRDefault="00980A6D" w:rsidP="00820C91">
      <w:pPr>
        <w:pStyle w:val="ListParagraph"/>
        <w:numPr>
          <w:ilvl w:val="0"/>
          <w:numId w:val="6"/>
        </w:numPr>
        <w:spacing w:after="120"/>
        <w:ind w:left="788" w:hanging="357"/>
        <w:contextualSpacing w:val="0"/>
      </w:pPr>
      <w:r w:rsidRPr="00D30D55">
        <w:t>ensure that th</w:t>
      </w:r>
      <w:r w:rsidR="002E4BF6">
        <w:t>e support purchased/received meets the</w:t>
      </w:r>
      <w:r w:rsidRPr="00D30D55">
        <w:t xml:space="preserve"> outcomes identified in their </w:t>
      </w:r>
      <w:r w:rsidR="002E4BF6">
        <w:t xml:space="preserve">Support </w:t>
      </w:r>
      <w:r w:rsidRPr="00D30D55">
        <w:t>plan</w:t>
      </w:r>
    </w:p>
    <w:p w14:paraId="1D5EE056" w14:textId="51630214" w:rsidR="00980A6D" w:rsidRDefault="00980A6D" w:rsidP="00820C91">
      <w:pPr>
        <w:pStyle w:val="ListParagraph"/>
        <w:numPr>
          <w:ilvl w:val="0"/>
          <w:numId w:val="6"/>
        </w:numPr>
        <w:spacing w:after="120"/>
        <w:ind w:left="788" w:hanging="357"/>
        <w:contextualSpacing w:val="0"/>
      </w:pPr>
      <w:r w:rsidRPr="001E23AC">
        <w:t xml:space="preserve">manage their own home and living arrangements including tenancy (if </w:t>
      </w:r>
      <w:r w:rsidR="002E4BF6">
        <w:t>they are renting)</w:t>
      </w:r>
    </w:p>
    <w:p w14:paraId="5BD10F85" w14:textId="5E53A04A" w:rsidR="00980A6D" w:rsidRPr="001E23AC" w:rsidRDefault="00980A6D" w:rsidP="00820C91">
      <w:pPr>
        <w:pStyle w:val="ListParagraph"/>
        <w:numPr>
          <w:ilvl w:val="0"/>
          <w:numId w:val="6"/>
        </w:numPr>
        <w:spacing w:after="120"/>
        <w:ind w:left="788" w:hanging="357"/>
        <w:contextualSpacing w:val="0"/>
      </w:pPr>
      <w:r>
        <w:t>manage the support options they access in the community</w:t>
      </w:r>
    </w:p>
    <w:p w14:paraId="7E4D37B5" w14:textId="2E6AF889" w:rsidR="00980A6D" w:rsidRPr="001E23AC" w:rsidRDefault="00980A6D" w:rsidP="00820C91">
      <w:pPr>
        <w:pStyle w:val="ListParagraph"/>
        <w:numPr>
          <w:ilvl w:val="0"/>
          <w:numId w:val="6"/>
        </w:numPr>
        <w:spacing w:after="120"/>
        <w:ind w:left="788" w:hanging="357"/>
        <w:contextualSpacing w:val="0"/>
      </w:pPr>
      <w:r w:rsidRPr="001E23AC">
        <w:t xml:space="preserve">manage everyday costs of </w:t>
      </w:r>
      <w:r w:rsidR="002E4BF6">
        <w:t xml:space="preserve">their </w:t>
      </w:r>
      <w:r w:rsidRPr="001E23AC">
        <w:t>daily living</w:t>
      </w:r>
    </w:p>
    <w:p w14:paraId="735F0526" w14:textId="66E78889" w:rsidR="00980A6D" w:rsidRDefault="00980A6D" w:rsidP="00820C91">
      <w:pPr>
        <w:pStyle w:val="ListParagraph"/>
        <w:numPr>
          <w:ilvl w:val="0"/>
          <w:numId w:val="6"/>
        </w:numPr>
        <w:spacing w:after="120"/>
        <w:ind w:left="788" w:hanging="357"/>
        <w:contextualSpacing w:val="0"/>
      </w:pPr>
      <w:r>
        <w:t xml:space="preserve">raise any concerns/complaints they may have with the service being provided </w:t>
      </w:r>
      <w:r w:rsidR="00842D24">
        <w:t>with either the provider or the NASC</w:t>
      </w:r>
    </w:p>
    <w:p w14:paraId="584ADF40" w14:textId="69EEEC29" w:rsidR="00980A6D" w:rsidRDefault="00D00E70" w:rsidP="00820C91">
      <w:pPr>
        <w:pStyle w:val="ListParagraph"/>
        <w:numPr>
          <w:ilvl w:val="0"/>
          <w:numId w:val="6"/>
        </w:numPr>
        <w:spacing w:after="120"/>
        <w:ind w:left="788" w:hanging="357"/>
        <w:contextualSpacing w:val="0"/>
      </w:pPr>
      <w:r>
        <w:t xml:space="preserve">If Direct fund holding, </w:t>
      </w:r>
      <w:r w:rsidR="002E4BF6">
        <w:t>record</w:t>
      </w:r>
      <w:r w:rsidR="00980A6D">
        <w:t xml:space="preserve"> and make available all necessary documentation to support expenditures related to the</w:t>
      </w:r>
      <w:r w:rsidR="002E4BF6">
        <w:t>ir</w:t>
      </w:r>
      <w:r w:rsidR="00980A6D">
        <w:t xml:space="preserve"> Personal Budget</w:t>
      </w:r>
      <w:r w:rsidR="00980A6D" w:rsidRPr="001E23AC">
        <w:t xml:space="preserve">.  </w:t>
      </w:r>
    </w:p>
    <w:p w14:paraId="5723B0C9" w14:textId="5E241F2B" w:rsidR="00980A6D" w:rsidRPr="00B70A49" w:rsidRDefault="00980A6D" w:rsidP="00E208B3">
      <w:pPr>
        <w:pStyle w:val="Heading3"/>
        <w:spacing w:before="240" w:after="120"/>
        <w:ind w:left="709" w:hanging="709"/>
        <w:rPr>
          <w:b w:val="0"/>
          <w:i/>
        </w:rPr>
      </w:pPr>
      <w:r w:rsidRPr="00B70A49">
        <w:rPr>
          <w:b w:val="0"/>
          <w:i/>
        </w:rPr>
        <w:t xml:space="preserve">The </w:t>
      </w:r>
      <w:r w:rsidR="00B70A49" w:rsidRPr="00B70A49">
        <w:rPr>
          <w:b w:val="0"/>
          <w:i/>
        </w:rPr>
        <w:t xml:space="preserve">Provider’s </w:t>
      </w:r>
      <w:r w:rsidRPr="00B70A49">
        <w:rPr>
          <w:b w:val="0"/>
          <w:i/>
        </w:rPr>
        <w:t>role is to:</w:t>
      </w:r>
    </w:p>
    <w:p w14:paraId="0F41F97F" w14:textId="6BE36D38" w:rsidR="00980A6D" w:rsidRDefault="002E4BF6" w:rsidP="00820C91">
      <w:pPr>
        <w:pStyle w:val="ListParagraph"/>
        <w:numPr>
          <w:ilvl w:val="0"/>
          <w:numId w:val="6"/>
        </w:numPr>
        <w:spacing w:after="120"/>
        <w:ind w:left="788" w:hanging="357"/>
        <w:contextualSpacing w:val="0"/>
      </w:pPr>
      <w:r>
        <w:t>develop and review the Support Agreement along with the Person (and where requested) other stakeholders the Person requests.</w:t>
      </w:r>
    </w:p>
    <w:p w14:paraId="39E434FD" w14:textId="07C5909D" w:rsidR="00980A6D" w:rsidRPr="001E23AC" w:rsidRDefault="00B70A49" w:rsidP="00820C91">
      <w:pPr>
        <w:pStyle w:val="ListParagraph"/>
        <w:numPr>
          <w:ilvl w:val="0"/>
          <w:numId w:val="6"/>
        </w:numPr>
        <w:spacing w:after="120"/>
        <w:ind w:left="788" w:hanging="357"/>
        <w:contextualSpacing w:val="0"/>
      </w:pPr>
      <w:r>
        <w:t>purchase</w:t>
      </w:r>
      <w:r w:rsidR="00980A6D" w:rsidRPr="001E23AC">
        <w:t>, provide and</w:t>
      </w:r>
      <w:r>
        <w:t>/or</w:t>
      </w:r>
      <w:r w:rsidR="00980A6D" w:rsidRPr="001E23AC">
        <w:t xml:space="preserve"> organise support according to the </w:t>
      </w:r>
      <w:r w:rsidR="00980A6D">
        <w:t>Person</w:t>
      </w:r>
      <w:r w:rsidR="00980A6D" w:rsidRPr="001E23AC">
        <w:t xml:space="preserve">’s </w:t>
      </w:r>
      <w:r w:rsidR="00980A6D">
        <w:t>Support</w:t>
      </w:r>
      <w:r>
        <w:t xml:space="preserve"> plan and the Support</w:t>
      </w:r>
      <w:r w:rsidR="00980A6D">
        <w:t xml:space="preserve"> Agreement</w:t>
      </w:r>
    </w:p>
    <w:p w14:paraId="02D19219" w14:textId="77777777" w:rsidR="00980A6D" w:rsidRPr="001E23AC" w:rsidRDefault="00980A6D" w:rsidP="00820C91">
      <w:pPr>
        <w:pStyle w:val="ListParagraph"/>
        <w:numPr>
          <w:ilvl w:val="0"/>
          <w:numId w:val="6"/>
        </w:numPr>
        <w:spacing w:after="120"/>
        <w:ind w:left="788" w:hanging="357"/>
        <w:contextualSpacing w:val="0"/>
      </w:pPr>
      <w:r w:rsidRPr="001E23AC">
        <w:t>where requested</w:t>
      </w:r>
      <w:r>
        <w:t>,</w:t>
      </w:r>
      <w:r w:rsidRPr="001E23AC">
        <w:t xml:space="preserve"> support the </w:t>
      </w:r>
      <w:r>
        <w:t>Person to:</w:t>
      </w:r>
      <w:r w:rsidRPr="001E23AC">
        <w:t xml:space="preserve"> </w:t>
      </w:r>
    </w:p>
    <w:p w14:paraId="3CDE87CC" w14:textId="77777777" w:rsidR="00980A6D" w:rsidRPr="001E23AC" w:rsidRDefault="00980A6D" w:rsidP="00820C91">
      <w:pPr>
        <w:numPr>
          <w:ilvl w:val="1"/>
          <w:numId w:val="7"/>
        </w:numPr>
        <w:spacing w:after="0"/>
        <w:ind w:left="1276" w:hanging="142"/>
        <w:jc w:val="both"/>
      </w:pPr>
      <w:r w:rsidRPr="001E23AC">
        <w:t>find a home</w:t>
      </w:r>
    </w:p>
    <w:p w14:paraId="400C783A" w14:textId="77777777" w:rsidR="00980A6D" w:rsidRDefault="00980A6D" w:rsidP="00820C91">
      <w:pPr>
        <w:numPr>
          <w:ilvl w:val="1"/>
          <w:numId w:val="7"/>
        </w:numPr>
        <w:spacing w:after="0"/>
        <w:ind w:left="1418" w:hanging="284"/>
        <w:jc w:val="both"/>
      </w:pPr>
      <w:r w:rsidRPr="001E23AC">
        <w:t>develop the skills and supports required to maintain a tenancy (or a different</w:t>
      </w:r>
      <w:r>
        <w:t xml:space="preserve"> </w:t>
      </w:r>
      <w:r w:rsidRPr="001E23AC">
        <w:t>form of occupancy arrangement as appropriate</w:t>
      </w:r>
      <w:r>
        <w:t>)</w:t>
      </w:r>
    </w:p>
    <w:p w14:paraId="396D0EC1" w14:textId="77777777" w:rsidR="00980A6D" w:rsidRDefault="00980A6D" w:rsidP="00820C91">
      <w:pPr>
        <w:numPr>
          <w:ilvl w:val="1"/>
          <w:numId w:val="7"/>
        </w:numPr>
        <w:spacing w:after="0"/>
        <w:ind w:left="1276" w:hanging="142"/>
        <w:jc w:val="both"/>
      </w:pPr>
      <w:r w:rsidRPr="001E23AC">
        <w:t>manage everyday costs</w:t>
      </w:r>
    </w:p>
    <w:p w14:paraId="27DBD91B" w14:textId="77777777" w:rsidR="00980A6D" w:rsidRDefault="00980A6D" w:rsidP="00820C91">
      <w:pPr>
        <w:numPr>
          <w:ilvl w:val="1"/>
          <w:numId w:val="7"/>
        </w:numPr>
        <w:spacing w:after="0"/>
        <w:ind w:left="1276" w:hanging="142"/>
        <w:jc w:val="both"/>
      </w:pPr>
      <w:r>
        <w:t>manage support options they access in the community</w:t>
      </w:r>
    </w:p>
    <w:p w14:paraId="3824B63A" w14:textId="77777777" w:rsidR="00980A6D" w:rsidRDefault="00980A6D" w:rsidP="00820C91">
      <w:pPr>
        <w:numPr>
          <w:ilvl w:val="1"/>
          <w:numId w:val="7"/>
        </w:numPr>
        <w:spacing w:after="0"/>
        <w:ind w:left="1418" w:hanging="284"/>
        <w:jc w:val="both"/>
      </w:pPr>
      <w:r w:rsidRPr="00D30D55">
        <w:t>ensure that the support purchased/received is the most cost effective and</w:t>
      </w:r>
      <w:r>
        <w:t xml:space="preserve"> </w:t>
      </w:r>
      <w:r w:rsidRPr="00D30D55">
        <w:t>relevant way to support the</w:t>
      </w:r>
      <w:r>
        <w:t xml:space="preserve"> Person</w:t>
      </w:r>
      <w:r w:rsidRPr="00D30D55">
        <w:t xml:space="preserve"> to achieve outcomes identified in their plan</w:t>
      </w:r>
    </w:p>
    <w:p w14:paraId="736FAB9B" w14:textId="77777777" w:rsidR="00980A6D" w:rsidRPr="001E23AC" w:rsidRDefault="00980A6D" w:rsidP="00820C91">
      <w:pPr>
        <w:pStyle w:val="ListParagraph"/>
        <w:numPr>
          <w:ilvl w:val="0"/>
          <w:numId w:val="6"/>
        </w:numPr>
        <w:spacing w:after="120"/>
        <w:ind w:left="788" w:hanging="357"/>
        <w:contextualSpacing w:val="0"/>
      </w:pPr>
      <w:r w:rsidRPr="001E23AC">
        <w:t xml:space="preserve">support the </w:t>
      </w:r>
      <w:r>
        <w:t>P</w:t>
      </w:r>
      <w:r w:rsidRPr="001E23AC">
        <w:t>erson to access any form of income assistance they may be eligible for</w:t>
      </w:r>
    </w:p>
    <w:p w14:paraId="1E173FAA" w14:textId="77777777" w:rsidR="00980A6D" w:rsidRPr="001E23AC" w:rsidRDefault="00980A6D" w:rsidP="00820C91">
      <w:pPr>
        <w:pStyle w:val="ListParagraph"/>
        <w:numPr>
          <w:ilvl w:val="0"/>
          <w:numId w:val="6"/>
        </w:numPr>
        <w:spacing w:after="120"/>
        <w:ind w:left="788" w:hanging="357"/>
        <w:contextualSpacing w:val="0"/>
      </w:pPr>
      <w:r w:rsidRPr="001E23AC">
        <w:t xml:space="preserve">support the </w:t>
      </w:r>
      <w:r>
        <w:t>Person</w:t>
      </w:r>
      <w:r w:rsidRPr="001E23AC">
        <w:t xml:space="preserve"> to initiate a regular </w:t>
      </w:r>
      <w:r>
        <w:t>Person</w:t>
      </w:r>
      <w:r w:rsidRPr="001E23AC">
        <w:t xml:space="preserve">-directed monitoring process to ensure the </w:t>
      </w:r>
      <w:r>
        <w:t>Support A</w:t>
      </w:r>
      <w:r w:rsidRPr="001E23AC">
        <w:t xml:space="preserve">greement </w:t>
      </w:r>
      <w:r>
        <w:t>is</w:t>
      </w:r>
      <w:r w:rsidRPr="001E23AC">
        <w:t xml:space="preserve"> reviewed and revised regularly</w:t>
      </w:r>
    </w:p>
    <w:p w14:paraId="7CF21507" w14:textId="77777777" w:rsidR="00980A6D" w:rsidRPr="001E23AC" w:rsidRDefault="00980A6D" w:rsidP="00820C91">
      <w:pPr>
        <w:pStyle w:val="ListParagraph"/>
        <w:numPr>
          <w:ilvl w:val="0"/>
          <w:numId w:val="6"/>
        </w:numPr>
        <w:spacing w:after="120"/>
        <w:ind w:left="788" w:hanging="357"/>
        <w:contextualSpacing w:val="0"/>
      </w:pPr>
      <w:r w:rsidRPr="001E23AC">
        <w:t xml:space="preserve">work with the </w:t>
      </w:r>
      <w:r>
        <w:t>Person</w:t>
      </w:r>
      <w:r w:rsidRPr="001E23AC">
        <w:t xml:space="preserve"> to develop a contingency process in case the support arrangement (or aspects of it) don’t work </w:t>
      </w:r>
      <w:r>
        <w:t>as planned</w:t>
      </w:r>
    </w:p>
    <w:p w14:paraId="6E1D9730" w14:textId="77777777" w:rsidR="00980A6D" w:rsidRPr="001E23AC" w:rsidRDefault="00980A6D" w:rsidP="00820C91">
      <w:pPr>
        <w:pStyle w:val="ListParagraph"/>
        <w:numPr>
          <w:ilvl w:val="0"/>
          <w:numId w:val="6"/>
        </w:numPr>
        <w:spacing w:after="120"/>
        <w:ind w:left="788" w:hanging="357"/>
        <w:contextualSpacing w:val="0"/>
      </w:pPr>
      <w:r w:rsidRPr="001E23AC">
        <w:t xml:space="preserve">report to the Ministry and the relevant </w:t>
      </w:r>
      <w:r>
        <w:t>NASC</w:t>
      </w:r>
      <w:r w:rsidRPr="001E23AC">
        <w:t xml:space="preserve"> on the outcomes achieved against the </w:t>
      </w:r>
      <w:r>
        <w:t>Support Plan at the Person’s review date.</w:t>
      </w:r>
    </w:p>
    <w:p w14:paraId="003E1124" w14:textId="77777777" w:rsidR="00980A6D" w:rsidRDefault="00980A6D" w:rsidP="00820C91">
      <w:pPr>
        <w:pStyle w:val="ListParagraph"/>
        <w:numPr>
          <w:ilvl w:val="0"/>
          <w:numId w:val="6"/>
        </w:numPr>
        <w:spacing w:after="120"/>
        <w:ind w:left="788" w:hanging="357"/>
        <w:contextualSpacing w:val="0"/>
      </w:pPr>
      <w:r w:rsidRPr="001E23AC">
        <w:t>participate in an</w:t>
      </w:r>
      <w:r>
        <w:t>y</w:t>
      </w:r>
      <w:r w:rsidRPr="001E23AC">
        <w:t xml:space="preserve"> evaluation of </w:t>
      </w:r>
      <w:r>
        <w:t>Choice in Community Living</w:t>
      </w:r>
      <w:r w:rsidRPr="001E23AC">
        <w:t xml:space="preserve"> commissioned by </w:t>
      </w:r>
      <w:r>
        <w:t>the Ministry</w:t>
      </w:r>
    </w:p>
    <w:p w14:paraId="50C13EF3" w14:textId="0E740885" w:rsidR="00980A6D" w:rsidRPr="001E23AC" w:rsidRDefault="00057C02" w:rsidP="00820C91">
      <w:pPr>
        <w:pStyle w:val="ListParagraph"/>
        <w:numPr>
          <w:ilvl w:val="0"/>
          <w:numId w:val="6"/>
        </w:numPr>
        <w:spacing w:after="120"/>
        <w:ind w:left="788" w:hanging="357"/>
        <w:contextualSpacing w:val="0"/>
      </w:pPr>
      <w:r>
        <w:t>en</w:t>
      </w:r>
      <w:r w:rsidR="00980A6D">
        <w:t>sure that expenditure of the Personal Budget</w:t>
      </w:r>
      <w:r>
        <w:t xml:space="preserve"> complies with the purchasing guidelines and</w:t>
      </w:r>
      <w:r w:rsidR="00980A6D">
        <w:t xml:space="preserve"> </w:t>
      </w:r>
      <w:r w:rsidR="005F18D3">
        <w:t>meets the requirements of the Support</w:t>
      </w:r>
      <w:r w:rsidR="00980A6D">
        <w:t xml:space="preserve"> Agreement.</w:t>
      </w:r>
    </w:p>
    <w:p w14:paraId="4B47CAA1" w14:textId="77777777" w:rsidR="00980A6D" w:rsidRPr="00B70A49" w:rsidRDefault="00980A6D" w:rsidP="00E208B3">
      <w:pPr>
        <w:pStyle w:val="Heading3"/>
        <w:spacing w:before="240" w:after="120"/>
        <w:ind w:left="709" w:hanging="709"/>
        <w:rPr>
          <w:b w:val="0"/>
          <w:i/>
        </w:rPr>
      </w:pPr>
      <w:r w:rsidRPr="00B70A49">
        <w:rPr>
          <w:b w:val="0"/>
          <w:i/>
        </w:rPr>
        <w:lastRenderedPageBreak/>
        <w:t>The family and whānau</w:t>
      </w:r>
    </w:p>
    <w:p w14:paraId="1C3563AC" w14:textId="77777777" w:rsidR="00980A6D" w:rsidRPr="001E23AC" w:rsidRDefault="00980A6D" w:rsidP="000D0B4B">
      <w:pPr>
        <w:spacing w:after="0"/>
        <w:jc w:val="both"/>
      </w:pPr>
      <w:r>
        <w:t>The</w:t>
      </w:r>
      <w:r w:rsidRPr="001E23AC">
        <w:t xml:space="preserve"> </w:t>
      </w:r>
      <w:r>
        <w:t>Person</w:t>
      </w:r>
      <w:r w:rsidRPr="001E23AC">
        <w:t xml:space="preserve"> will decide how much of a role their family and </w:t>
      </w:r>
      <w:r>
        <w:t>whānau</w:t>
      </w:r>
      <w:r w:rsidRPr="001E23AC">
        <w:t xml:space="preserve"> have in their life and in their support arrangements. The </w:t>
      </w:r>
      <w:r>
        <w:t>Person</w:t>
      </w:r>
      <w:r w:rsidRPr="001E23AC">
        <w:t xml:space="preserve">’s family and </w:t>
      </w:r>
      <w:r>
        <w:t>whānau</w:t>
      </w:r>
      <w:r w:rsidRPr="001E23AC">
        <w:t xml:space="preserve"> may be involved in:</w:t>
      </w:r>
    </w:p>
    <w:p w14:paraId="473D8783" w14:textId="43C32F50" w:rsidR="00980A6D" w:rsidRPr="001E23AC" w:rsidRDefault="00980A6D" w:rsidP="00820C91">
      <w:pPr>
        <w:pStyle w:val="ListParagraph"/>
        <w:numPr>
          <w:ilvl w:val="0"/>
          <w:numId w:val="6"/>
        </w:numPr>
        <w:spacing w:after="120"/>
        <w:ind w:left="788" w:hanging="357"/>
        <w:contextualSpacing w:val="0"/>
      </w:pPr>
      <w:r w:rsidRPr="001E23AC">
        <w:t>assist</w:t>
      </w:r>
      <w:r w:rsidR="00743A93">
        <w:t>ing</w:t>
      </w:r>
      <w:r w:rsidRPr="001E23AC">
        <w:t xml:space="preserve"> the </w:t>
      </w:r>
      <w:r>
        <w:t>Person</w:t>
      </w:r>
      <w:r w:rsidRPr="001E23AC">
        <w:t xml:space="preserve"> to have a good life through ongoing, every day support</w:t>
      </w:r>
    </w:p>
    <w:p w14:paraId="1E84981D" w14:textId="316F8219" w:rsidR="00980A6D" w:rsidRPr="001E23AC" w:rsidRDefault="00980A6D" w:rsidP="00820C91">
      <w:pPr>
        <w:pStyle w:val="ListParagraph"/>
        <w:numPr>
          <w:ilvl w:val="0"/>
          <w:numId w:val="6"/>
        </w:numPr>
        <w:spacing w:after="120"/>
        <w:ind w:left="788" w:hanging="357"/>
        <w:contextualSpacing w:val="0"/>
      </w:pPr>
      <w:r w:rsidRPr="001E23AC">
        <w:t xml:space="preserve">helping to develop </w:t>
      </w:r>
      <w:r>
        <w:t xml:space="preserve">and review </w:t>
      </w:r>
      <w:r w:rsidR="00B70A49">
        <w:t>the impl</w:t>
      </w:r>
      <w:r w:rsidR="00580043">
        <w:t>ementation of both the Support P</w:t>
      </w:r>
      <w:r w:rsidR="00B70A49">
        <w:t xml:space="preserve">lan </w:t>
      </w:r>
      <w:r>
        <w:t>and the Support Agreement</w:t>
      </w:r>
    </w:p>
    <w:p w14:paraId="5FCC5D1C" w14:textId="77777777" w:rsidR="00980A6D" w:rsidRPr="001E23AC" w:rsidRDefault="00980A6D" w:rsidP="00820C91">
      <w:pPr>
        <w:pStyle w:val="ListParagraph"/>
        <w:numPr>
          <w:ilvl w:val="0"/>
          <w:numId w:val="6"/>
        </w:numPr>
        <w:spacing w:after="120"/>
        <w:ind w:left="788" w:hanging="357"/>
        <w:contextualSpacing w:val="0"/>
      </w:pPr>
      <w:r w:rsidRPr="001E23AC">
        <w:t>helping to identify suitable housing and support</w:t>
      </w:r>
      <w:r>
        <w:t xml:space="preserve"> (where applicable)</w:t>
      </w:r>
    </w:p>
    <w:p w14:paraId="3E1CED70" w14:textId="77777777" w:rsidR="00980A6D" w:rsidRPr="001E23AC" w:rsidRDefault="00980A6D" w:rsidP="00820C91">
      <w:pPr>
        <w:pStyle w:val="ListParagraph"/>
        <w:numPr>
          <w:ilvl w:val="0"/>
          <w:numId w:val="6"/>
        </w:numPr>
        <w:spacing w:after="120"/>
        <w:ind w:left="788" w:hanging="357"/>
        <w:contextualSpacing w:val="0"/>
      </w:pPr>
      <w:r w:rsidRPr="001E23AC">
        <w:t xml:space="preserve">supporting the </w:t>
      </w:r>
      <w:r>
        <w:t>Person</w:t>
      </w:r>
      <w:r w:rsidRPr="001E23AC">
        <w:t xml:space="preserve"> to assert their rights and meet their responsibilities</w:t>
      </w:r>
    </w:p>
    <w:p w14:paraId="1FBCCB06" w14:textId="77777777" w:rsidR="00B70A49" w:rsidRDefault="00980A6D" w:rsidP="00820C91">
      <w:pPr>
        <w:pStyle w:val="ListParagraph"/>
        <w:numPr>
          <w:ilvl w:val="0"/>
          <w:numId w:val="6"/>
        </w:numPr>
        <w:spacing w:after="120"/>
        <w:ind w:left="788" w:hanging="357"/>
        <w:contextualSpacing w:val="0"/>
      </w:pPr>
      <w:r w:rsidRPr="001E23AC">
        <w:t xml:space="preserve">monitoring the </w:t>
      </w:r>
      <w:r>
        <w:t>Person</w:t>
      </w:r>
      <w:r w:rsidRPr="001E23AC">
        <w:t>’s living and</w:t>
      </w:r>
      <w:r>
        <w:t>/or</w:t>
      </w:r>
      <w:r w:rsidRPr="001E23AC">
        <w:t xml:space="preserve"> support arrangements</w:t>
      </w:r>
    </w:p>
    <w:p w14:paraId="4E056B11" w14:textId="0FE6355E" w:rsidR="00980A6D" w:rsidRPr="00980A6D" w:rsidRDefault="00980A6D" w:rsidP="00820C91">
      <w:pPr>
        <w:pStyle w:val="ListParagraph"/>
        <w:numPr>
          <w:ilvl w:val="0"/>
          <w:numId w:val="6"/>
        </w:numPr>
        <w:spacing w:after="120"/>
        <w:ind w:left="788" w:hanging="357"/>
        <w:contextualSpacing w:val="0"/>
      </w:pPr>
      <w:r>
        <w:t>p</w:t>
      </w:r>
      <w:r w:rsidRPr="001E23AC">
        <w:t>articipating</w:t>
      </w:r>
      <w:r>
        <w:t>,</w:t>
      </w:r>
      <w:r w:rsidRPr="001E23AC">
        <w:t xml:space="preserve"> if they choose</w:t>
      </w:r>
      <w:r>
        <w:t>,</w:t>
      </w:r>
      <w:r w:rsidRPr="001E23AC">
        <w:t xml:space="preserve"> in an evaluation of the demonstration commissioned by </w:t>
      </w:r>
      <w:r w:rsidR="0078307D">
        <w:t>the Ministry</w:t>
      </w:r>
      <w:r w:rsidRPr="001E23AC">
        <w:t>.</w:t>
      </w:r>
    </w:p>
    <w:p w14:paraId="139ABE0C" w14:textId="77777777" w:rsidR="00E25283" w:rsidRDefault="00E25283" w:rsidP="00E25283">
      <w:pPr>
        <w:pStyle w:val="Heading2"/>
        <w:spacing w:before="240"/>
      </w:pPr>
      <w:r>
        <w:t>Reporting requirements</w:t>
      </w:r>
    </w:p>
    <w:p w14:paraId="32798503" w14:textId="2B4B606E" w:rsidR="00E25283" w:rsidRDefault="00583054" w:rsidP="00E25283">
      <w:pPr>
        <w:rPr>
          <w:color w:val="000000" w:themeColor="text1"/>
          <w:lang w:eastAsia="ko-KR"/>
        </w:rPr>
      </w:pPr>
      <w:r>
        <w:rPr>
          <w:color w:val="000000" w:themeColor="text1"/>
          <w:lang w:eastAsia="ko-KR"/>
        </w:rPr>
        <w:t>The P</w:t>
      </w:r>
      <w:r w:rsidR="00E25283" w:rsidRPr="00AA13E2">
        <w:rPr>
          <w:color w:val="000000" w:themeColor="text1"/>
          <w:lang w:eastAsia="ko-KR"/>
        </w:rPr>
        <w:t xml:space="preserve">rovider will </w:t>
      </w:r>
      <w:r w:rsidR="005F18D3">
        <w:rPr>
          <w:color w:val="000000" w:themeColor="text1"/>
          <w:lang w:eastAsia="ko-KR"/>
        </w:rPr>
        <w:t>submit a</w:t>
      </w:r>
      <w:r w:rsidR="00E25283" w:rsidRPr="00AA13E2">
        <w:rPr>
          <w:color w:val="000000" w:themeColor="text1"/>
          <w:lang w:eastAsia="ko-KR"/>
        </w:rPr>
        <w:t xml:space="preserve"> six monthly</w:t>
      </w:r>
      <w:r w:rsidR="005F18D3">
        <w:rPr>
          <w:color w:val="000000" w:themeColor="text1"/>
          <w:lang w:eastAsia="ko-KR"/>
        </w:rPr>
        <w:t xml:space="preserve"> report to the Ministry that outlines:</w:t>
      </w:r>
    </w:p>
    <w:p w14:paraId="2E1EED07" w14:textId="23AD345B" w:rsidR="005F18D3" w:rsidRDefault="005F18D3" w:rsidP="00820C91">
      <w:pPr>
        <w:pStyle w:val="ListParagraph"/>
        <w:numPr>
          <w:ilvl w:val="0"/>
          <w:numId w:val="6"/>
        </w:numPr>
        <w:spacing w:after="120"/>
        <w:ind w:left="788" w:hanging="357"/>
        <w:contextualSpacing w:val="0"/>
      </w:pPr>
      <w:r>
        <w:t>w</w:t>
      </w:r>
      <w:r w:rsidRPr="005F18D3">
        <w:t>hat purchases and supports have been provided under the Purchasing Guidelines</w:t>
      </w:r>
      <w:r w:rsidR="00842D24">
        <w:t xml:space="preserve"> (</w:t>
      </w:r>
      <w:r>
        <w:t>in a Ministry supplied template)</w:t>
      </w:r>
    </w:p>
    <w:p w14:paraId="23C6F091" w14:textId="51AD6B8A" w:rsidR="005F18D3" w:rsidRDefault="005F18D3" w:rsidP="00820C91">
      <w:pPr>
        <w:pStyle w:val="ListParagraph"/>
        <w:numPr>
          <w:ilvl w:val="0"/>
          <w:numId w:val="6"/>
        </w:numPr>
        <w:spacing w:after="120"/>
        <w:ind w:left="788" w:hanging="357"/>
        <w:contextualSpacing w:val="0"/>
      </w:pPr>
      <w:r>
        <w:t>performance against the performance measures outlined in clause 4 of this Service Specification and Annex A of the Outcome Agreement terms.</w:t>
      </w:r>
    </w:p>
    <w:p w14:paraId="5B5ED06D" w14:textId="6A680D06" w:rsidR="00467A9B" w:rsidRPr="005F18D3" w:rsidRDefault="00227E6E" w:rsidP="00820C91">
      <w:pPr>
        <w:pStyle w:val="ListParagraph"/>
        <w:numPr>
          <w:ilvl w:val="0"/>
          <w:numId w:val="6"/>
        </w:numPr>
        <w:spacing w:after="120"/>
        <w:ind w:left="788" w:hanging="357"/>
        <w:contextualSpacing w:val="0"/>
      </w:pPr>
      <w:r>
        <w:t xml:space="preserve">A breakdown </w:t>
      </w:r>
      <w:r w:rsidR="00057C02">
        <w:t xml:space="preserve">of </w:t>
      </w:r>
      <w:r>
        <w:t>t</w:t>
      </w:r>
      <w:r w:rsidR="00217F88">
        <w:t xml:space="preserve">he fees charged for </w:t>
      </w:r>
      <w:r w:rsidR="00217F88" w:rsidRPr="00217F88">
        <w:t>Choice in Community Living</w:t>
      </w:r>
      <w:r w:rsidR="00467A9B">
        <w:t>.</w:t>
      </w:r>
    </w:p>
    <w:p w14:paraId="418E8540" w14:textId="7AB11319" w:rsidR="00E25283" w:rsidRPr="00E25283" w:rsidRDefault="00E25283" w:rsidP="00E25283">
      <w:pPr>
        <w:rPr>
          <w:color w:val="000000" w:themeColor="text1"/>
          <w:lang w:eastAsia="ko-KR"/>
        </w:rPr>
      </w:pPr>
      <w:r w:rsidRPr="00AA13E2">
        <w:rPr>
          <w:color w:val="000000" w:themeColor="text1"/>
          <w:lang w:eastAsia="ko-KR"/>
        </w:rPr>
        <w:t>Further Reporting Requirements (including any Provider specific reporting requirements) are included in Appendix 3 of the Outcome Agreement.</w:t>
      </w:r>
    </w:p>
    <w:p w14:paraId="3679B6C1" w14:textId="77777777" w:rsidR="00AA13E2" w:rsidRPr="00AA13E2" w:rsidRDefault="00AA13E2" w:rsidP="00AA13E2">
      <w:pPr>
        <w:pStyle w:val="Heading2"/>
        <w:spacing w:before="240"/>
      </w:pPr>
      <w:r w:rsidRPr="00AA13E2">
        <w:t>Purchase Units</w:t>
      </w:r>
    </w:p>
    <w:p w14:paraId="0822245D" w14:textId="334F9C54" w:rsidR="00AA13E2" w:rsidRPr="00AA13E2" w:rsidRDefault="00AA13E2" w:rsidP="00AA13E2">
      <w:pPr>
        <w:jc w:val="both"/>
        <w:rPr>
          <w:color w:val="000000" w:themeColor="text1"/>
          <w:lang w:val="en-US"/>
        </w:rPr>
      </w:pPr>
      <w:r w:rsidRPr="00AA13E2">
        <w:rPr>
          <w:color w:val="000000" w:themeColor="text1"/>
          <w:lang w:val="en-US"/>
        </w:rPr>
        <w:t>Purchase Units are defined in the Ministry</w:t>
      </w:r>
      <w:r w:rsidR="005F5C94">
        <w:rPr>
          <w:color w:val="000000" w:themeColor="text1"/>
          <w:lang w:val="en-US"/>
        </w:rPr>
        <w:t xml:space="preserve">’s </w:t>
      </w:r>
      <w:r w:rsidRPr="00AA13E2">
        <w:rPr>
          <w:color w:val="000000" w:themeColor="text1"/>
          <w:lang w:val="en-US"/>
        </w:rPr>
        <w:t>Nationwide Service Framework Purchase Unit Data Dictionary. The foll</w:t>
      </w:r>
      <w:r w:rsidR="00CD4E50">
        <w:rPr>
          <w:color w:val="000000" w:themeColor="text1"/>
          <w:lang w:val="en-US"/>
        </w:rPr>
        <w:t>owing table documents</w:t>
      </w:r>
      <w:r w:rsidRPr="00AA13E2">
        <w:rPr>
          <w:color w:val="000000" w:themeColor="text1"/>
          <w:lang w:val="en-US"/>
        </w:rPr>
        <w:t xml:space="preserve"> the Tier Two </w:t>
      </w:r>
      <w:r w:rsidR="00F02DD1">
        <w:rPr>
          <w:color w:val="000000" w:themeColor="text1"/>
          <w:lang w:val="en-US"/>
        </w:rPr>
        <w:t>Purchase Unit Code and description associated with this s</w:t>
      </w:r>
      <w:r w:rsidRPr="00AA13E2">
        <w:rPr>
          <w:color w:val="000000" w:themeColor="text1"/>
          <w:lang w:val="en-US"/>
        </w:rPr>
        <w:t>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413"/>
        <w:gridCol w:w="2268"/>
        <w:gridCol w:w="1134"/>
        <w:gridCol w:w="4293"/>
      </w:tblGrid>
      <w:tr w:rsidR="00AA13E2" w:rsidRPr="00AA13E2" w14:paraId="6AAE31EB" w14:textId="77777777" w:rsidTr="00E208B3">
        <w:trPr>
          <w:trHeight w:val="495"/>
        </w:trPr>
        <w:tc>
          <w:tcPr>
            <w:tcW w:w="1413" w:type="dxa"/>
            <w:vAlign w:val="center"/>
          </w:tcPr>
          <w:p w14:paraId="20D9A8F4" w14:textId="77777777" w:rsidR="00AA13E2" w:rsidRPr="00AA13E2" w:rsidRDefault="00AA13E2" w:rsidP="00635785">
            <w:pPr>
              <w:pStyle w:val="BodyText"/>
              <w:spacing w:after="0"/>
              <w:rPr>
                <w:rFonts w:ascii="Arial" w:hAnsi="Arial" w:cs="Arial"/>
                <w:b/>
                <w:color w:val="000000" w:themeColor="text1"/>
                <w:sz w:val="22"/>
                <w:szCs w:val="22"/>
                <w:lang w:val="en-GB"/>
              </w:rPr>
            </w:pPr>
            <w:bookmarkStart w:id="2" w:name="Table2"/>
            <w:r w:rsidRPr="00AA13E2">
              <w:rPr>
                <w:rFonts w:ascii="Arial" w:hAnsi="Arial" w:cs="Arial"/>
                <w:b/>
                <w:color w:val="000000" w:themeColor="text1"/>
                <w:sz w:val="22"/>
                <w:szCs w:val="22"/>
                <w:lang w:val="en-GB"/>
              </w:rPr>
              <w:t>Purchase Unit Codes</w:t>
            </w:r>
          </w:p>
        </w:tc>
        <w:tc>
          <w:tcPr>
            <w:tcW w:w="2268" w:type="dxa"/>
            <w:vAlign w:val="center"/>
          </w:tcPr>
          <w:p w14:paraId="59334FB6" w14:textId="77777777" w:rsidR="00AA13E2" w:rsidRPr="00AA13E2" w:rsidRDefault="00AA13E2" w:rsidP="00CD4E50">
            <w:pPr>
              <w:pStyle w:val="BodyText"/>
              <w:spacing w:after="0"/>
              <w:jc w:val="left"/>
              <w:rPr>
                <w:rFonts w:ascii="Arial" w:hAnsi="Arial" w:cs="Arial"/>
                <w:b/>
                <w:color w:val="000000" w:themeColor="text1"/>
                <w:sz w:val="22"/>
                <w:szCs w:val="22"/>
                <w:lang w:val="en-GB"/>
              </w:rPr>
            </w:pPr>
            <w:r w:rsidRPr="00AA13E2">
              <w:rPr>
                <w:rFonts w:ascii="Arial" w:hAnsi="Arial" w:cs="Arial"/>
                <w:b/>
                <w:color w:val="000000" w:themeColor="text1"/>
                <w:sz w:val="22"/>
                <w:szCs w:val="22"/>
                <w:lang w:val="en-GB"/>
              </w:rPr>
              <w:t>Purchase Unit Description</w:t>
            </w:r>
          </w:p>
        </w:tc>
        <w:tc>
          <w:tcPr>
            <w:tcW w:w="1134" w:type="dxa"/>
            <w:vAlign w:val="center"/>
          </w:tcPr>
          <w:p w14:paraId="2085E65D" w14:textId="77777777" w:rsidR="00AA13E2" w:rsidRPr="00AA13E2" w:rsidRDefault="00AA13E2" w:rsidP="00635785">
            <w:pPr>
              <w:pStyle w:val="BodyText"/>
              <w:spacing w:after="0"/>
              <w:rPr>
                <w:rFonts w:ascii="Arial" w:hAnsi="Arial" w:cs="Arial"/>
                <w:b/>
                <w:color w:val="000000" w:themeColor="text1"/>
                <w:sz w:val="22"/>
                <w:szCs w:val="22"/>
                <w:lang w:val="en-GB"/>
              </w:rPr>
            </w:pPr>
            <w:r w:rsidRPr="00AA13E2">
              <w:rPr>
                <w:rFonts w:ascii="Arial" w:hAnsi="Arial" w:cs="Arial"/>
                <w:b/>
                <w:color w:val="000000" w:themeColor="text1"/>
                <w:sz w:val="22"/>
                <w:szCs w:val="22"/>
                <w:lang w:val="en-GB"/>
              </w:rPr>
              <w:t>Measure</w:t>
            </w:r>
          </w:p>
        </w:tc>
        <w:tc>
          <w:tcPr>
            <w:tcW w:w="4293" w:type="dxa"/>
            <w:vAlign w:val="center"/>
          </w:tcPr>
          <w:p w14:paraId="4BE3512E" w14:textId="77777777" w:rsidR="00AA13E2" w:rsidRPr="00AA13E2" w:rsidRDefault="00AA13E2" w:rsidP="00635785">
            <w:pPr>
              <w:pStyle w:val="BodyText"/>
              <w:spacing w:after="0"/>
              <w:rPr>
                <w:rFonts w:ascii="Arial" w:hAnsi="Arial" w:cs="Arial"/>
                <w:b/>
                <w:color w:val="000000" w:themeColor="text1"/>
                <w:sz w:val="22"/>
                <w:szCs w:val="22"/>
                <w:lang w:val="en-GB"/>
              </w:rPr>
            </w:pPr>
            <w:r w:rsidRPr="00AA13E2">
              <w:rPr>
                <w:rFonts w:ascii="Arial" w:hAnsi="Arial" w:cs="Arial"/>
                <w:b/>
                <w:color w:val="000000" w:themeColor="text1"/>
                <w:sz w:val="22"/>
                <w:szCs w:val="22"/>
                <w:lang w:val="en-GB"/>
              </w:rPr>
              <w:t>Purchase Measure Definition</w:t>
            </w:r>
          </w:p>
        </w:tc>
      </w:tr>
      <w:tr w:rsidR="00AA13E2" w:rsidRPr="00AA13E2" w14:paraId="745CA637" w14:textId="77777777" w:rsidTr="00E208B3">
        <w:trPr>
          <w:trHeight w:val="944"/>
        </w:trPr>
        <w:tc>
          <w:tcPr>
            <w:tcW w:w="1413" w:type="dxa"/>
          </w:tcPr>
          <w:p w14:paraId="37BDE6E7" w14:textId="014AE633" w:rsidR="00AA13E2" w:rsidRPr="00AA13E2" w:rsidRDefault="00AA13E2" w:rsidP="00635785">
            <w:pPr>
              <w:pStyle w:val="BodyText"/>
              <w:spacing w:after="0"/>
              <w:rPr>
                <w:rFonts w:ascii="Arial" w:hAnsi="Arial" w:cs="Arial"/>
                <w:color w:val="000000" w:themeColor="text1"/>
                <w:sz w:val="22"/>
                <w:szCs w:val="22"/>
                <w:highlight w:val="green"/>
                <w:lang w:val="en-GB"/>
              </w:rPr>
            </w:pPr>
            <w:r w:rsidRPr="00AA13E2">
              <w:rPr>
                <w:rFonts w:ascii="Arial" w:hAnsi="Arial" w:cs="Arial"/>
                <w:color w:val="000000" w:themeColor="text1"/>
                <w:sz w:val="22"/>
                <w:szCs w:val="22"/>
                <w:lang w:val="en-GB"/>
              </w:rPr>
              <w:t>DSSCCL</w:t>
            </w:r>
          </w:p>
        </w:tc>
        <w:tc>
          <w:tcPr>
            <w:tcW w:w="2268" w:type="dxa"/>
          </w:tcPr>
          <w:p w14:paraId="0B50004A" w14:textId="59AFA93B" w:rsidR="00AA13E2" w:rsidRPr="00AA13E2" w:rsidRDefault="00E208B3" w:rsidP="00E208B3">
            <w:pPr>
              <w:pStyle w:val="BodyText"/>
              <w:spacing w:after="0"/>
              <w:jc w:val="left"/>
              <w:rPr>
                <w:rFonts w:ascii="Arial" w:hAnsi="Arial" w:cs="Arial"/>
                <w:color w:val="000000" w:themeColor="text1"/>
                <w:sz w:val="22"/>
                <w:szCs w:val="22"/>
                <w:highlight w:val="green"/>
                <w:lang w:val="en-GB"/>
              </w:rPr>
            </w:pPr>
            <w:r w:rsidRPr="00E208B3">
              <w:rPr>
                <w:rFonts w:ascii="Arial" w:hAnsi="Arial" w:cs="Arial"/>
                <w:color w:val="000000" w:themeColor="text1"/>
                <w:sz w:val="22"/>
                <w:szCs w:val="22"/>
                <w:lang w:val="en-GB"/>
              </w:rPr>
              <w:t>Choice in Community Living</w:t>
            </w:r>
          </w:p>
        </w:tc>
        <w:tc>
          <w:tcPr>
            <w:tcW w:w="1134" w:type="dxa"/>
          </w:tcPr>
          <w:p w14:paraId="1727DE98" w14:textId="77777777" w:rsidR="00AA13E2" w:rsidRPr="00AA13E2" w:rsidRDefault="00AA13E2" w:rsidP="00635785">
            <w:pPr>
              <w:pStyle w:val="BodyText"/>
              <w:spacing w:after="0"/>
              <w:rPr>
                <w:rFonts w:ascii="Arial" w:hAnsi="Arial" w:cs="Arial"/>
                <w:color w:val="000000" w:themeColor="text1"/>
                <w:sz w:val="22"/>
                <w:szCs w:val="22"/>
                <w:highlight w:val="green"/>
                <w:lang w:val="en-GB"/>
              </w:rPr>
            </w:pPr>
            <w:r w:rsidRPr="00AA13E2">
              <w:rPr>
                <w:rFonts w:ascii="Arial" w:hAnsi="Arial" w:cs="Arial"/>
                <w:color w:val="000000" w:themeColor="text1"/>
                <w:sz w:val="22"/>
                <w:szCs w:val="22"/>
                <w:lang w:val="en-GB"/>
              </w:rPr>
              <w:t>Unit</w:t>
            </w:r>
          </w:p>
        </w:tc>
        <w:tc>
          <w:tcPr>
            <w:tcW w:w="4293" w:type="dxa"/>
          </w:tcPr>
          <w:p w14:paraId="79600996" w14:textId="07F82183" w:rsidR="00E208B3" w:rsidRPr="00AA13E2" w:rsidRDefault="00E208B3" w:rsidP="00635785">
            <w:pPr>
              <w:pStyle w:val="BodyText"/>
              <w:spacing w:after="0"/>
              <w:rPr>
                <w:rFonts w:ascii="Arial" w:hAnsi="Arial" w:cs="Arial"/>
                <w:color w:val="000000" w:themeColor="text1"/>
                <w:sz w:val="22"/>
                <w:szCs w:val="22"/>
                <w:highlight w:val="green"/>
              </w:rPr>
            </w:pPr>
            <w:r w:rsidRPr="00E208B3">
              <w:rPr>
                <w:rFonts w:ascii="Arial" w:hAnsi="Arial" w:cs="Arial"/>
                <w:color w:val="000000" w:themeColor="text1"/>
                <w:sz w:val="22"/>
                <w:szCs w:val="22"/>
              </w:rPr>
              <w:t>Personal Budget allocated by a NASC to a Person</w:t>
            </w:r>
            <w:r>
              <w:rPr>
                <w:rFonts w:ascii="Arial" w:hAnsi="Arial" w:cs="Arial"/>
                <w:color w:val="000000" w:themeColor="text1"/>
                <w:sz w:val="22"/>
                <w:szCs w:val="22"/>
              </w:rPr>
              <w:t xml:space="preserve"> to assist the P</w:t>
            </w:r>
            <w:r w:rsidRPr="00E208B3">
              <w:rPr>
                <w:rFonts w:ascii="Arial" w:hAnsi="Arial" w:cs="Arial"/>
                <w:color w:val="000000" w:themeColor="text1"/>
                <w:sz w:val="22"/>
                <w:szCs w:val="22"/>
              </w:rPr>
              <w:t>erson</w:t>
            </w:r>
            <w:r>
              <w:rPr>
                <w:rFonts w:ascii="Arial" w:hAnsi="Arial" w:cs="Arial"/>
                <w:color w:val="000000" w:themeColor="text1"/>
                <w:sz w:val="22"/>
                <w:szCs w:val="22"/>
              </w:rPr>
              <w:t xml:space="preserve"> to</w:t>
            </w:r>
            <w:r w:rsidRPr="00E208B3">
              <w:rPr>
                <w:rFonts w:ascii="Arial" w:hAnsi="Arial" w:cs="Arial"/>
                <w:color w:val="000000" w:themeColor="text1"/>
                <w:sz w:val="22"/>
                <w:szCs w:val="22"/>
              </w:rPr>
              <w:t xml:space="preserve"> achieve disability support outcomes in their Support Plan</w:t>
            </w:r>
            <w:r>
              <w:rPr>
                <w:rFonts w:ascii="Arial" w:hAnsi="Arial" w:cs="Arial"/>
                <w:color w:val="000000" w:themeColor="text1"/>
                <w:sz w:val="22"/>
                <w:szCs w:val="22"/>
              </w:rPr>
              <w:t>.</w:t>
            </w:r>
          </w:p>
        </w:tc>
      </w:tr>
      <w:bookmarkEnd w:id="2"/>
    </w:tbl>
    <w:p w14:paraId="12CFB63E" w14:textId="377ABC02" w:rsidR="00FB1064" w:rsidRDefault="00FB1064" w:rsidP="00AA13E2">
      <w:pPr>
        <w:pStyle w:val="Heading2"/>
        <w:numPr>
          <w:ilvl w:val="0"/>
          <w:numId w:val="0"/>
        </w:numPr>
        <w:spacing w:before="240"/>
        <w:jc w:val="right"/>
      </w:pPr>
    </w:p>
    <w:p w14:paraId="2128DB88" w14:textId="544C441D" w:rsidR="00FB1064" w:rsidRPr="00FB1064" w:rsidRDefault="00FB1064" w:rsidP="00FB1064">
      <w:pPr>
        <w:rPr>
          <w:rFonts w:eastAsia="Times New Roman" w:cs="Arial"/>
          <w:b/>
          <w:bCs/>
          <w:szCs w:val="24"/>
          <w:lang w:eastAsia="ko-KR"/>
        </w:rPr>
      </w:pPr>
      <w:r>
        <w:br w:type="page"/>
      </w:r>
    </w:p>
    <w:p w14:paraId="29EDA89A" w14:textId="77777777" w:rsidR="00AA13E2" w:rsidRDefault="00AA13E2" w:rsidP="00AA13E2">
      <w:pPr>
        <w:pStyle w:val="Heading2"/>
        <w:numPr>
          <w:ilvl w:val="0"/>
          <w:numId w:val="0"/>
        </w:numPr>
        <w:spacing w:before="240"/>
        <w:jc w:val="right"/>
      </w:pPr>
      <w:r w:rsidRPr="00C046D3">
        <w:lastRenderedPageBreak/>
        <w:t>Appendix 1</w:t>
      </w:r>
      <w:r w:rsidRPr="00C046D3">
        <w:tab/>
      </w:r>
    </w:p>
    <w:p w14:paraId="6346CCD4" w14:textId="77777777" w:rsidR="006F3EF7" w:rsidRDefault="006F3EF7" w:rsidP="006F3EF7">
      <w:pPr>
        <w:rPr>
          <w:lang w:eastAsia="ko-KR"/>
        </w:rPr>
      </w:pPr>
    </w:p>
    <w:p w14:paraId="09E5DD3C" w14:textId="7DAEBD70" w:rsidR="006F3EF7" w:rsidRPr="001155BD" w:rsidRDefault="006F3EF7" w:rsidP="006F3EF7">
      <w:pPr>
        <w:rPr>
          <w:b/>
        </w:rPr>
      </w:pPr>
      <w:r w:rsidRPr="001155BD">
        <w:rPr>
          <w:rFonts w:cs="Arial"/>
          <w:b/>
          <w:bCs/>
        </w:rPr>
        <w:t>GUIDELINES ON WHAT FUNDING CAN BE USED FOR IN THE AUCKLAND AND WAIKATO DEMONSTRATION OF CHOICE IN COMMUNITY LIVING</w:t>
      </w:r>
    </w:p>
    <w:p w14:paraId="52650C7B" w14:textId="77777777" w:rsidR="006F3EF7" w:rsidRPr="006F3EF7" w:rsidRDefault="006F3EF7" w:rsidP="006F3EF7">
      <w:pPr>
        <w:keepNext/>
        <w:keepLines/>
        <w:spacing w:before="200" w:after="120"/>
        <w:outlineLvl w:val="2"/>
        <w:rPr>
          <w:rFonts w:cs="Arial"/>
          <w:b/>
          <w:bCs/>
          <w:szCs w:val="24"/>
        </w:rPr>
      </w:pPr>
      <w:r w:rsidRPr="006F3EF7">
        <w:rPr>
          <w:rFonts w:cs="Arial"/>
          <w:b/>
          <w:bCs/>
          <w:szCs w:val="24"/>
        </w:rPr>
        <w:t xml:space="preserve">Introduction </w:t>
      </w:r>
    </w:p>
    <w:p w14:paraId="099CA1AE"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These purchasing guidelines set out what people can buy with the disability support funding they have been allocated by a needs assessment and service coordination organisation when they are taking part in an initiative relating to the New Model for Supporting Disabled People.  </w:t>
      </w:r>
    </w:p>
    <w:p w14:paraId="58F33F44" w14:textId="77777777" w:rsidR="006F3EF7" w:rsidRPr="006F3EF7" w:rsidRDefault="006F3EF7" w:rsidP="006F3EF7">
      <w:pPr>
        <w:keepNext/>
        <w:keepLines/>
        <w:spacing w:before="200" w:after="120"/>
        <w:outlineLvl w:val="2"/>
        <w:rPr>
          <w:rFonts w:cs="Arial"/>
          <w:b/>
          <w:bCs/>
          <w:szCs w:val="24"/>
        </w:rPr>
      </w:pPr>
      <w:r w:rsidRPr="006F3EF7">
        <w:rPr>
          <w:rFonts w:cs="Arial"/>
          <w:b/>
          <w:bCs/>
          <w:szCs w:val="24"/>
        </w:rPr>
        <w:t xml:space="preserve">Background </w:t>
      </w:r>
    </w:p>
    <w:p w14:paraId="06CEF03E" w14:textId="3B5750CD"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Under the New Zealand Public Health and Disability Services Act 2000, disability support services (disability support) includes goods, services, and facilities that are provided to people with disabilities for their care or support or to promote their inclusion and participation in society, and independence or for related or incidental purposes.  The Ministry funds disability support for people with a physical, intellectual or sensory disability (or a combination of these) that is likely to continue for a minimum of six months and result in a reduction of independent function to the extent that ongoing support is required.</w:t>
      </w:r>
      <w:r>
        <w:rPr>
          <w:rStyle w:val="FootnoteReference"/>
          <w:rFonts w:ascii="Arial" w:hAnsi="Arial" w:cs="Arial"/>
          <w:sz w:val="22"/>
          <w:szCs w:val="22"/>
        </w:rPr>
        <w:footnoteReference w:id="6"/>
      </w:r>
      <w:r w:rsidRPr="006F3EF7">
        <w:rPr>
          <w:rFonts w:ascii="Arial" w:hAnsi="Arial" w:cs="Arial"/>
          <w:sz w:val="22"/>
          <w:szCs w:val="22"/>
        </w:rPr>
        <w:t xml:space="preserve">  </w:t>
      </w:r>
    </w:p>
    <w:p w14:paraId="4BE33A83"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A core part of the Ministry’s ‘New Model for Supporting Disabled People’ is the development of broad guidance on what funding can and cannot be used for, so that people have increased flexibility, choice and control over the support that is purchased with the disability support funding they are allocated by a needs assessment and service coordination.  At this time, these guidelines will apply in specified initiatives that are part of the demonstration of the New Model for Supporting Disabled People, although it is recognised that modifications may be needed to reflect the particular characteristics of each initiative.  </w:t>
      </w:r>
    </w:p>
    <w:p w14:paraId="67489213" w14:textId="2DFB7E76"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When the guidelines are implemented, more detailed guidance will be provided to people using them on how to go about making decisions that are consistent with the guidelines.  It is intended that this additional guidance will focus on the issues to be considered rather than specifying a list of acce</w:t>
      </w:r>
      <w:r w:rsidR="00461AA5">
        <w:rPr>
          <w:rFonts w:ascii="Arial" w:hAnsi="Arial" w:cs="Arial"/>
          <w:sz w:val="22"/>
          <w:szCs w:val="22"/>
        </w:rPr>
        <w:t>ptable and unacceptable purchases</w:t>
      </w:r>
      <w:r w:rsidRPr="006F3EF7">
        <w:rPr>
          <w:rFonts w:ascii="Arial" w:hAnsi="Arial" w:cs="Arial"/>
          <w:sz w:val="22"/>
          <w:szCs w:val="22"/>
        </w:rPr>
        <w:t xml:space="preserve">.  The Ministry intends to modify these initial purchasing guidelines in light of feedback it receives on their application in practice from disabled people, their families and </w:t>
      </w:r>
      <w:r w:rsidR="005F5C94" w:rsidRPr="006F3EF7">
        <w:rPr>
          <w:rFonts w:ascii="Arial" w:hAnsi="Arial" w:cs="Arial"/>
          <w:sz w:val="22"/>
          <w:szCs w:val="22"/>
        </w:rPr>
        <w:t>wh</w:t>
      </w:r>
      <w:r w:rsidR="005F5C94">
        <w:rPr>
          <w:rFonts w:ascii="Arial" w:hAnsi="Arial" w:cs="Arial"/>
          <w:sz w:val="22"/>
          <w:szCs w:val="22"/>
        </w:rPr>
        <w:t>ā</w:t>
      </w:r>
      <w:r w:rsidR="005F5C94" w:rsidRPr="006F3EF7">
        <w:rPr>
          <w:rFonts w:ascii="Arial" w:hAnsi="Arial" w:cs="Arial"/>
          <w:sz w:val="22"/>
          <w:szCs w:val="22"/>
        </w:rPr>
        <w:t>n</w:t>
      </w:r>
      <w:r w:rsidR="005F5C94">
        <w:rPr>
          <w:rFonts w:ascii="Arial" w:hAnsi="Arial" w:cs="Arial"/>
          <w:sz w:val="22"/>
          <w:szCs w:val="22"/>
        </w:rPr>
        <w:t>a</w:t>
      </w:r>
      <w:r w:rsidR="005F5C94" w:rsidRPr="006F3EF7">
        <w:rPr>
          <w:rFonts w:ascii="Arial" w:hAnsi="Arial" w:cs="Arial"/>
          <w:sz w:val="22"/>
          <w:szCs w:val="22"/>
        </w:rPr>
        <w:t>u</w:t>
      </w:r>
      <w:r w:rsidRPr="006F3EF7">
        <w:rPr>
          <w:rFonts w:ascii="Arial" w:hAnsi="Arial" w:cs="Arial"/>
          <w:sz w:val="22"/>
          <w:szCs w:val="22"/>
        </w:rPr>
        <w:t xml:space="preserve">, service providers, needs assessment and service coordination organisations and other interested people.  </w:t>
      </w:r>
    </w:p>
    <w:p w14:paraId="6618BE9D" w14:textId="77777777" w:rsidR="006F3EF7" w:rsidRPr="006F3EF7" w:rsidRDefault="006F3EF7" w:rsidP="006F3EF7">
      <w:pPr>
        <w:keepNext/>
        <w:keepLines/>
        <w:spacing w:before="200" w:after="120"/>
        <w:outlineLvl w:val="2"/>
        <w:rPr>
          <w:rFonts w:cs="Arial"/>
          <w:b/>
          <w:bCs/>
          <w:szCs w:val="24"/>
          <w:u w:val="single"/>
        </w:rPr>
      </w:pPr>
      <w:r w:rsidRPr="006F3EF7">
        <w:rPr>
          <w:rFonts w:cs="Arial"/>
          <w:b/>
          <w:bCs/>
          <w:szCs w:val="24"/>
        </w:rPr>
        <w:t>Guidelines</w:t>
      </w:r>
      <w:r w:rsidRPr="006F3EF7">
        <w:rPr>
          <w:rFonts w:cs="Arial"/>
          <w:b/>
          <w:bCs/>
          <w:szCs w:val="24"/>
          <w:u w:val="single"/>
        </w:rPr>
        <w:t xml:space="preserve"> </w:t>
      </w:r>
    </w:p>
    <w:p w14:paraId="5E557376" w14:textId="1061704D"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When these guidelines apply, p</w:t>
      </w:r>
      <w:r>
        <w:rPr>
          <w:rFonts w:ascii="Arial" w:hAnsi="Arial" w:cs="Arial"/>
          <w:sz w:val="22"/>
          <w:szCs w:val="22"/>
        </w:rPr>
        <w:t>eople who are allocated funds through</w:t>
      </w:r>
      <w:r w:rsidRPr="006F3EF7">
        <w:rPr>
          <w:rFonts w:ascii="Arial" w:hAnsi="Arial" w:cs="Arial"/>
          <w:sz w:val="22"/>
          <w:szCs w:val="22"/>
        </w:rPr>
        <w:t xml:space="preserve"> a needs assessment and service coordination w</w:t>
      </w:r>
      <w:r>
        <w:rPr>
          <w:rFonts w:ascii="Arial" w:hAnsi="Arial" w:cs="Arial"/>
          <w:sz w:val="22"/>
          <w:szCs w:val="22"/>
        </w:rPr>
        <w:t>ill be able to purchase</w:t>
      </w:r>
      <w:r w:rsidRPr="006F3EF7">
        <w:rPr>
          <w:rFonts w:ascii="Arial" w:hAnsi="Arial" w:cs="Arial"/>
          <w:sz w:val="22"/>
          <w:szCs w:val="22"/>
        </w:rPr>
        <w:t xml:space="preserve"> services and/or arrangements that meet each of the following criteria: </w:t>
      </w:r>
    </w:p>
    <w:p w14:paraId="0F3B5B53" w14:textId="77777777" w:rsidR="006F3EF7" w:rsidRPr="006F3EF7" w:rsidRDefault="006F3EF7" w:rsidP="006F3EF7">
      <w:pPr>
        <w:numPr>
          <w:ilvl w:val="0"/>
          <w:numId w:val="13"/>
        </w:numPr>
        <w:spacing w:after="120" w:line="240" w:lineRule="auto"/>
        <w:jc w:val="both"/>
        <w:rPr>
          <w:rFonts w:cs="Arial"/>
          <w:sz w:val="22"/>
        </w:rPr>
      </w:pPr>
      <w:r w:rsidRPr="006F3EF7">
        <w:rPr>
          <w:rFonts w:cs="Arial"/>
          <w:sz w:val="22"/>
        </w:rPr>
        <w:t xml:space="preserve">Criterion One: they are a disability support; and </w:t>
      </w:r>
    </w:p>
    <w:p w14:paraId="732B3061" w14:textId="77777777" w:rsidR="006F3EF7" w:rsidRPr="006F3EF7" w:rsidRDefault="006F3EF7" w:rsidP="006F3EF7">
      <w:pPr>
        <w:numPr>
          <w:ilvl w:val="0"/>
          <w:numId w:val="13"/>
        </w:numPr>
        <w:spacing w:after="120" w:line="240" w:lineRule="auto"/>
        <w:jc w:val="both"/>
        <w:rPr>
          <w:rFonts w:cs="Arial"/>
          <w:sz w:val="22"/>
        </w:rPr>
      </w:pPr>
      <w:r w:rsidRPr="006F3EF7">
        <w:rPr>
          <w:rFonts w:cs="Arial"/>
          <w:sz w:val="22"/>
        </w:rPr>
        <w:t xml:space="preserve">Criterion Two: they contribute towards the achievement of outcomes that are identified in a person’s individual support plan; and </w:t>
      </w:r>
    </w:p>
    <w:p w14:paraId="5AEBE00A" w14:textId="77777777" w:rsidR="006F3EF7" w:rsidRPr="006F3EF7" w:rsidRDefault="006F3EF7" w:rsidP="006F3EF7">
      <w:pPr>
        <w:numPr>
          <w:ilvl w:val="0"/>
          <w:numId w:val="13"/>
        </w:numPr>
        <w:spacing w:after="120" w:line="240" w:lineRule="auto"/>
        <w:jc w:val="both"/>
        <w:rPr>
          <w:rFonts w:cs="Arial"/>
          <w:sz w:val="22"/>
        </w:rPr>
      </w:pPr>
      <w:r w:rsidRPr="006F3EF7">
        <w:rPr>
          <w:rFonts w:cs="Arial"/>
          <w:sz w:val="22"/>
        </w:rPr>
        <w:t xml:space="preserve">Criterion Three: they are within the scope of relevant Ministry policies and responsibilities.  </w:t>
      </w:r>
    </w:p>
    <w:p w14:paraId="25FEC191"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Each of these criteria is described further below.   </w:t>
      </w:r>
    </w:p>
    <w:p w14:paraId="39549AAA" w14:textId="77777777" w:rsidR="006F3EF7" w:rsidRPr="006F3EF7" w:rsidRDefault="006F3EF7" w:rsidP="006F3EF7">
      <w:pPr>
        <w:keepNext/>
        <w:keepLines/>
        <w:spacing w:before="200" w:after="120"/>
        <w:outlineLvl w:val="2"/>
        <w:rPr>
          <w:rFonts w:cs="Arial"/>
          <w:b/>
          <w:bCs/>
          <w:i/>
          <w:sz w:val="22"/>
        </w:rPr>
      </w:pPr>
      <w:r w:rsidRPr="006F3EF7">
        <w:rPr>
          <w:rFonts w:cs="Arial"/>
          <w:b/>
          <w:bCs/>
          <w:i/>
          <w:sz w:val="22"/>
        </w:rPr>
        <w:lastRenderedPageBreak/>
        <w:t xml:space="preserve">Criteria One: They are a disability support </w:t>
      </w:r>
    </w:p>
    <w:p w14:paraId="7DBE2E11" w14:textId="54252667" w:rsidR="006F3EF7" w:rsidRPr="006F3EF7" w:rsidRDefault="006F3EF7" w:rsidP="006F3EF7">
      <w:pPr>
        <w:pStyle w:val="BodyText"/>
        <w:numPr>
          <w:ilvl w:val="0"/>
          <w:numId w:val="12"/>
        </w:numPr>
        <w:ind w:left="426" w:hanging="426"/>
        <w:rPr>
          <w:rFonts w:ascii="Arial" w:hAnsi="Arial" w:cs="Arial"/>
          <w:sz w:val="22"/>
          <w:szCs w:val="22"/>
        </w:rPr>
      </w:pPr>
      <w:r>
        <w:rPr>
          <w:rFonts w:ascii="Arial" w:hAnsi="Arial" w:cs="Arial"/>
          <w:sz w:val="22"/>
          <w:szCs w:val="22"/>
        </w:rPr>
        <w:t>For the purposes of these purchasing guidelines disability supports are</w:t>
      </w:r>
      <w:r w:rsidRPr="006F3EF7">
        <w:rPr>
          <w:rFonts w:ascii="Arial" w:hAnsi="Arial" w:cs="Arial"/>
          <w:sz w:val="22"/>
          <w:szCs w:val="22"/>
        </w:rPr>
        <w:t xml:space="preserve"> services and facilities (or related and incidental costs, such as recruitment, training, insurance or maintenance) that promote the disabled person’s independence and their inclusion and participation in education, paid and unpaid work, home and civic life, and the community but which result in them facing additional costs that they would not face if they did not have a disability.  Those additional costs might </w:t>
      </w:r>
      <w:r>
        <w:rPr>
          <w:rFonts w:ascii="Arial" w:hAnsi="Arial" w:cs="Arial"/>
          <w:sz w:val="22"/>
          <w:szCs w:val="22"/>
        </w:rPr>
        <w:t>arise if a person requires</w:t>
      </w:r>
      <w:r w:rsidRPr="006F3EF7">
        <w:rPr>
          <w:rFonts w:ascii="Arial" w:hAnsi="Arial" w:cs="Arial"/>
          <w:sz w:val="22"/>
          <w:szCs w:val="22"/>
        </w:rPr>
        <w:t xml:space="preserve">, services and/ or facilities that: </w:t>
      </w:r>
    </w:p>
    <w:p w14:paraId="03FA38DE" w14:textId="77777777" w:rsidR="006F3EF7" w:rsidRPr="006F3EF7" w:rsidRDefault="006F3EF7" w:rsidP="006F3EF7">
      <w:pPr>
        <w:numPr>
          <w:ilvl w:val="0"/>
          <w:numId w:val="14"/>
        </w:numPr>
        <w:spacing w:after="120" w:line="240" w:lineRule="auto"/>
        <w:jc w:val="both"/>
        <w:rPr>
          <w:rFonts w:cs="Arial"/>
          <w:sz w:val="22"/>
        </w:rPr>
      </w:pPr>
      <w:r w:rsidRPr="006F3EF7">
        <w:rPr>
          <w:rFonts w:cs="Arial"/>
          <w:sz w:val="22"/>
        </w:rPr>
        <w:t xml:space="preserve">they would not require if they did not have a disability; and/ or </w:t>
      </w:r>
    </w:p>
    <w:p w14:paraId="31644556" w14:textId="77777777" w:rsidR="006F3EF7" w:rsidRPr="006F3EF7" w:rsidRDefault="006F3EF7" w:rsidP="006F3EF7">
      <w:pPr>
        <w:numPr>
          <w:ilvl w:val="0"/>
          <w:numId w:val="14"/>
        </w:numPr>
        <w:spacing w:after="120" w:line="240" w:lineRule="auto"/>
        <w:jc w:val="both"/>
        <w:rPr>
          <w:rFonts w:cs="Arial"/>
          <w:sz w:val="22"/>
        </w:rPr>
      </w:pPr>
      <w:r w:rsidRPr="006F3EF7">
        <w:rPr>
          <w:rFonts w:cs="Arial"/>
          <w:sz w:val="22"/>
        </w:rPr>
        <w:t xml:space="preserve">are higher cost than would be the case if the person did not have a disability; and/or </w:t>
      </w:r>
    </w:p>
    <w:p w14:paraId="6EC4BFEB" w14:textId="441E2959" w:rsidR="006F3EF7" w:rsidRPr="006F3EF7" w:rsidRDefault="006F3EF7" w:rsidP="006F3EF7">
      <w:pPr>
        <w:numPr>
          <w:ilvl w:val="0"/>
          <w:numId w:val="14"/>
        </w:numPr>
        <w:spacing w:after="120" w:line="240" w:lineRule="auto"/>
        <w:jc w:val="both"/>
        <w:rPr>
          <w:rFonts w:cs="Arial"/>
          <w:sz w:val="22"/>
        </w:rPr>
      </w:pPr>
      <w:r w:rsidRPr="006F3EF7">
        <w:rPr>
          <w:rFonts w:cs="Arial"/>
          <w:sz w:val="22"/>
        </w:rPr>
        <w:t>are additi</w:t>
      </w:r>
      <w:r>
        <w:rPr>
          <w:rFonts w:cs="Arial"/>
          <w:sz w:val="22"/>
        </w:rPr>
        <w:t>onal to or complement the goods,</w:t>
      </w:r>
      <w:r w:rsidRPr="006F3EF7">
        <w:rPr>
          <w:rFonts w:cs="Arial"/>
          <w:sz w:val="22"/>
        </w:rPr>
        <w:t xml:space="preserve"> services and/or facilities they would require if the person did not have a disability; and/or </w:t>
      </w:r>
    </w:p>
    <w:p w14:paraId="0D0385BF" w14:textId="77777777" w:rsidR="006F3EF7" w:rsidRPr="006F3EF7" w:rsidRDefault="006F3EF7" w:rsidP="006F3EF7">
      <w:pPr>
        <w:numPr>
          <w:ilvl w:val="0"/>
          <w:numId w:val="14"/>
        </w:numPr>
        <w:spacing w:after="240" w:line="240" w:lineRule="auto"/>
        <w:jc w:val="both"/>
        <w:rPr>
          <w:rFonts w:cs="Arial"/>
          <w:sz w:val="22"/>
        </w:rPr>
      </w:pPr>
      <w:r w:rsidRPr="006F3EF7">
        <w:rPr>
          <w:rFonts w:cs="Arial"/>
          <w:sz w:val="22"/>
        </w:rPr>
        <w:t xml:space="preserve">are a ‘payment in kind’ to people providing the person with voluntary support (e.g. a contribution to petrol costs).  </w:t>
      </w:r>
    </w:p>
    <w:p w14:paraId="5B2EAF1A"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Consistent with this approach, disability supports do not include the cost of goods, services and/or facilities that the person would reasonably be expected to provide for from their own money (such as from wages or a benefit) if they did not have a disability.  The goods, services and/or facilities a person would reasonably be expected to provide from their own money depends on their particular circumstances, but would normally include the following: </w:t>
      </w:r>
    </w:p>
    <w:p w14:paraId="2900538F"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bills like electricity, gas, telephone and internet costs</w:t>
      </w:r>
    </w:p>
    <w:p w14:paraId="0C9269FF"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general household fittings, furniture and white goods</w:t>
      </w:r>
    </w:p>
    <w:p w14:paraId="67F91554"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standard electrical goods and consumer products</w:t>
      </w:r>
    </w:p>
    <w:p w14:paraId="59B43279"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food, groceries and other household goods</w:t>
      </w:r>
    </w:p>
    <w:p w14:paraId="71012891"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mortgage payments, rent or rental assistance</w:t>
      </w:r>
    </w:p>
    <w:p w14:paraId="547E2FFF"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general vehicle purchase, modifications or maintenance</w:t>
      </w:r>
    </w:p>
    <w:p w14:paraId="08042414"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 xml:space="preserve">house and contents insurance, vehicle and life insurance </w:t>
      </w:r>
    </w:p>
    <w:p w14:paraId="21E8CFF6"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tickets to movies, shows, or sporting events</w:t>
      </w:r>
    </w:p>
    <w:p w14:paraId="7B7EC8C9"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employment services</w:t>
      </w:r>
    </w:p>
    <w:p w14:paraId="49E9BE9B"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fuel</w:t>
      </w:r>
    </w:p>
    <w:p w14:paraId="27421641"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plane, train, bus or taxi fares</w:t>
      </w:r>
    </w:p>
    <w:p w14:paraId="2D5C7C34"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the repayment of personal debts</w:t>
      </w:r>
    </w:p>
    <w:p w14:paraId="5015A065"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 xml:space="preserve">donations to charitable or church organisations </w:t>
      </w:r>
    </w:p>
    <w:p w14:paraId="68B723CC"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other non-disability related services such as legal advice</w:t>
      </w:r>
    </w:p>
    <w:p w14:paraId="54E53288" w14:textId="77777777" w:rsidR="006F3EF7" w:rsidRPr="006F3EF7" w:rsidRDefault="006F3EF7" w:rsidP="006F3EF7">
      <w:pPr>
        <w:numPr>
          <w:ilvl w:val="0"/>
          <w:numId w:val="15"/>
        </w:numPr>
        <w:tabs>
          <w:tab w:val="left" w:pos="709"/>
        </w:tabs>
        <w:spacing w:after="120" w:line="240" w:lineRule="auto"/>
        <w:ind w:left="709" w:hanging="425"/>
        <w:jc w:val="both"/>
        <w:rPr>
          <w:rFonts w:cs="Arial"/>
          <w:sz w:val="22"/>
        </w:rPr>
      </w:pPr>
      <w:r w:rsidRPr="006F3EF7">
        <w:rPr>
          <w:rFonts w:cs="Arial"/>
          <w:sz w:val="22"/>
        </w:rPr>
        <w:t xml:space="preserve">complementary therapies and non-government funded or subsidised health treatment. </w:t>
      </w:r>
    </w:p>
    <w:p w14:paraId="77D07B0C" w14:textId="77777777" w:rsidR="006F3EF7" w:rsidRPr="006F3EF7" w:rsidRDefault="006F3EF7" w:rsidP="006F3EF7">
      <w:pPr>
        <w:rPr>
          <w:rFonts w:cs="Arial"/>
          <w:b/>
          <w:bCs/>
          <w:smallCaps/>
          <w:kern w:val="32"/>
        </w:rPr>
      </w:pPr>
      <w:r w:rsidRPr="006F3EF7">
        <w:rPr>
          <w:rFonts w:cs="Arial"/>
          <w:smallCaps/>
        </w:rPr>
        <w:br w:type="page"/>
      </w:r>
    </w:p>
    <w:p w14:paraId="140D6DEE" w14:textId="02AACB47" w:rsidR="006F3EF7" w:rsidRPr="006F3EF7" w:rsidRDefault="006F3EF7" w:rsidP="006F3EF7">
      <w:pPr>
        <w:keepNext/>
        <w:keepLines/>
        <w:spacing w:before="200" w:after="120"/>
        <w:outlineLvl w:val="2"/>
        <w:rPr>
          <w:rFonts w:cs="Arial"/>
          <w:b/>
          <w:bCs/>
          <w:i/>
          <w:sz w:val="22"/>
        </w:rPr>
      </w:pPr>
      <w:r w:rsidRPr="006F3EF7">
        <w:rPr>
          <w:rFonts w:cs="Arial"/>
          <w:b/>
          <w:bCs/>
          <w:i/>
          <w:sz w:val="22"/>
        </w:rPr>
        <w:lastRenderedPageBreak/>
        <w:t>Criteria Two: The disability support contributes to outcomes in a person’</w:t>
      </w:r>
      <w:r>
        <w:rPr>
          <w:rFonts w:cs="Arial"/>
          <w:b/>
          <w:bCs/>
          <w:i/>
          <w:sz w:val="22"/>
        </w:rPr>
        <w:t>s</w:t>
      </w:r>
      <w:r w:rsidRPr="006F3EF7">
        <w:rPr>
          <w:rFonts w:cs="Arial"/>
          <w:b/>
          <w:bCs/>
          <w:i/>
          <w:sz w:val="22"/>
        </w:rPr>
        <w:t xml:space="preserve"> support plan </w:t>
      </w:r>
    </w:p>
    <w:p w14:paraId="623EEC98" w14:textId="0E20CA7F"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Disability supports assist people to achieve outcomes of participating in education, paid and unpaid work, home and civic life, and in the community through assisting them to carry out their normal daily activities such as communicating, moving about, building relationships, looking after themselves and others, making decisions and finding out about things.   The outcomes ide</w:t>
      </w:r>
      <w:r>
        <w:rPr>
          <w:rFonts w:ascii="Arial" w:hAnsi="Arial" w:cs="Arial"/>
          <w:sz w:val="22"/>
          <w:szCs w:val="22"/>
        </w:rPr>
        <w:t>ntified in a person’s</w:t>
      </w:r>
      <w:r w:rsidRPr="006F3EF7">
        <w:rPr>
          <w:rFonts w:ascii="Arial" w:hAnsi="Arial" w:cs="Arial"/>
          <w:sz w:val="22"/>
          <w:szCs w:val="22"/>
        </w:rPr>
        <w:t xml:space="preserve"> support plan may fit within any of these general outcomes but will be specific to that person.  </w:t>
      </w:r>
    </w:p>
    <w:p w14:paraId="230778B5"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The following are examples only of, and are not intended to limit of the types of outcomes that may be included in a person’s individual support plan: </w:t>
      </w:r>
    </w:p>
    <w:p w14:paraId="70AE8A66" w14:textId="77777777" w:rsidR="006F3EF7" w:rsidRPr="006F3EF7" w:rsidRDefault="006F3EF7" w:rsidP="006F3EF7">
      <w:pPr>
        <w:numPr>
          <w:ilvl w:val="0"/>
          <w:numId w:val="16"/>
        </w:numPr>
        <w:spacing w:after="120" w:line="240" w:lineRule="auto"/>
        <w:jc w:val="both"/>
        <w:rPr>
          <w:rFonts w:cs="Arial"/>
          <w:sz w:val="22"/>
        </w:rPr>
      </w:pPr>
      <w:r w:rsidRPr="006F3EF7">
        <w:rPr>
          <w:rFonts w:cs="Arial"/>
          <w:sz w:val="22"/>
        </w:rPr>
        <w:t xml:space="preserve">moving to independent living </w:t>
      </w:r>
    </w:p>
    <w:p w14:paraId="7300524E" w14:textId="34BFADC6"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remain living within their family or </w:t>
      </w:r>
      <w:r w:rsidR="00FD737E" w:rsidRPr="006F3EF7">
        <w:rPr>
          <w:rFonts w:cs="Arial"/>
          <w:sz w:val="22"/>
        </w:rPr>
        <w:t>whānau</w:t>
      </w:r>
      <w:r w:rsidRPr="006F3EF7">
        <w:rPr>
          <w:rFonts w:cs="Arial"/>
          <w:sz w:val="22"/>
        </w:rPr>
        <w:t xml:space="preserve"> </w:t>
      </w:r>
    </w:p>
    <w:p w14:paraId="6E625FDC"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remain living independently </w:t>
      </w:r>
    </w:p>
    <w:p w14:paraId="4F047FEB"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enabling family or carers to receive support so they can continue their caring roles </w:t>
      </w:r>
    </w:p>
    <w:p w14:paraId="7AAC4417"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improving skills and capabilities to support independence and participation </w:t>
      </w:r>
    </w:p>
    <w:p w14:paraId="3DBD31DF"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having more opportunities for relationships </w:t>
      </w:r>
    </w:p>
    <w:p w14:paraId="1E2F1A3F"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having more opportunities for community access and participation</w:t>
      </w:r>
    </w:p>
    <w:p w14:paraId="100E9B63"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having more opportunities for inclusion in cultural activities </w:t>
      </w:r>
    </w:p>
    <w:p w14:paraId="1B6BD6CB" w14:textId="1C6FDFAA"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being able to carry out family and </w:t>
      </w:r>
      <w:r w:rsidR="00FD737E" w:rsidRPr="006F3EF7">
        <w:rPr>
          <w:rFonts w:cs="Arial"/>
          <w:sz w:val="22"/>
        </w:rPr>
        <w:t>whānau</w:t>
      </w:r>
      <w:r w:rsidRPr="006F3EF7">
        <w:rPr>
          <w:rFonts w:cs="Arial"/>
          <w:sz w:val="22"/>
        </w:rPr>
        <w:t xml:space="preserve"> responsibilities </w:t>
      </w:r>
    </w:p>
    <w:p w14:paraId="131BFB92"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participating in education or further training </w:t>
      </w:r>
    </w:p>
    <w:p w14:paraId="338ED101"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improving paid and unpaid employment opportunities.  </w:t>
      </w:r>
    </w:p>
    <w:p w14:paraId="08F4D95A" w14:textId="6F409DC9" w:rsidR="006F3EF7" w:rsidRPr="006F3EF7" w:rsidRDefault="006F3EF7" w:rsidP="006F3EF7">
      <w:pPr>
        <w:keepNext/>
        <w:keepLines/>
        <w:spacing w:before="200" w:after="120"/>
        <w:outlineLvl w:val="2"/>
        <w:rPr>
          <w:rFonts w:cs="Arial"/>
          <w:b/>
          <w:bCs/>
          <w:i/>
          <w:sz w:val="22"/>
        </w:rPr>
      </w:pPr>
      <w:r w:rsidRPr="006F3EF7">
        <w:rPr>
          <w:rFonts w:cs="Arial"/>
          <w:b/>
          <w:bCs/>
          <w:i/>
          <w:sz w:val="22"/>
        </w:rPr>
        <w:t xml:space="preserve">Criteria Three: They are within scope of relevant Ministry policies and responsibilities </w:t>
      </w:r>
    </w:p>
    <w:p w14:paraId="3442F7D6"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General policies of the Ministry affecting what disability supports can be purchased are the following: </w:t>
      </w:r>
    </w:p>
    <w:p w14:paraId="082A91AE" w14:textId="77777777" w:rsidR="006F3EF7" w:rsidRPr="006F3EF7" w:rsidRDefault="006F3EF7" w:rsidP="006F3EF7">
      <w:pPr>
        <w:numPr>
          <w:ilvl w:val="0"/>
          <w:numId w:val="17"/>
        </w:numPr>
        <w:spacing w:after="120" w:line="240" w:lineRule="auto"/>
        <w:jc w:val="both"/>
        <w:rPr>
          <w:rFonts w:cs="Arial"/>
          <w:sz w:val="22"/>
        </w:rPr>
      </w:pPr>
      <w:r w:rsidRPr="006F3EF7">
        <w:rPr>
          <w:rFonts w:cs="Arial"/>
          <w:sz w:val="22"/>
        </w:rPr>
        <w:t xml:space="preserve">Disability supports should be the most cost effective and relevant way to support a person to achieve outcomes identified in their plan.  </w:t>
      </w:r>
    </w:p>
    <w:p w14:paraId="642377E1" w14:textId="77777777" w:rsidR="006F3EF7" w:rsidRPr="006F3EF7" w:rsidRDefault="006F3EF7" w:rsidP="006F3EF7">
      <w:pPr>
        <w:numPr>
          <w:ilvl w:val="0"/>
          <w:numId w:val="17"/>
        </w:numPr>
        <w:spacing w:after="120" w:line="240" w:lineRule="auto"/>
        <w:jc w:val="both"/>
        <w:rPr>
          <w:rFonts w:cs="Arial"/>
          <w:sz w:val="22"/>
        </w:rPr>
      </w:pPr>
      <w:r w:rsidRPr="006F3EF7">
        <w:rPr>
          <w:rFonts w:cs="Arial"/>
          <w:sz w:val="22"/>
        </w:rPr>
        <w:t xml:space="preserve">Disability supports can only be purchased when informal supports, community services and government services available to all members of the community (such as health, education, welfare benefits, and child, youth and family services) have been explored and found to be unavailable, insufficient, or inappropriate. </w:t>
      </w:r>
    </w:p>
    <w:p w14:paraId="3FBAF15E" w14:textId="77777777" w:rsidR="006F3EF7" w:rsidRPr="006F3EF7" w:rsidRDefault="006F3EF7" w:rsidP="006F3EF7">
      <w:pPr>
        <w:numPr>
          <w:ilvl w:val="0"/>
          <w:numId w:val="17"/>
        </w:numPr>
        <w:spacing w:after="120" w:line="240" w:lineRule="auto"/>
        <w:jc w:val="both"/>
        <w:rPr>
          <w:rFonts w:cs="Arial"/>
          <w:sz w:val="22"/>
        </w:rPr>
      </w:pPr>
      <w:r w:rsidRPr="006F3EF7">
        <w:rPr>
          <w:rFonts w:cs="Arial"/>
          <w:sz w:val="22"/>
        </w:rPr>
        <w:t>Funding cannot be used to purchase disability supports that are wholly or partly funded by other government departments or agencies, such as community participation services, supported employment, special education support, the telephone relay service, or the total mobility scheme, unless the Ministry of Health and another agency have joint funding responsibilities in relation to that support.</w:t>
      </w:r>
    </w:p>
    <w:p w14:paraId="01CA7BF1" w14:textId="77777777" w:rsidR="006F3EF7" w:rsidRPr="006F3EF7" w:rsidRDefault="006F3EF7" w:rsidP="006F3EF7">
      <w:pPr>
        <w:spacing w:after="120"/>
        <w:ind w:left="360"/>
        <w:jc w:val="both"/>
        <w:rPr>
          <w:rFonts w:cs="Arial"/>
          <w:sz w:val="22"/>
        </w:rPr>
      </w:pPr>
      <w:r w:rsidRPr="006F3EF7">
        <w:rPr>
          <w:rFonts w:cs="Arial"/>
          <w:sz w:val="22"/>
        </w:rPr>
        <w:t xml:space="preserve">  </w:t>
      </w:r>
      <w:r w:rsidRPr="006F3EF7">
        <w:rPr>
          <w:rFonts w:cs="Arial"/>
          <w:sz w:val="22"/>
        </w:rPr>
        <w:br w:type="page"/>
      </w:r>
    </w:p>
    <w:p w14:paraId="50018964" w14:textId="0C2A6942" w:rsidR="006F3EF7" w:rsidRPr="00DE6BA2" w:rsidRDefault="006F3EF7" w:rsidP="006F3EF7">
      <w:pPr>
        <w:numPr>
          <w:ilvl w:val="0"/>
          <w:numId w:val="17"/>
        </w:numPr>
        <w:spacing w:after="120" w:line="240" w:lineRule="auto"/>
        <w:jc w:val="both"/>
        <w:rPr>
          <w:rFonts w:cs="Arial"/>
          <w:sz w:val="22"/>
        </w:rPr>
      </w:pPr>
      <w:r w:rsidRPr="00DE6BA2">
        <w:rPr>
          <w:rFonts w:cs="Arial"/>
          <w:sz w:val="22"/>
        </w:rPr>
        <w:lastRenderedPageBreak/>
        <w:t>Funding must not be used to purchase types of support that are funded by the Ministry  but which are excluded from the scope of a particular initiative</w:t>
      </w:r>
      <w:r w:rsidRPr="00DE6BA2">
        <w:rPr>
          <w:rFonts w:cs="Arial"/>
          <w:sz w:val="22"/>
          <w:vertAlign w:val="superscript"/>
        </w:rPr>
        <w:footnoteReference w:id="7"/>
      </w:r>
      <w:r w:rsidRPr="00DE6BA2">
        <w:rPr>
          <w:rFonts w:cs="Arial"/>
          <w:sz w:val="22"/>
        </w:rPr>
        <w:t xml:space="preserve"> unless:</w:t>
      </w:r>
    </w:p>
    <w:p w14:paraId="6600AE0D" w14:textId="77777777" w:rsidR="006F3EF7" w:rsidRPr="00DE6BA2" w:rsidRDefault="006F3EF7" w:rsidP="006F3EF7">
      <w:pPr>
        <w:numPr>
          <w:ilvl w:val="0"/>
          <w:numId w:val="18"/>
        </w:numPr>
        <w:spacing w:after="120" w:line="240" w:lineRule="auto"/>
        <w:jc w:val="both"/>
        <w:rPr>
          <w:rFonts w:cs="Arial"/>
          <w:sz w:val="22"/>
        </w:rPr>
      </w:pPr>
      <w:r w:rsidRPr="00DE6BA2">
        <w:rPr>
          <w:rFonts w:cs="Arial"/>
          <w:sz w:val="22"/>
        </w:rPr>
        <w:t xml:space="preserve">a person has been considered for those excluded types of support; and </w:t>
      </w:r>
    </w:p>
    <w:p w14:paraId="432208B5" w14:textId="6466B78B" w:rsidR="006F3EF7" w:rsidRPr="00DE6BA2" w:rsidRDefault="006F3EF7" w:rsidP="006F3EF7">
      <w:pPr>
        <w:numPr>
          <w:ilvl w:val="0"/>
          <w:numId w:val="18"/>
        </w:numPr>
        <w:spacing w:after="120" w:line="240" w:lineRule="auto"/>
        <w:jc w:val="both"/>
        <w:rPr>
          <w:rFonts w:cs="Arial"/>
          <w:sz w:val="22"/>
        </w:rPr>
      </w:pPr>
      <w:r w:rsidRPr="00DE6BA2">
        <w:rPr>
          <w:rFonts w:cs="Arial"/>
          <w:sz w:val="22"/>
        </w:rPr>
        <w:t xml:space="preserve">doing so contributes to cost of services that are over and above the amount that is already funded by the Ministry; and </w:t>
      </w:r>
    </w:p>
    <w:p w14:paraId="0BB4D562" w14:textId="066A55FE" w:rsidR="006F3EF7" w:rsidRPr="00DE6BA2" w:rsidRDefault="006F3EF7" w:rsidP="006F3EF7">
      <w:pPr>
        <w:numPr>
          <w:ilvl w:val="0"/>
          <w:numId w:val="18"/>
        </w:numPr>
        <w:spacing w:after="120" w:line="240" w:lineRule="auto"/>
        <w:jc w:val="both"/>
        <w:rPr>
          <w:rFonts w:cs="Arial"/>
          <w:sz w:val="22"/>
        </w:rPr>
      </w:pPr>
      <w:r w:rsidRPr="00DE6BA2">
        <w:rPr>
          <w:rFonts w:cs="Arial"/>
          <w:sz w:val="22"/>
        </w:rPr>
        <w:t>doing so would contribute to a person achieving outco</w:t>
      </w:r>
      <w:r w:rsidR="00571395">
        <w:rPr>
          <w:rFonts w:cs="Arial"/>
          <w:sz w:val="22"/>
        </w:rPr>
        <w:t>mes identified in their support</w:t>
      </w:r>
      <w:r w:rsidRPr="00DE6BA2">
        <w:rPr>
          <w:rFonts w:cs="Arial"/>
          <w:sz w:val="22"/>
        </w:rPr>
        <w:t xml:space="preserve"> plan that could not be achieved in any other way. </w:t>
      </w:r>
    </w:p>
    <w:p w14:paraId="336ACAF9" w14:textId="77777777" w:rsidR="006F3EF7" w:rsidRPr="00DE6BA2" w:rsidRDefault="006F3EF7" w:rsidP="006F3EF7">
      <w:pPr>
        <w:numPr>
          <w:ilvl w:val="0"/>
          <w:numId w:val="17"/>
        </w:numPr>
        <w:tabs>
          <w:tab w:val="num" w:pos="927"/>
        </w:tabs>
        <w:spacing w:after="120" w:line="240" w:lineRule="auto"/>
        <w:jc w:val="both"/>
        <w:rPr>
          <w:rFonts w:cs="Arial"/>
          <w:sz w:val="22"/>
        </w:rPr>
      </w:pPr>
      <w:r w:rsidRPr="00DE6BA2">
        <w:rPr>
          <w:rFonts w:cs="Arial"/>
          <w:sz w:val="22"/>
        </w:rPr>
        <w:t>Ministry funding for disability support cannot be used for:</w:t>
      </w:r>
    </w:p>
    <w:p w14:paraId="22F9790B" w14:textId="77777777" w:rsidR="006F3EF7" w:rsidRPr="00DE6BA2" w:rsidRDefault="006F3EF7" w:rsidP="006F3EF7">
      <w:pPr>
        <w:numPr>
          <w:ilvl w:val="0"/>
          <w:numId w:val="18"/>
        </w:numPr>
        <w:tabs>
          <w:tab w:val="num" w:pos="1080"/>
        </w:tabs>
        <w:spacing w:after="120" w:line="240" w:lineRule="auto"/>
        <w:jc w:val="both"/>
        <w:rPr>
          <w:rFonts w:cs="Arial"/>
          <w:sz w:val="22"/>
        </w:rPr>
      </w:pPr>
      <w:r w:rsidRPr="00DE6BA2">
        <w:rPr>
          <w:rFonts w:cs="Arial"/>
          <w:sz w:val="22"/>
        </w:rPr>
        <w:t xml:space="preserve">support for conditions or injuries that are the responsibility of other government agencies such as the Accident Compensation Act 2001 and district health boards  </w:t>
      </w:r>
    </w:p>
    <w:p w14:paraId="57A55284" w14:textId="77777777" w:rsidR="006F3EF7" w:rsidRPr="00DE6BA2" w:rsidRDefault="006F3EF7" w:rsidP="006F3EF7">
      <w:pPr>
        <w:numPr>
          <w:ilvl w:val="0"/>
          <w:numId w:val="18"/>
        </w:numPr>
        <w:tabs>
          <w:tab w:val="num" w:pos="1080"/>
        </w:tabs>
        <w:spacing w:after="120" w:line="240" w:lineRule="auto"/>
        <w:jc w:val="both"/>
        <w:rPr>
          <w:rFonts w:cs="Arial"/>
          <w:sz w:val="22"/>
        </w:rPr>
      </w:pPr>
      <w:r w:rsidRPr="00DE6BA2">
        <w:rPr>
          <w:rFonts w:cs="Arial"/>
          <w:sz w:val="22"/>
        </w:rPr>
        <w:t>the payment of family caregivers</w:t>
      </w:r>
      <w:r>
        <w:rPr>
          <w:rFonts w:cs="Arial"/>
          <w:sz w:val="22"/>
        </w:rPr>
        <w:t xml:space="preserve"> where this contravenes Ministry policy</w:t>
      </w:r>
      <w:r w:rsidRPr="00DE6BA2">
        <w:rPr>
          <w:rFonts w:cs="Arial"/>
          <w:sz w:val="22"/>
          <w:vertAlign w:val="superscript"/>
        </w:rPr>
        <w:footnoteReference w:id="8"/>
      </w:r>
      <w:r w:rsidRPr="00DE6BA2">
        <w:rPr>
          <w:rFonts w:cs="Arial"/>
          <w:sz w:val="22"/>
          <w:vertAlign w:val="superscript"/>
        </w:rPr>
        <w:t xml:space="preserve"> </w:t>
      </w:r>
    </w:p>
    <w:p w14:paraId="7C5B82A4" w14:textId="77777777" w:rsidR="006F3EF7" w:rsidRPr="00DE6BA2" w:rsidRDefault="006F3EF7" w:rsidP="006F3EF7">
      <w:pPr>
        <w:numPr>
          <w:ilvl w:val="0"/>
          <w:numId w:val="18"/>
        </w:numPr>
        <w:tabs>
          <w:tab w:val="num" w:pos="1080"/>
        </w:tabs>
        <w:spacing w:after="120" w:line="240" w:lineRule="auto"/>
        <w:jc w:val="both"/>
        <w:rPr>
          <w:rFonts w:cs="Arial"/>
          <w:sz w:val="22"/>
        </w:rPr>
      </w:pPr>
      <w:r w:rsidRPr="00DE6BA2">
        <w:rPr>
          <w:rFonts w:cs="Arial"/>
          <w:sz w:val="22"/>
        </w:rPr>
        <w:t xml:space="preserve">personal advocacy services </w:t>
      </w:r>
    </w:p>
    <w:p w14:paraId="5DAFD4F9" w14:textId="77777777" w:rsidR="006F3EF7" w:rsidRPr="00DE6BA2" w:rsidRDefault="006F3EF7" w:rsidP="006F3EF7">
      <w:pPr>
        <w:numPr>
          <w:ilvl w:val="0"/>
          <w:numId w:val="18"/>
        </w:numPr>
        <w:tabs>
          <w:tab w:val="num" w:pos="1080"/>
        </w:tabs>
        <w:spacing w:after="120" w:line="240" w:lineRule="auto"/>
        <w:jc w:val="both"/>
        <w:rPr>
          <w:rFonts w:cs="Arial"/>
          <w:sz w:val="22"/>
        </w:rPr>
      </w:pPr>
      <w:r w:rsidRPr="00DE6BA2">
        <w:rPr>
          <w:rFonts w:cs="Arial"/>
          <w:sz w:val="22"/>
        </w:rPr>
        <w:t xml:space="preserve">anything that is illegal </w:t>
      </w:r>
    </w:p>
    <w:p w14:paraId="3D8A36FD" w14:textId="77777777" w:rsidR="006F3EF7" w:rsidRPr="00DE6BA2" w:rsidRDefault="006F3EF7" w:rsidP="006F3EF7">
      <w:pPr>
        <w:numPr>
          <w:ilvl w:val="0"/>
          <w:numId w:val="18"/>
        </w:numPr>
        <w:tabs>
          <w:tab w:val="num" w:pos="1080"/>
        </w:tabs>
        <w:spacing w:after="120" w:line="240" w:lineRule="auto"/>
        <w:jc w:val="both"/>
        <w:rPr>
          <w:rFonts w:cs="Arial"/>
          <w:sz w:val="22"/>
        </w:rPr>
      </w:pPr>
      <w:r w:rsidRPr="00DE6BA2">
        <w:rPr>
          <w:rFonts w:cs="Arial"/>
          <w:sz w:val="22"/>
        </w:rPr>
        <w:t xml:space="preserve">gambling, tobacco or alcohol. </w:t>
      </w:r>
    </w:p>
    <w:p w14:paraId="2E2CDB4D" w14:textId="06C135CE" w:rsidR="006F3EF7" w:rsidRPr="006F3EF7" w:rsidRDefault="006F3EF7" w:rsidP="006F3EF7">
      <w:pPr>
        <w:rPr>
          <w:lang w:eastAsia="ko-KR"/>
        </w:rPr>
      </w:pPr>
    </w:p>
    <w:sectPr w:rsidR="006F3EF7" w:rsidRPr="006F3EF7" w:rsidSect="00307C82">
      <w:footerReference w:type="default" r:id="rId8"/>
      <w:pgSz w:w="11906" w:h="16838" w:code="9"/>
      <w:pgMar w:top="1134" w:right="1361" w:bottom="1134" w:left="136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5F2A" w14:textId="77777777" w:rsidR="00CB594E" w:rsidRDefault="00CB594E" w:rsidP="007C1345">
      <w:pPr>
        <w:spacing w:after="0" w:line="240" w:lineRule="auto"/>
      </w:pPr>
      <w:r>
        <w:separator/>
      </w:r>
    </w:p>
  </w:endnote>
  <w:endnote w:type="continuationSeparator" w:id="0">
    <w:p w14:paraId="2D541717" w14:textId="77777777" w:rsidR="00CB594E" w:rsidRDefault="00CB594E" w:rsidP="007C1345">
      <w:pPr>
        <w:spacing w:after="0" w:line="240" w:lineRule="auto"/>
      </w:pPr>
      <w:r>
        <w:continuationSeparator/>
      </w:r>
    </w:p>
  </w:endnote>
  <w:endnote w:type="continuationNotice" w:id="1">
    <w:p w14:paraId="2EF00A5B" w14:textId="77777777" w:rsidR="00CB594E" w:rsidRDefault="00CB59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Mäori">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334C" w14:textId="77777777" w:rsidR="00495DD3" w:rsidRDefault="00495DD3" w:rsidP="00495DD3">
    <w:pPr>
      <w:pStyle w:val="Footer"/>
      <w:tabs>
        <w:tab w:val="clear" w:pos="4153"/>
        <w:tab w:val="clear" w:pos="8306"/>
        <w:tab w:val="center" w:pos="4678"/>
        <w:tab w:val="right" w:pos="9072"/>
      </w:tabs>
      <w:ind w:right="-46"/>
      <w:jc w:val="left"/>
      <w:rPr>
        <w:rFonts w:ascii="Arial" w:hAnsi="Arial" w:cs="Arial"/>
        <w:sz w:val="16"/>
      </w:rPr>
    </w:pPr>
  </w:p>
  <w:p w14:paraId="145986FB" w14:textId="6FFBCC36" w:rsidR="00495DD3" w:rsidRDefault="00495DD3" w:rsidP="00495DD3">
    <w:pPr>
      <w:pStyle w:val="Footer"/>
      <w:tabs>
        <w:tab w:val="clear" w:pos="4153"/>
        <w:tab w:val="clear" w:pos="8306"/>
        <w:tab w:val="center" w:pos="4678"/>
        <w:tab w:val="right" w:pos="9072"/>
      </w:tabs>
      <w:ind w:right="-46"/>
      <w:jc w:val="left"/>
      <w:rPr>
        <w:rFonts w:ascii="Arial" w:eastAsiaTheme="minorHAnsi" w:hAnsi="Arial" w:cs="Arial"/>
        <w:sz w:val="16"/>
        <w:szCs w:val="22"/>
      </w:rPr>
    </w:pPr>
    <w:r>
      <w:rPr>
        <w:rFonts w:ascii="Arial" w:hAnsi="Arial" w:cs="Arial"/>
        <w:sz w:val="16"/>
      </w:rPr>
      <w:t>Choice in Community Living</w:t>
    </w:r>
    <w:r>
      <w:rPr>
        <w:rFonts w:cs="Arial"/>
        <w:sz w:val="16"/>
      </w:rPr>
      <w:tab/>
    </w:r>
    <w:sdt>
      <w:sdtPr>
        <w:rPr>
          <w:sz w:val="16"/>
        </w:rPr>
        <w:id w:val="-823114134"/>
        <w:docPartObj>
          <w:docPartGallery w:val="Page Numbers (Top of Page)"/>
          <w:docPartUnique/>
        </w:docPartObj>
      </w:sdtPr>
      <w:sdtContent>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w:instrText>
        </w:r>
        <w:r>
          <w:rPr>
            <w:rFonts w:ascii="Arial" w:hAnsi="Arial" w:cs="Arial"/>
            <w:bCs/>
            <w:sz w:val="16"/>
          </w:rPr>
          <w:fldChar w:fldCharType="separate"/>
        </w:r>
        <w:r w:rsidR="00F80647">
          <w:rPr>
            <w:rFonts w:ascii="Arial" w:hAnsi="Arial" w:cs="Arial"/>
            <w:bCs/>
            <w:noProof/>
            <w:sz w:val="16"/>
          </w:rPr>
          <w:t>1</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w:instrText>
        </w:r>
        <w:r>
          <w:rPr>
            <w:rFonts w:ascii="Arial" w:hAnsi="Arial" w:cs="Arial"/>
            <w:bCs/>
            <w:sz w:val="16"/>
          </w:rPr>
          <w:fldChar w:fldCharType="separate"/>
        </w:r>
        <w:r w:rsidR="00F80647">
          <w:rPr>
            <w:rFonts w:ascii="Arial" w:hAnsi="Arial" w:cs="Arial"/>
            <w:bCs/>
            <w:noProof/>
            <w:sz w:val="16"/>
          </w:rPr>
          <w:t>19</w:t>
        </w:r>
        <w:r>
          <w:rPr>
            <w:rFonts w:ascii="Arial" w:hAnsi="Arial" w:cs="Arial"/>
            <w:bCs/>
            <w:sz w:val="16"/>
          </w:rPr>
          <w:fldChar w:fldCharType="end"/>
        </w:r>
        <w:r>
          <w:rPr>
            <w:rFonts w:ascii="Arial" w:hAnsi="Arial" w:cs="Arial"/>
            <w:bCs/>
            <w:sz w:val="16"/>
          </w:rPr>
          <w:t xml:space="preserve"> </w:t>
        </w:r>
      </w:sdtContent>
    </w:sdt>
    <w:r>
      <w:rPr>
        <w:rFonts w:cs="Arial"/>
        <w:bCs/>
        <w:sz w:val="16"/>
      </w:rPr>
      <w:tab/>
    </w:r>
    <w:r>
      <w:rPr>
        <w:rFonts w:ascii="Arial" w:eastAsiaTheme="minorHAnsi" w:hAnsi="Arial" w:cs="Arial"/>
        <w:sz w:val="16"/>
        <w:szCs w:val="22"/>
      </w:rPr>
      <w:t xml:space="preserve">Version </w:t>
    </w:r>
    <w:r w:rsidR="00735160">
      <w:rPr>
        <w:rFonts w:ascii="Arial" w:eastAsiaTheme="minorHAnsi" w:hAnsi="Arial" w:cs="Arial"/>
        <w:sz w:val="16"/>
        <w:szCs w:val="22"/>
      </w:rPr>
      <w:t>3</w:t>
    </w:r>
    <w:r>
      <w:rPr>
        <w:rFonts w:ascii="Arial" w:eastAsiaTheme="minorHAnsi" w:hAnsi="Arial" w:cs="Arial"/>
        <w:sz w:val="16"/>
        <w:szCs w:val="22"/>
      </w:rPr>
      <w:t>.0</w:t>
    </w:r>
  </w:p>
  <w:p w14:paraId="499C0E18" w14:textId="0351C8CB" w:rsidR="00495DD3" w:rsidRDefault="00495DD3" w:rsidP="00495DD3">
    <w:pPr>
      <w:tabs>
        <w:tab w:val="center" w:pos="4678"/>
        <w:tab w:val="right" w:pos="9072"/>
      </w:tabs>
      <w:spacing w:after="0" w:line="240" w:lineRule="auto"/>
      <w:ind w:right="-46"/>
      <w:rPr>
        <w:rFonts w:cs="Arial"/>
        <w:sz w:val="16"/>
      </w:rPr>
    </w:pPr>
    <w:r>
      <w:rPr>
        <w:rFonts w:cs="Arial"/>
        <w:sz w:val="16"/>
      </w:rPr>
      <w:t>Tier Two Service Specification</w:t>
    </w:r>
    <w:r>
      <w:rPr>
        <w:rFonts w:cs="Arial"/>
        <w:sz w:val="16"/>
      </w:rPr>
      <w:tab/>
    </w:r>
    <w:r>
      <w:rPr>
        <w:rFonts w:cs="Arial"/>
        <w:sz w:val="16"/>
      </w:rPr>
      <w:tab/>
    </w:r>
    <w:r w:rsidR="00735160">
      <w:rPr>
        <w:rFonts w:cs="Arial"/>
        <w:sz w:val="16"/>
      </w:rPr>
      <w:t>August</w:t>
    </w:r>
    <w:r w:rsidR="0017235A">
      <w:rPr>
        <w:rFonts w:cs="Arial"/>
        <w:sz w:val="16"/>
      </w:rPr>
      <w:t xml:space="preserve"> 2023</w:t>
    </w:r>
  </w:p>
  <w:p w14:paraId="6B6BE696" w14:textId="21D446F2" w:rsidR="00352B95" w:rsidRPr="00BD0A88" w:rsidRDefault="00352B95" w:rsidP="00352B95">
    <w:pPr>
      <w:tabs>
        <w:tab w:val="right" w:pos="9072"/>
      </w:tabs>
      <w:spacing w:after="0" w:line="240" w:lineRule="auto"/>
      <w:rPr>
        <w:rFonts w:cs="Arial"/>
        <w:sz w:val="2"/>
      </w:rPr>
    </w:pPr>
    <w:r>
      <w:rPr>
        <w:rFonts w:cs="Arial"/>
        <w:sz w:val="16"/>
      </w:rPr>
      <w:t>Whaikaha Ministry of Disabled People</w:t>
    </w:r>
  </w:p>
  <w:p w14:paraId="02D5906E" w14:textId="2579EDCC" w:rsidR="00495DD3" w:rsidRPr="00F5647E" w:rsidRDefault="00495DD3" w:rsidP="00495DD3">
    <w:pPr>
      <w:spacing w:after="0" w:line="240" w:lineRule="auto"/>
      <w:rPr>
        <w:sz w:val="16"/>
      </w:rPr>
    </w:pPr>
  </w:p>
  <w:p w14:paraId="086ED568" w14:textId="18501B8E" w:rsidR="00495DD3" w:rsidRDefault="00495DD3">
    <w:pPr>
      <w:pStyle w:val="Footer"/>
    </w:pPr>
  </w:p>
  <w:p w14:paraId="6543C508" w14:textId="77777777" w:rsidR="00495DD3" w:rsidRDefault="0049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B777" w14:textId="77777777" w:rsidR="00CB594E" w:rsidRDefault="00CB594E" w:rsidP="007C1345">
      <w:pPr>
        <w:spacing w:after="0" w:line="240" w:lineRule="auto"/>
      </w:pPr>
      <w:r>
        <w:separator/>
      </w:r>
    </w:p>
  </w:footnote>
  <w:footnote w:type="continuationSeparator" w:id="0">
    <w:p w14:paraId="3EE4D3B8" w14:textId="77777777" w:rsidR="00CB594E" w:rsidRDefault="00CB594E" w:rsidP="007C1345">
      <w:pPr>
        <w:spacing w:after="0" w:line="240" w:lineRule="auto"/>
      </w:pPr>
      <w:r>
        <w:continuationSeparator/>
      </w:r>
    </w:p>
  </w:footnote>
  <w:footnote w:type="continuationNotice" w:id="1">
    <w:p w14:paraId="3529EAF3" w14:textId="77777777" w:rsidR="00CB594E" w:rsidRDefault="00CB594E">
      <w:pPr>
        <w:spacing w:after="0" w:line="240" w:lineRule="auto"/>
      </w:pPr>
    </w:p>
  </w:footnote>
  <w:footnote w:id="2">
    <w:p w14:paraId="715594B6" w14:textId="77777777" w:rsidR="00035888" w:rsidRPr="00A8246D" w:rsidRDefault="00035888" w:rsidP="00F30499">
      <w:pPr>
        <w:pStyle w:val="FootnoteText"/>
        <w:rPr>
          <w:lang w:val="en-NZ"/>
        </w:rPr>
      </w:pPr>
      <w:r w:rsidRPr="00A74AAA">
        <w:rPr>
          <w:rStyle w:val="FootnoteReference"/>
          <w:rFonts w:ascii="Arial" w:hAnsi="Arial" w:cs="Arial"/>
        </w:rPr>
        <w:footnoteRef/>
      </w:r>
      <w:r w:rsidRPr="00A74AAA">
        <w:rPr>
          <w:rStyle w:val="FootnoteReference"/>
          <w:rFonts w:ascii="Arial" w:hAnsi="Arial" w:cs="Arial"/>
        </w:rPr>
        <w:t xml:space="preserve"> </w:t>
      </w:r>
      <w:r>
        <w:rPr>
          <w:rFonts w:ascii="Arial" w:hAnsi="Arial" w:cs="Arial"/>
        </w:rPr>
        <w:t xml:space="preserve"> </w:t>
      </w:r>
      <w:r w:rsidRPr="00A74AAA">
        <w:rPr>
          <w:rFonts w:ascii="Arial" w:hAnsi="Arial" w:cs="Arial"/>
          <w:color w:val="000000" w:themeColor="text1"/>
          <w:sz w:val="16"/>
          <w:szCs w:val="16"/>
          <w:lang w:val="en"/>
        </w:rPr>
        <w:t>This</w:t>
      </w:r>
      <w:r>
        <w:rPr>
          <w:rFonts w:ascii="Arial" w:hAnsi="Arial" w:cs="Arial"/>
          <w:color w:val="000000" w:themeColor="text1"/>
          <w:sz w:val="16"/>
          <w:szCs w:val="16"/>
          <w:lang w:val="en"/>
        </w:rPr>
        <w:t xml:space="preserve"> term includes</w:t>
      </w:r>
      <w:r w:rsidRPr="00A74AAA">
        <w:rPr>
          <w:rFonts w:ascii="Arial" w:hAnsi="Arial" w:cs="Arial"/>
          <w:color w:val="000000" w:themeColor="text1"/>
          <w:sz w:val="16"/>
          <w:szCs w:val="16"/>
          <w:lang w:val="en"/>
        </w:rPr>
        <w:t xml:space="preserve"> </w:t>
      </w:r>
      <w:r>
        <w:rPr>
          <w:rFonts w:ascii="Arial" w:hAnsi="Arial" w:cs="Arial"/>
          <w:color w:val="000000" w:themeColor="text1"/>
          <w:sz w:val="16"/>
          <w:szCs w:val="16"/>
          <w:lang w:val="en"/>
        </w:rPr>
        <w:t>‘</w:t>
      </w:r>
      <w:r w:rsidRPr="00A74AAA">
        <w:rPr>
          <w:rFonts w:ascii="Arial" w:hAnsi="Arial" w:cs="Arial"/>
          <w:color w:val="000000" w:themeColor="text1"/>
          <w:sz w:val="16"/>
          <w:szCs w:val="16"/>
          <w:lang w:val="en"/>
        </w:rPr>
        <w:t>Local Are</w:t>
      </w:r>
      <w:r>
        <w:rPr>
          <w:rFonts w:ascii="Arial" w:hAnsi="Arial" w:cs="Arial"/>
          <w:color w:val="000000" w:themeColor="text1"/>
          <w:sz w:val="16"/>
          <w:szCs w:val="16"/>
          <w:lang w:val="en"/>
        </w:rPr>
        <w:t>a Coordinators’ or ‘N</w:t>
      </w:r>
      <w:r w:rsidRPr="00A74AAA">
        <w:rPr>
          <w:rFonts w:ascii="Arial" w:hAnsi="Arial" w:cs="Arial"/>
          <w:color w:val="000000" w:themeColor="text1"/>
          <w:sz w:val="16"/>
          <w:szCs w:val="16"/>
          <w:lang w:val="en"/>
        </w:rPr>
        <w:t>avigators</w:t>
      </w:r>
      <w:r>
        <w:rPr>
          <w:rFonts w:ascii="Arial" w:hAnsi="Arial" w:cs="Arial"/>
          <w:color w:val="000000" w:themeColor="text1"/>
          <w:sz w:val="16"/>
          <w:szCs w:val="16"/>
          <w:lang w:val="en"/>
        </w:rPr>
        <w:t>’</w:t>
      </w:r>
    </w:p>
  </w:footnote>
  <w:footnote w:id="3">
    <w:p w14:paraId="166A378A" w14:textId="6E14EE7A" w:rsidR="00035888" w:rsidRPr="00FA2C3C" w:rsidRDefault="00035888" w:rsidP="00FA2C3C">
      <w:pPr>
        <w:pStyle w:val="FootnoteText"/>
        <w:ind w:left="142" w:hanging="142"/>
        <w:rPr>
          <w:rFonts w:ascii="Arial" w:hAnsi="Arial" w:cs="Arial"/>
          <w:sz w:val="16"/>
          <w:szCs w:val="16"/>
          <w:lang w:val="en-NZ"/>
        </w:rPr>
      </w:pPr>
      <w:r w:rsidRPr="00FA2C3C">
        <w:rPr>
          <w:rStyle w:val="FootnoteReference"/>
          <w:rFonts w:ascii="Arial" w:hAnsi="Arial" w:cs="Arial"/>
        </w:rPr>
        <w:footnoteRef/>
      </w:r>
      <w:r w:rsidRPr="00FA2C3C">
        <w:rPr>
          <w:rFonts w:ascii="Arial" w:hAnsi="Arial" w:cs="Arial"/>
          <w:sz w:val="16"/>
          <w:szCs w:val="16"/>
        </w:rPr>
        <w:t xml:space="preserve"> </w:t>
      </w:r>
      <w:r>
        <w:rPr>
          <w:rFonts w:ascii="Arial" w:hAnsi="Arial" w:cs="Arial"/>
          <w:sz w:val="16"/>
          <w:szCs w:val="16"/>
        </w:rPr>
        <w:t xml:space="preserve"> </w:t>
      </w:r>
      <w:r w:rsidRPr="00FA2C3C">
        <w:rPr>
          <w:rFonts w:ascii="Arial" w:hAnsi="Arial" w:cs="Arial"/>
          <w:color w:val="000000" w:themeColor="text1"/>
          <w:sz w:val="16"/>
          <w:szCs w:val="16"/>
          <w:lang w:val="en"/>
        </w:rPr>
        <w:t>Source: UN Enable, Chapter Six From provisions to practice: implementing the Convention – Legal Capacity and Supported Decision Making</w:t>
      </w:r>
    </w:p>
  </w:footnote>
  <w:footnote w:id="4">
    <w:p w14:paraId="4897C2FE" w14:textId="2AE9EC57" w:rsidR="00035888" w:rsidRPr="00DF3FB9" w:rsidRDefault="00035888" w:rsidP="004C1C41">
      <w:pPr>
        <w:pStyle w:val="FootnoteText"/>
        <w:ind w:left="142" w:hanging="142"/>
        <w:rPr>
          <w:rFonts w:ascii="Arial" w:hAnsi="Arial" w:cs="Arial"/>
          <w:sz w:val="16"/>
          <w:szCs w:val="16"/>
          <w:lang w:val="en-NZ"/>
        </w:rPr>
      </w:pPr>
      <w:r w:rsidRPr="00DF3FB9">
        <w:rPr>
          <w:rStyle w:val="FootnoteReference"/>
          <w:rFonts w:ascii="Arial" w:hAnsi="Arial" w:cs="Arial"/>
          <w:sz w:val="16"/>
          <w:szCs w:val="16"/>
        </w:rPr>
        <w:footnoteRef/>
      </w:r>
      <w:r w:rsidRPr="00DF3FB9">
        <w:rPr>
          <w:rFonts w:ascii="Arial" w:hAnsi="Arial" w:cs="Arial"/>
          <w:sz w:val="16"/>
          <w:szCs w:val="16"/>
        </w:rPr>
        <w:t xml:space="preserve"> </w:t>
      </w:r>
      <w:r>
        <w:rPr>
          <w:rFonts w:ascii="Arial" w:hAnsi="Arial" w:cs="Arial"/>
          <w:sz w:val="16"/>
          <w:szCs w:val="16"/>
        </w:rPr>
        <w:tab/>
        <w:t xml:space="preserve">As well as the CiCL service provider, </w:t>
      </w:r>
      <w:r>
        <w:rPr>
          <w:rFonts w:ascii="Arial" w:hAnsi="Arial" w:cs="Arial"/>
          <w:sz w:val="16"/>
          <w:szCs w:val="16"/>
          <w:lang w:val="en-NZ"/>
        </w:rPr>
        <w:t>other parties</w:t>
      </w:r>
      <w:r w:rsidRPr="00DF3FB9">
        <w:rPr>
          <w:rFonts w:ascii="Arial" w:hAnsi="Arial" w:cs="Arial"/>
          <w:sz w:val="16"/>
          <w:szCs w:val="16"/>
          <w:lang w:val="en-NZ"/>
        </w:rPr>
        <w:t xml:space="preserve"> could include family, friends, </w:t>
      </w:r>
      <w:r>
        <w:rPr>
          <w:rFonts w:ascii="Arial" w:hAnsi="Arial" w:cs="Arial"/>
          <w:sz w:val="16"/>
          <w:szCs w:val="16"/>
          <w:lang w:val="en-NZ"/>
        </w:rPr>
        <w:t xml:space="preserve">Independent Facilitator, </w:t>
      </w:r>
      <w:r w:rsidRPr="00DF3FB9">
        <w:rPr>
          <w:rFonts w:ascii="Arial" w:hAnsi="Arial" w:cs="Arial"/>
          <w:sz w:val="16"/>
          <w:szCs w:val="16"/>
          <w:lang w:val="en-NZ"/>
        </w:rPr>
        <w:t>community and natural supports</w:t>
      </w:r>
      <w:r>
        <w:rPr>
          <w:rFonts w:ascii="Arial" w:hAnsi="Arial" w:cs="Arial"/>
          <w:sz w:val="16"/>
          <w:szCs w:val="16"/>
          <w:lang w:val="en-NZ"/>
        </w:rPr>
        <w:t>.</w:t>
      </w:r>
    </w:p>
  </w:footnote>
  <w:footnote w:id="5">
    <w:p w14:paraId="6A24FFB0" w14:textId="0C10DCB5" w:rsidR="00035888" w:rsidRPr="00064501" w:rsidRDefault="00035888">
      <w:pPr>
        <w:pStyle w:val="FootnoteText"/>
        <w:rPr>
          <w:lang w:val="en-NZ"/>
        </w:rPr>
      </w:pPr>
      <w:r>
        <w:rPr>
          <w:rStyle w:val="FootnoteReference"/>
        </w:rPr>
        <w:footnoteRef/>
      </w:r>
      <w:r>
        <w:t xml:space="preserve"> </w:t>
      </w:r>
      <w:r w:rsidRPr="00064501">
        <w:rPr>
          <w:rFonts w:ascii="Arial" w:hAnsi="Arial" w:cs="Arial"/>
          <w:sz w:val="16"/>
          <w:szCs w:val="16"/>
        </w:rPr>
        <w:t>The fees for hosting direct fund holding may be subject for review and possible change</w:t>
      </w:r>
    </w:p>
  </w:footnote>
  <w:footnote w:id="6">
    <w:p w14:paraId="1FC39FC4" w14:textId="7577163F" w:rsidR="00035888" w:rsidRPr="006F3EF7" w:rsidRDefault="00035888">
      <w:pPr>
        <w:pStyle w:val="FootnoteText"/>
        <w:rPr>
          <w:lang w:val="en-NZ"/>
        </w:rPr>
      </w:pPr>
      <w:r>
        <w:rPr>
          <w:rStyle w:val="FootnoteReference"/>
        </w:rPr>
        <w:footnoteRef/>
      </w:r>
      <w:r>
        <w:t xml:space="preserve"> </w:t>
      </w:r>
      <w:r w:rsidRPr="006F3EF7">
        <w:rPr>
          <w:rFonts w:ascii="Arial" w:hAnsi="Arial" w:cs="Arial"/>
          <w:sz w:val="16"/>
          <w:szCs w:val="16"/>
        </w:rPr>
        <w:t>For more information see: http://www.moh.govt.nz/moh.nsf/indexmh/disability-fundedservices-nasc-faq#six</w:t>
      </w:r>
    </w:p>
  </w:footnote>
  <w:footnote w:id="7">
    <w:p w14:paraId="3543DAAE" w14:textId="77777777" w:rsidR="00035888" w:rsidRPr="006F3EF7" w:rsidRDefault="00035888" w:rsidP="006F3EF7">
      <w:pPr>
        <w:pStyle w:val="FootnoteText"/>
        <w:jc w:val="both"/>
        <w:rPr>
          <w:rFonts w:ascii="Arial" w:hAnsi="Arial" w:cs="Arial"/>
          <w:sz w:val="16"/>
          <w:szCs w:val="16"/>
        </w:rPr>
      </w:pPr>
      <w:r w:rsidRPr="00027C9D">
        <w:rPr>
          <w:rStyle w:val="FootnoteReference"/>
          <w:sz w:val="18"/>
          <w:szCs w:val="18"/>
        </w:rPr>
        <w:footnoteRef/>
      </w:r>
      <w:r w:rsidRPr="00027C9D">
        <w:rPr>
          <w:sz w:val="18"/>
          <w:szCs w:val="18"/>
        </w:rPr>
        <w:t xml:space="preserve"> </w:t>
      </w:r>
      <w:r w:rsidRPr="006F3EF7">
        <w:rPr>
          <w:rFonts w:ascii="Arial" w:hAnsi="Arial" w:cs="Arial"/>
          <w:sz w:val="16"/>
          <w:szCs w:val="16"/>
        </w:rPr>
        <w:t xml:space="preserve">These exclusions will be determined on a case by case basis.  It is unlikely, however, that Assessment Treatment and Rehabilitation Services (AT&amp;R); Child Development Services, Disability Information and Advisory Services; and Needs Assessment and Service Coordination Services will be included in any of New Model initiatives in the near future.  </w:t>
      </w:r>
    </w:p>
  </w:footnote>
  <w:footnote w:id="8">
    <w:p w14:paraId="0729256C" w14:textId="77777777" w:rsidR="00035888" w:rsidRPr="00B41C70" w:rsidRDefault="00035888" w:rsidP="006F3EF7">
      <w:pPr>
        <w:pStyle w:val="FootnoteText"/>
      </w:pPr>
      <w:r w:rsidRPr="006F3EF7">
        <w:rPr>
          <w:rStyle w:val="FootnoteReference"/>
          <w:rFonts w:ascii="Arial" w:hAnsi="Arial" w:cs="Arial"/>
          <w:sz w:val="16"/>
          <w:szCs w:val="16"/>
        </w:rPr>
        <w:footnoteRef/>
      </w:r>
      <w:r w:rsidRPr="006F3EF7">
        <w:rPr>
          <w:rFonts w:ascii="Arial" w:hAnsi="Arial" w:cs="Arial"/>
          <w:sz w:val="16"/>
          <w:szCs w:val="16"/>
        </w:rPr>
        <w:t xml:space="preserve"> Note: this policy will be revised once the Government has determined the response it will make to the Family Carers’ case (</w:t>
      </w:r>
      <w:r w:rsidRPr="006F3EF7">
        <w:rPr>
          <w:rFonts w:ascii="Arial" w:hAnsi="Arial" w:cs="Arial"/>
          <w:i/>
          <w:sz w:val="16"/>
          <w:szCs w:val="16"/>
        </w:rPr>
        <w:t>Ministry o</w:t>
      </w:r>
      <w:r w:rsidRPr="006F3EF7">
        <w:rPr>
          <w:rFonts w:ascii="Arial" w:hAnsi="Arial" w:cs="Arial"/>
          <w:sz w:val="16"/>
          <w:szCs w:val="16"/>
        </w:rPr>
        <w:t xml:space="preserve">f </w:t>
      </w:r>
      <w:r w:rsidRPr="006F3EF7">
        <w:rPr>
          <w:rFonts w:ascii="Arial" w:hAnsi="Arial" w:cs="Arial"/>
          <w:i/>
          <w:sz w:val="16"/>
          <w:szCs w:val="16"/>
        </w:rPr>
        <w:t xml:space="preserve">Health v Peter Atkinson (on behalf of the Estate of Susan Atkinson) &amp; Others </w:t>
      </w:r>
      <w:r w:rsidRPr="006F3EF7">
        <w:rPr>
          <w:rFonts w:ascii="Arial" w:hAnsi="Arial" w:cs="Arial"/>
          <w:sz w:val="16"/>
          <w:szCs w:val="16"/>
        </w:rPr>
        <w:t>(O’Regan P, Glazebrook, France, Harrison and White JJ), 14 May 2012, [2012] NZCA 184).</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D503DD"/>
    <w:multiLevelType w:val="multilevel"/>
    <w:tmpl w:val="103E9B72"/>
    <w:lvl w:ilvl="0">
      <w:start w:val="1"/>
      <w:numFmt w:val="decimal"/>
      <w:lvlText w:val="%1."/>
      <w:lvlJc w:val="left"/>
      <w:pPr>
        <w:tabs>
          <w:tab w:val="num" w:pos="567"/>
        </w:tabs>
        <w:ind w:left="567" w:hanging="567"/>
      </w:pPr>
      <w:rPr>
        <w:rFonts w:ascii="Arial" w:hAnsi="Arial" w:hint="default"/>
        <w:sz w:val="28"/>
        <w:szCs w:val="28"/>
      </w:rPr>
    </w:lvl>
    <w:lvl w:ilvl="1">
      <w:start w:val="1"/>
      <w:numFmt w:val="lowerLetter"/>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B074B9B"/>
    <w:multiLevelType w:val="hybridMultilevel"/>
    <w:tmpl w:val="70CE1FE4"/>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3" w15:restartNumberingAfterBreak="0">
    <w:nsid w:val="108E3FB2"/>
    <w:multiLevelType w:val="hybridMultilevel"/>
    <w:tmpl w:val="C04A4CC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EA0184"/>
    <w:multiLevelType w:val="hybridMultilevel"/>
    <w:tmpl w:val="802A60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78F7C28"/>
    <w:multiLevelType w:val="hybridMultilevel"/>
    <w:tmpl w:val="BD46DD1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83A12D9"/>
    <w:multiLevelType w:val="hybridMultilevel"/>
    <w:tmpl w:val="802A60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E8D0BDA"/>
    <w:multiLevelType w:val="hybridMultilevel"/>
    <w:tmpl w:val="B68E0956"/>
    <w:lvl w:ilvl="0" w:tplc="D70A29DC">
      <w:start w:val="1"/>
      <w:numFmt w:val="bullet"/>
      <w:pStyle w:val="Bullet"/>
      <w:lvlText w:val=""/>
      <w:lvlJc w:val="left"/>
      <w:pPr>
        <w:tabs>
          <w:tab w:val="num" w:pos="851"/>
        </w:tabs>
        <w:ind w:left="851" w:hanging="284"/>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F612F"/>
    <w:multiLevelType w:val="hybridMultilevel"/>
    <w:tmpl w:val="9CF271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1B63516"/>
    <w:multiLevelType w:val="hybridMultilevel"/>
    <w:tmpl w:val="802A60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4C863B6"/>
    <w:multiLevelType w:val="hybridMultilevel"/>
    <w:tmpl w:val="022467D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8005AED"/>
    <w:multiLevelType w:val="hybridMultilevel"/>
    <w:tmpl w:val="9792495E"/>
    <w:lvl w:ilvl="0" w:tplc="FFFFFFFF">
      <w:start w:val="1"/>
      <w:numFmt w:val="bullet"/>
      <w:pStyle w:val="BodyBulletsindent"/>
      <w:lvlText w:val="&gt;"/>
      <w:lvlJc w:val="left"/>
      <w:pPr>
        <w:tabs>
          <w:tab w:val="num" w:pos="1074"/>
        </w:tabs>
        <w:ind w:left="1074" w:hanging="360"/>
      </w:pPr>
      <w:rPr>
        <w:rFonts w:ascii="Trebuchet MS" w:hAnsi="Trebuchet MS" w:hint="default"/>
        <w:b/>
        <w:i w:val="0"/>
        <w:color w:val="00448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2770F"/>
    <w:multiLevelType w:val="hybridMultilevel"/>
    <w:tmpl w:val="78EA17DC"/>
    <w:lvl w:ilvl="0" w:tplc="08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15:restartNumberingAfterBreak="0">
    <w:nsid w:val="503C64FC"/>
    <w:multiLevelType w:val="hybridMultilevel"/>
    <w:tmpl w:val="A82ABBDE"/>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4" w15:restartNumberingAfterBreak="0">
    <w:nsid w:val="5B644576"/>
    <w:multiLevelType w:val="hybridMultilevel"/>
    <w:tmpl w:val="8892CF62"/>
    <w:lvl w:ilvl="0" w:tplc="5D061576">
      <w:start w:val="1"/>
      <w:numFmt w:val="decimal"/>
      <w:lvlText w:val="%1."/>
      <w:lvlJc w:val="left"/>
      <w:pPr>
        <w:ind w:left="360" w:hanging="360"/>
      </w:pPr>
      <w:rPr>
        <w:rFonts w:ascii="Arial" w:hAnsi="Arial" w:cs="Arial" w:hint="default"/>
        <w:color w:val="auto"/>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3CA7724"/>
    <w:multiLevelType w:val="hybridMultilevel"/>
    <w:tmpl w:val="A6BE4EFA"/>
    <w:lvl w:ilvl="0" w:tplc="E00AA51C">
      <w:start w:val="1"/>
      <w:numFmt w:val="bullet"/>
      <w:pStyle w:val="ListParagraph"/>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80E1C87"/>
    <w:multiLevelType w:val="hybridMultilevel"/>
    <w:tmpl w:val="1AF21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A0E667C"/>
    <w:multiLevelType w:val="hybridMultilevel"/>
    <w:tmpl w:val="802A60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CBB1477"/>
    <w:multiLevelType w:val="hybridMultilevel"/>
    <w:tmpl w:val="9A2E7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B0125C0"/>
    <w:multiLevelType w:val="multilevel"/>
    <w:tmpl w:val="6DE448FA"/>
    <w:lvl w:ilvl="0">
      <w:start w:val="1"/>
      <w:numFmt w:val="decimal"/>
      <w:pStyle w:val="Heading2"/>
      <w:lvlText w:val="%1.0"/>
      <w:lvlJc w:val="left"/>
      <w:pPr>
        <w:ind w:left="720" w:hanging="720"/>
      </w:pPr>
      <w:rPr>
        <w:rFonts w:hint="default"/>
      </w:rPr>
    </w:lvl>
    <w:lvl w:ilvl="1">
      <w:start w:val="1"/>
      <w:numFmt w:val="decimal"/>
      <w:pStyle w:val="Heading3"/>
      <w:lvlText w:val="%1.%2"/>
      <w:lvlJc w:val="left"/>
      <w:pPr>
        <w:ind w:left="1855"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BDE4778"/>
    <w:multiLevelType w:val="hybridMultilevel"/>
    <w:tmpl w:val="0C44EF6A"/>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30806712">
    <w:abstractNumId w:val="15"/>
  </w:num>
  <w:num w:numId="2" w16cid:durableId="1374385510">
    <w:abstractNumId w:val="7"/>
  </w:num>
  <w:num w:numId="3" w16cid:durableId="347946997">
    <w:abstractNumId w:val="14"/>
  </w:num>
  <w:num w:numId="4" w16cid:durableId="350495961">
    <w:abstractNumId w:val="20"/>
  </w:num>
  <w:num w:numId="5" w16cid:durableId="1977683515">
    <w:abstractNumId w:val="16"/>
  </w:num>
  <w:num w:numId="6" w16cid:durableId="981696452">
    <w:abstractNumId w:val="2"/>
  </w:num>
  <w:num w:numId="7" w16cid:durableId="1123421008">
    <w:abstractNumId w:val="12"/>
  </w:num>
  <w:num w:numId="8" w16cid:durableId="2048751413">
    <w:abstractNumId w:val="1"/>
  </w:num>
  <w:num w:numId="9" w16cid:durableId="120960484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317926517">
    <w:abstractNumId w:val="11"/>
  </w:num>
  <w:num w:numId="11" w16cid:durableId="1743478771">
    <w:abstractNumId w:val="21"/>
  </w:num>
  <w:num w:numId="12" w16cid:durableId="1225331626">
    <w:abstractNumId w:val="8"/>
  </w:num>
  <w:num w:numId="13" w16cid:durableId="984511377">
    <w:abstractNumId w:val="10"/>
  </w:num>
  <w:num w:numId="14" w16cid:durableId="1757826781">
    <w:abstractNumId w:val="4"/>
  </w:num>
  <w:num w:numId="15" w16cid:durableId="1525481649">
    <w:abstractNumId w:val="6"/>
  </w:num>
  <w:num w:numId="16" w16cid:durableId="219638103">
    <w:abstractNumId w:val="18"/>
  </w:num>
  <w:num w:numId="17" w16cid:durableId="439187014">
    <w:abstractNumId w:val="9"/>
  </w:num>
  <w:num w:numId="18" w16cid:durableId="750541802">
    <w:abstractNumId w:val="13"/>
  </w:num>
  <w:num w:numId="19" w16cid:durableId="1383289821">
    <w:abstractNumId w:val="3"/>
  </w:num>
  <w:num w:numId="20" w16cid:durableId="70548129">
    <w:abstractNumId w:val="5"/>
  </w:num>
  <w:num w:numId="21" w16cid:durableId="371349433">
    <w:abstractNumId w:val="19"/>
  </w:num>
  <w:num w:numId="22" w16cid:durableId="11956952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78"/>
    <w:rsid w:val="000033F8"/>
    <w:rsid w:val="000106DC"/>
    <w:rsid w:val="00014B37"/>
    <w:rsid w:val="0002229C"/>
    <w:rsid w:val="000253D7"/>
    <w:rsid w:val="00025678"/>
    <w:rsid w:val="00026A51"/>
    <w:rsid w:val="000331C5"/>
    <w:rsid w:val="0003406D"/>
    <w:rsid w:val="00035888"/>
    <w:rsid w:val="000449C2"/>
    <w:rsid w:val="00054C7A"/>
    <w:rsid w:val="00055F3E"/>
    <w:rsid w:val="00057C02"/>
    <w:rsid w:val="000604CC"/>
    <w:rsid w:val="0006196A"/>
    <w:rsid w:val="00061D59"/>
    <w:rsid w:val="00064501"/>
    <w:rsid w:val="0006780A"/>
    <w:rsid w:val="00071ACE"/>
    <w:rsid w:val="00071D18"/>
    <w:rsid w:val="00072410"/>
    <w:rsid w:val="0007417C"/>
    <w:rsid w:val="00077AC5"/>
    <w:rsid w:val="00082C3F"/>
    <w:rsid w:val="000906D3"/>
    <w:rsid w:val="00093B74"/>
    <w:rsid w:val="000A3273"/>
    <w:rsid w:val="000A328B"/>
    <w:rsid w:val="000B11C3"/>
    <w:rsid w:val="000B4589"/>
    <w:rsid w:val="000B593B"/>
    <w:rsid w:val="000D0B4B"/>
    <w:rsid w:val="000E0C7B"/>
    <w:rsid w:val="000E0CF0"/>
    <w:rsid w:val="000E1A64"/>
    <w:rsid w:val="000E39DD"/>
    <w:rsid w:val="000E542B"/>
    <w:rsid w:val="000F3389"/>
    <w:rsid w:val="000F5540"/>
    <w:rsid w:val="00104024"/>
    <w:rsid w:val="00107726"/>
    <w:rsid w:val="0011136A"/>
    <w:rsid w:val="00114BD1"/>
    <w:rsid w:val="0012327E"/>
    <w:rsid w:val="00131ED0"/>
    <w:rsid w:val="001353B2"/>
    <w:rsid w:val="00137FCA"/>
    <w:rsid w:val="001429E5"/>
    <w:rsid w:val="0014702E"/>
    <w:rsid w:val="00164CE3"/>
    <w:rsid w:val="00167DC3"/>
    <w:rsid w:val="00171661"/>
    <w:rsid w:val="00171D85"/>
    <w:rsid w:val="0017235A"/>
    <w:rsid w:val="00174E4B"/>
    <w:rsid w:val="001757C7"/>
    <w:rsid w:val="00175A53"/>
    <w:rsid w:val="00177D1D"/>
    <w:rsid w:val="001823DB"/>
    <w:rsid w:val="00183B4A"/>
    <w:rsid w:val="00184A6E"/>
    <w:rsid w:val="00187DB0"/>
    <w:rsid w:val="00192589"/>
    <w:rsid w:val="00193A4E"/>
    <w:rsid w:val="001947B7"/>
    <w:rsid w:val="001A08EC"/>
    <w:rsid w:val="001A0B49"/>
    <w:rsid w:val="001B1655"/>
    <w:rsid w:val="001B6F76"/>
    <w:rsid w:val="001C0325"/>
    <w:rsid w:val="001C2CAE"/>
    <w:rsid w:val="001C62B3"/>
    <w:rsid w:val="001C68CC"/>
    <w:rsid w:val="001C6D25"/>
    <w:rsid w:val="001D05D1"/>
    <w:rsid w:val="001D3BCB"/>
    <w:rsid w:val="001E161A"/>
    <w:rsid w:val="001E23AC"/>
    <w:rsid w:val="001E4562"/>
    <w:rsid w:val="001E6EF5"/>
    <w:rsid w:val="001F6BD7"/>
    <w:rsid w:val="002007BD"/>
    <w:rsid w:val="00203BAC"/>
    <w:rsid w:val="00205B79"/>
    <w:rsid w:val="00210664"/>
    <w:rsid w:val="00217F88"/>
    <w:rsid w:val="0022577C"/>
    <w:rsid w:val="00227BF6"/>
    <w:rsid w:val="00227E6E"/>
    <w:rsid w:val="0024777A"/>
    <w:rsid w:val="00252135"/>
    <w:rsid w:val="002529A1"/>
    <w:rsid w:val="00254EBA"/>
    <w:rsid w:val="00260082"/>
    <w:rsid w:val="00260DC3"/>
    <w:rsid w:val="0026178E"/>
    <w:rsid w:val="002619CE"/>
    <w:rsid w:val="00265ADD"/>
    <w:rsid w:val="00265E97"/>
    <w:rsid w:val="002663C6"/>
    <w:rsid w:val="002666A5"/>
    <w:rsid w:val="002669DA"/>
    <w:rsid w:val="002749D2"/>
    <w:rsid w:val="002833A1"/>
    <w:rsid w:val="0028355E"/>
    <w:rsid w:val="0028788C"/>
    <w:rsid w:val="00293A82"/>
    <w:rsid w:val="00294A11"/>
    <w:rsid w:val="002A3D24"/>
    <w:rsid w:val="002B0405"/>
    <w:rsid w:val="002C0454"/>
    <w:rsid w:val="002C4C71"/>
    <w:rsid w:val="002C6B5D"/>
    <w:rsid w:val="002C7087"/>
    <w:rsid w:val="002D4149"/>
    <w:rsid w:val="002D4E11"/>
    <w:rsid w:val="002E16F8"/>
    <w:rsid w:val="002E2465"/>
    <w:rsid w:val="002E2900"/>
    <w:rsid w:val="002E29BD"/>
    <w:rsid w:val="002E4BF6"/>
    <w:rsid w:val="002F7973"/>
    <w:rsid w:val="00303AC6"/>
    <w:rsid w:val="00307C82"/>
    <w:rsid w:val="00313BA8"/>
    <w:rsid w:val="0032130B"/>
    <w:rsid w:val="00322B3A"/>
    <w:rsid w:val="00323004"/>
    <w:rsid w:val="00327388"/>
    <w:rsid w:val="00331C5B"/>
    <w:rsid w:val="00336495"/>
    <w:rsid w:val="003369CD"/>
    <w:rsid w:val="00336E29"/>
    <w:rsid w:val="003377CF"/>
    <w:rsid w:val="00342709"/>
    <w:rsid w:val="0035097C"/>
    <w:rsid w:val="00352B95"/>
    <w:rsid w:val="00360BF4"/>
    <w:rsid w:val="00361086"/>
    <w:rsid w:val="0036219E"/>
    <w:rsid w:val="0036299F"/>
    <w:rsid w:val="00363F66"/>
    <w:rsid w:val="0036437E"/>
    <w:rsid w:val="003733D5"/>
    <w:rsid w:val="003750CA"/>
    <w:rsid w:val="00377155"/>
    <w:rsid w:val="00384472"/>
    <w:rsid w:val="003864B0"/>
    <w:rsid w:val="003867F2"/>
    <w:rsid w:val="003964E7"/>
    <w:rsid w:val="00396E67"/>
    <w:rsid w:val="003A041D"/>
    <w:rsid w:val="003A4A20"/>
    <w:rsid w:val="003A7972"/>
    <w:rsid w:val="003B31AA"/>
    <w:rsid w:val="003B4356"/>
    <w:rsid w:val="003C02BC"/>
    <w:rsid w:val="003C4870"/>
    <w:rsid w:val="003C6D03"/>
    <w:rsid w:val="003D25FF"/>
    <w:rsid w:val="003D7797"/>
    <w:rsid w:val="003E08A0"/>
    <w:rsid w:val="003E6BF1"/>
    <w:rsid w:val="003E7778"/>
    <w:rsid w:val="003E7AB6"/>
    <w:rsid w:val="003F1B6E"/>
    <w:rsid w:val="003F4F2C"/>
    <w:rsid w:val="003F5C2B"/>
    <w:rsid w:val="003F7A52"/>
    <w:rsid w:val="00400C71"/>
    <w:rsid w:val="004018AE"/>
    <w:rsid w:val="004070FF"/>
    <w:rsid w:val="00407A3D"/>
    <w:rsid w:val="004115A8"/>
    <w:rsid w:val="004133DF"/>
    <w:rsid w:val="00420D4F"/>
    <w:rsid w:val="0042115C"/>
    <w:rsid w:val="00423D1E"/>
    <w:rsid w:val="004429B3"/>
    <w:rsid w:val="00442FC5"/>
    <w:rsid w:val="00450699"/>
    <w:rsid w:val="00452826"/>
    <w:rsid w:val="00460FDC"/>
    <w:rsid w:val="00461AA5"/>
    <w:rsid w:val="004626A8"/>
    <w:rsid w:val="00467A9B"/>
    <w:rsid w:val="0047037E"/>
    <w:rsid w:val="004722FB"/>
    <w:rsid w:val="004750BB"/>
    <w:rsid w:val="0048350C"/>
    <w:rsid w:val="00484651"/>
    <w:rsid w:val="004907EC"/>
    <w:rsid w:val="004938CE"/>
    <w:rsid w:val="00493BF9"/>
    <w:rsid w:val="00495DD3"/>
    <w:rsid w:val="00496D79"/>
    <w:rsid w:val="004A30E9"/>
    <w:rsid w:val="004A416D"/>
    <w:rsid w:val="004A5DF7"/>
    <w:rsid w:val="004A5E8E"/>
    <w:rsid w:val="004B04A0"/>
    <w:rsid w:val="004B3DAA"/>
    <w:rsid w:val="004B46C2"/>
    <w:rsid w:val="004C1C41"/>
    <w:rsid w:val="004C6101"/>
    <w:rsid w:val="004E02E0"/>
    <w:rsid w:val="004E053B"/>
    <w:rsid w:val="004E72A0"/>
    <w:rsid w:val="004F2AE3"/>
    <w:rsid w:val="004F64DA"/>
    <w:rsid w:val="004F75F8"/>
    <w:rsid w:val="004F7B5D"/>
    <w:rsid w:val="00512A81"/>
    <w:rsid w:val="005141F4"/>
    <w:rsid w:val="0052292F"/>
    <w:rsid w:val="00526613"/>
    <w:rsid w:val="00530BDF"/>
    <w:rsid w:val="00534CF3"/>
    <w:rsid w:val="00536B2E"/>
    <w:rsid w:val="00537F17"/>
    <w:rsid w:val="005408CD"/>
    <w:rsid w:val="0054327C"/>
    <w:rsid w:val="00553750"/>
    <w:rsid w:val="00553FB6"/>
    <w:rsid w:val="005602F8"/>
    <w:rsid w:val="00564A3E"/>
    <w:rsid w:val="00567CB5"/>
    <w:rsid w:val="00570AD8"/>
    <w:rsid w:val="00571395"/>
    <w:rsid w:val="00571DC2"/>
    <w:rsid w:val="00574BB2"/>
    <w:rsid w:val="00580043"/>
    <w:rsid w:val="00581057"/>
    <w:rsid w:val="00583054"/>
    <w:rsid w:val="00584C64"/>
    <w:rsid w:val="005913A7"/>
    <w:rsid w:val="005A026F"/>
    <w:rsid w:val="005A0D34"/>
    <w:rsid w:val="005A2908"/>
    <w:rsid w:val="005A64DD"/>
    <w:rsid w:val="005B51AD"/>
    <w:rsid w:val="005B785B"/>
    <w:rsid w:val="005C2E26"/>
    <w:rsid w:val="005C5688"/>
    <w:rsid w:val="005C5702"/>
    <w:rsid w:val="005C6725"/>
    <w:rsid w:val="005D1CAF"/>
    <w:rsid w:val="005D5ED8"/>
    <w:rsid w:val="005E0551"/>
    <w:rsid w:val="005E2768"/>
    <w:rsid w:val="005E57CE"/>
    <w:rsid w:val="005E763C"/>
    <w:rsid w:val="005F04A0"/>
    <w:rsid w:val="005F132C"/>
    <w:rsid w:val="005F18D3"/>
    <w:rsid w:val="005F321E"/>
    <w:rsid w:val="005F47C4"/>
    <w:rsid w:val="005F5C94"/>
    <w:rsid w:val="005F64CE"/>
    <w:rsid w:val="005F6945"/>
    <w:rsid w:val="005F71E2"/>
    <w:rsid w:val="005F784E"/>
    <w:rsid w:val="00607EBB"/>
    <w:rsid w:val="00617720"/>
    <w:rsid w:val="00622207"/>
    <w:rsid w:val="006226A7"/>
    <w:rsid w:val="00630E86"/>
    <w:rsid w:val="00635785"/>
    <w:rsid w:val="00642CAD"/>
    <w:rsid w:val="00654B78"/>
    <w:rsid w:val="0065598D"/>
    <w:rsid w:val="00660618"/>
    <w:rsid w:val="00682301"/>
    <w:rsid w:val="00683A5F"/>
    <w:rsid w:val="0068558A"/>
    <w:rsid w:val="00685611"/>
    <w:rsid w:val="0069177A"/>
    <w:rsid w:val="00692DFD"/>
    <w:rsid w:val="00693257"/>
    <w:rsid w:val="00696C75"/>
    <w:rsid w:val="0069706E"/>
    <w:rsid w:val="006A0CC2"/>
    <w:rsid w:val="006A1A4E"/>
    <w:rsid w:val="006B1C17"/>
    <w:rsid w:val="006B579F"/>
    <w:rsid w:val="006B6261"/>
    <w:rsid w:val="006B71FC"/>
    <w:rsid w:val="006C28E1"/>
    <w:rsid w:val="006C793E"/>
    <w:rsid w:val="006D04EC"/>
    <w:rsid w:val="006D1D98"/>
    <w:rsid w:val="006E04E4"/>
    <w:rsid w:val="006E1CE4"/>
    <w:rsid w:val="006E2801"/>
    <w:rsid w:val="006E3321"/>
    <w:rsid w:val="006F092A"/>
    <w:rsid w:val="006F3EF7"/>
    <w:rsid w:val="00710C48"/>
    <w:rsid w:val="00715C58"/>
    <w:rsid w:val="00716145"/>
    <w:rsid w:val="007169E0"/>
    <w:rsid w:val="0071761F"/>
    <w:rsid w:val="007222A1"/>
    <w:rsid w:val="00724A46"/>
    <w:rsid w:val="00730ACF"/>
    <w:rsid w:val="00730E9F"/>
    <w:rsid w:val="00732940"/>
    <w:rsid w:val="00733C50"/>
    <w:rsid w:val="00735160"/>
    <w:rsid w:val="00735263"/>
    <w:rsid w:val="007353B1"/>
    <w:rsid w:val="0073556F"/>
    <w:rsid w:val="0073587C"/>
    <w:rsid w:val="00740836"/>
    <w:rsid w:val="0074320C"/>
    <w:rsid w:val="00743A93"/>
    <w:rsid w:val="00745BBA"/>
    <w:rsid w:val="0074701E"/>
    <w:rsid w:val="00747D8C"/>
    <w:rsid w:val="0075077D"/>
    <w:rsid w:val="00751FA8"/>
    <w:rsid w:val="00776643"/>
    <w:rsid w:val="0078307D"/>
    <w:rsid w:val="007879D5"/>
    <w:rsid w:val="007906F6"/>
    <w:rsid w:val="007975D7"/>
    <w:rsid w:val="007A109D"/>
    <w:rsid w:val="007A1DFE"/>
    <w:rsid w:val="007B414A"/>
    <w:rsid w:val="007B7C50"/>
    <w:rsid w:val="007B7E12"/>
    <w:rsid w:val="007C1345"/>
    <w:rsid w:val="007C1ED7"/>
    <w:rsid w:val="007C2C00"/>
    <w:rsid w:val="007C2CA4"/>
    <w:rsid w:val="007C329A"/>
    <w:rsid w:val="007C4805"/>
    <w:rsid w:val="007C62A1"/>
    <w:rsid w:val="007C712B"/>
    <w:rsid w:val="007C7784"/>
    <w:rsid w:val="007E535E"/>
    <w:rsid w:val="007E7084"/>
    <w:rsid w:val="007F6208"/>
    <w:rsid w:val="007F7B18"/>
    <w:rsid w:val="00805D13"/>
    <w:rsid w:val="00811A4D"/>
    <w:rsid w:val="00815B0F"/>
    <w:rsid w:val="00820C91"/>
    <w:rsid w:val="00822CF6"/>
    <w:rsid w:val="0082562B"/>
    <w:rsid w:val="00826C12"/>
    <w:rsid w:val="00827557"/>
    <w:rsid w:val="008300F3"/>
    <w:rsid w:val="008326AA"/>
    <w:rsid w:val="00836FCF"/>
    <w:rsid w:val="00840DA4"/>
    <w:rsid w:val="00842D24"/>
    <w:rsid w:val="00852BE7"/>
    <w:rsid w:val="0085371D"/>
    <w:rsid w:val="00853F3B"/>
    <w:rsid w:val="008573BC"/>
    <w:rsid w:val="00860688"/>
    <w:rsid w:val="00860A96"/>
    <w:rsid w:val="008632B3"/>
    <w:rsid w:val="008701EE"/>
    <w:rsid w:val="00893062"/>
    <w:rsid w:val="00896727"/>
    <w:rsid w:val="008977F1"/>
    <w:rsid w:val="008A5025"/>
    <w:rsid w:val="008A67AA"/>
    <w:rsid w:val="008B01BB"/>
    <w:rsid w:val="008B4B25"/>
    <w:rsid w:val="008C3104"/>
    <w:rsid w:val="008C7FF7"/>
    <w:rsid w:val="008D400A"/>
    <w:rsid w:val="008D5E23"/>
    <w:rsid w:val="008E08B9"/>
    <w:rsid w:val="008E4C9A"/>
    <w:rsid w:val="008E5398"/>
    <w:rsid w:val="008E6631"/>
    <w:rsid w:val="008E6BF5"/>
    <w:rsid w:val="008F033C"/>
    <w:rsid w:val="008F0810"/>
    <w:rsid w:val="008F1C1C"/>
    <w:rsid w:val="008F2BB2"/>
    <w:rsid w:val="008F5430"/>
    <w:rsid w:val="0091313F"/>
    <w:rsid w:val="009138C8"/>
    <w:rsid w:val="00914E60"/>
    <w:rsid w:val="0091580B"/>
    <w:rsid w:val="009352C3"/>
    <w:rsid w:val="00936CBF"/>
    <w:rsid w:val="0093702B"/>
    <w:rsid w:val="009409A1"/>
    <w:rsid w:val="009432CC"/>
    <w:rsid w:val="00943419"/>
    <w:rsid w:val="00943A92"/>
    <w:rsid w:val="00943DC8"/>
    <w:rsid w:val="00944171"/>
    <w:rsid w:val="00945FC7"/>
    <w:rsid w:val="009474B8"/>
    <w:rsid w:val="00947763"/>
    <w:rsid w:val="00950167"/>
    <w:rsid w:val="0095514C"/>
    <w:rsid w:val="00980344"/>
    <w:rsid w:val="00980A6D"/>
    <w:rsid w:val="00983EF3"/>
    <w:rsid w:val="0098429C"/>
    <w:rsid w:val="00984C78"/>
    <w:rsid w:val="00985098"/>
    <w:rsid w:val="009866FE"/>
    <w:rsid w:val="00992CE4"/>
    <w:rsid w:val="009954E9"/>
    <w:rsid w:val="009B11B2"/>
    <w:rsid w:val="009B561D"/>
    <w:rsid w:val="009B6AEA"/>
    <w:rsid w:val="009C2AB5"/>
    <w:rsid w:val="009D3FBF"/>
    <w:rsid w:val="009D465A"/>
    <w:rsid w:val="009D4FED"/>
    <w:rsid w:val="009D7CB4"/>
    <w:rsid w:val="009E3CF5"/>
    <w:rsid w:val="009F772D"/>
    <w:rsid w:val="00A025AB"/>
    <w:rsid w:val="00A02F5E"/>
    <w:rsid w:val="00A03ED7"/>
    <w:rsid w:val="00A15902"/>
    <w:rsid w:val="00A17C38"/>
    <w:rsid w:val="00A24644"/>
    <w:rsid w:val="00A26AF9"/>
    <w:rsid w:val="00A328B7"/>
    <w:rsid w:val="00A33C8E"/>
    <w:rsid w:val="00A37032"/>
    <w:rsid w:val="00A41087"/>
    <w:rsid w:val="00A421E3"/>
    <w:rsid w:val="00A43461"/>
    <w:rsid w:val="00A5014E"/>
    <w:rsid w:val="00A50AB9"/>
    <w:rsid w:val="00A53557"/>
    <w:rsid w:val="00A53D28"/>
    <w:rsid w:val="00A62253"/>
    <w:rsid w:val="00A71776"/>
    <w:rsid w:val="00A74AAA"/>
    <w:rsid w:val="00A80A59"/>
    <w:rsid w:val="00A81CDB"/>
    <w:rsid w:val="00A8246D"/>
    <w:rsid w:val="00A8506A"/>
    <w:rsid w:val="00A90F2E"/>
    <w:rsid w:val="00AA02A8"/>
    <w:rsid w:val="00AA0A15"/>
    <w:rsid w:val="00AA13E2"/>
    <w:rsid w:val="00AA3474"/>
    <w:rsid w:val="00AA40A2"/>
    <w:rsid w:val="00AA7E28"/>
    <w:rsid w:val="00AB07AF"/>
    <w:rsid w:val="00AB51F5"/>
    <w:rsid w:val="00AC6274"/>
    <w:rsid w:val="00AD307D"/>
    <w:rsid w:val="00AD6C11"/>
    <w:rsid w:val="00AF0051"/>
    <w:rsid w:val="00AF2313"/>
    <w:rsid w:val="00AF3065"/>
    <w:rsid w:val="00AF31E4"/>
    <w:rsid w:val="00AF411C"/>
    <w:rsid w:val="00AF62B4"/>
    <w:rsid w:val="00B00A12"/>
    <w:rsid w:val="00B01EEA"/>
    <w:rsid w:val="00B028F3"/>
    <w:rsid w:val="00B04CFC"/>
    <w:rsid w:val="00B04F4E"/>
    <w:rsid w:val="00B1498A"/>
    <w:rsid w:val="00B14D6F"/>
    <w:rsid w:val="00B167B4"/>
    <w:rsid w:val="00B237BE"/>
    <w:rsid w:val="00B252FE"/>
    <w:rsid w:val="00B2596C"/>
    <w:rsid w:val="00B332F7"/>
    <w:rsid w:val="00B334CD"/>
    <w:rsid w:val="00B33CDF"/>
    <w:rsid w:val="00B402A5"/>
    <w:rsid w:val="00B40A13"/>
    <w:rsid w:val="00B40EE4"/>
    <w:rsid w:val="00B4514D"/>
    <w:rsid w:val="00B46E08"/>
    <w:rsid w:val="00B510DF"/>
    <w:rsid w:val="00B530B8"/>
    <w:rsid w:val="00B62EB9"/>
    <w:rsid w:val="00B63853"/>
    <w:rsid w:val="00B6388A"/>
    <w:rsid w:val="00B644E6"/>
    <w:rsid w:val="00B64AFA"/>
    <w:rsid w:val="00B66486"/>
    <w:rsid w:val="00B70A49"/>
    <w:rsid w:val="00B74551"/>
    <w:rsid w:val="00B75531"/>
    <w:rsid w:val="00B75D52"/>
    <w:rsid w:val="00B811CC"/>
    <w:rsid w:val="00B813B0"/>
    <w:rsid w:val="00B81C40"/>
    <w:rsid w:val="00B8358B"/>
    <w:rsid w:val="00B91638"/>
    <w:rsid w:val="00B929CD"/>
    <w:rsid w:val="00BA5C57"/>
    <w:rsid w:val="00BA686F"/>
    <w:rsid w:val="00BB2D03"/>
    <w:rsid w:val="00BC09CA"/>
    <w:rsid w:val="00BC2049"/>
    <w:rsid w:val="00BC3AE8"/>
    <w:rsid w:val="00BC4BE9"/>
    <w:rsid w:val="00BD0A88"/>
    <w:rsid w:val="00BD3518"/>
    <w:rsid w:val="00BD4FC4"/>
    <w:rsid w:val="00BE6F4A"/>
    <w:rsid w:val="00BE7364"/>
    <w:rsid w:val="00BE7585"/>
    <w:rsid w:val="00BF0002"/>
    <w:rsid w:val="00BF0CA6"/>
    <w:rsid w:val="00BF682F"/>
    <w:rsid w:val="00BF6D9B"/>
    <w:rsid w:val="00BF7BE5"/>
    <w:rsid w:val="00C0308A"/>
    <w:rsid w:val="00C046D3"/>
    <w:rsid w:val="00C10837"/>
    <w:rsid w:val="00C16C3B"/>
    <w:rsid w:val="00C32E04"/>
    <w:rsid w:val="00C35B48"/>
    <w:rsid w:val="00C36642"/>
    <w:rsid w:val="00C37334"/>
    <w:rsid w:val="00C40751"/>
    <w:rsid w:val="00C40AE8"/>
    <w:rsid w:val="00C45069"/>
    <w:rsid w:val="00C45CAB"/>
    <w:rsid w:val="00C5215D"/>
    <w:rsid w:val="00C566A6"/>
    <w:rsid w:val="00C573FD"/>
    <w:rsid w:val="00C64319"/>
    <w:rsid w:val="00C66D12"/>
    <w:rsid w:val="00C670A3"/>
    <w:rsid w:val="00C76411"/>
    <w:rsid w:val="00C76F7E"/>
    <w:rsid w:val="00C812FF"/>
    <w:rsid w:val="00C81F80"/>
    <w:rsid w:val="00C8473D"/>
    <w:rsid w:val="00C934D5"/>
    <w:rsid w:val="00C96C67"/>
    <w:rsid w:val="00C97C99"/>
    <w:rsid w:val="00CA04B7"/>
    <w:rsid w:val="00CA0A88"/>
    <w:rsid w:val="00CA5B01"/>
    <w:rsid w:val="00CA76A6"/>
    <w:rsid w:val="00CB1F5A"/>
    <w:rsid w:val="00CB55E4"/>
    <w:rsid w:val="00CB594E"/>
    <w:rsid w:val="00CB7798"/>
    <w:rsid w:val="00CC0DAE"/>
    <w:rsid w:val="00CC1010"/>
    <w:rsid w:val="00CC4825"/>
    <w:rsid w:val="00CC60EB"/>
    <w:rsid w:val="00CC7BE4"/>
    <w:rsid w:val="00CD3755"/>
    <w:rsid w:val="00CD4E50"/>
    <w:rsid w:val="00CE2A49"/>
    <w:rsid w:val="00CF1B40"/>
    <w:rsid w:val="00CF210E"/>
    <w:rsid w:val="00CF22BD"/>
    <w:rsid w:val="00CF3E03"/>
    <w:rsid w:val="00CF5923"/>
    <w:rsid w:val="00D00E70"/>
    <w:rsid w:val="00D141D0"/>
    <w:rsid w:val="00D1589A"/>
    <w:rsid w:val="00D212C1"/>
    <w:rsid w:val="00D30D55"/>
    <w:rsid w:val="00D3128B"/>
    <w:rsid w:val="00D32C32"/>
    <w:rsid w:val="00D336EC"/>
    <w:rsid w:val="00D403F5"/>
    <w:rsid w:val="00D41235"/>
    <w:rsid w:val="00D4481F"/>
    <w:rsid w:val="00D56449"/>
    <w:rsid w:val="00D56B5B"/>
    <w:rsid w:val="00D621F4"/>
    <w:rsid w:val="00D70710"/>
    <w:rsid w:val="00D738F8"/>
    <w:rsid w:val="00D74FFB"/>
    <w:rsid w:val="00D75AAF"/>
    <w:rsid w:val="00D771F8"/>
    <w:rsid w:val="00D8259E"/>
    <w:rsid w:val="00D924AE"/>
    <w:rsid w:val="00D95258"/>
    <w:rsid w:val="00D97524"/>
    <w:rsid w:val="00DA4CD5"/>
    <w:rsid w:val="00DA5AAD"/>
    <w:rsid w:val="00DC121E"/>
    <w:rsid w:val="00DC34A4"/>
    <w:rsid w:val="00DC7C1B"/>
    <w:rsid w:val="00DD44B3"/>
    <w:rsid w:val="00DD5A67"/>
    <w:rsid w:val="00DD69A8"/>
    <w:rsid w:val="00DD7DE4"/>
    <w:rsid w:val="00DE2BAA"/>
    <w:rsid w:val="00DE609F"/>
    <w:rsid w:val="00DF0C63"/>
    <w:rsid w:val="00DF13C2"/>
    <w:rsid w:val="00DF1F94"/>
    <w:rsid w:val="00DF23F3"/>
    <w:rsid w:val="00DF3FB9"/>
    <w:rsid w:val="00DF62F9"/>
    <w:rsid w:val="00E020BC"/>
    <w:rsid w:val="00E10DF3"/>
    <w:rsid w:val="00E169EE"/>
    <w:rsid w:val="00E17E1F"/>
    <w:rsid w:val="00E208B3"/>
    <w:rsid w:val="00E21037"/>
    <w:rsid w:val="00E25283"/>
    <w:rsid w:val="00E3323A"/>
    <w:rsid w:val="00E358BA"/>
    <w:rsid w:val="00E35CE3"/>
    <w:rsid w:val="00E4158B"/>
    <w:rsid w:val="00E41681"/>
    <w:rsid w:val="00E43E5F"/>
    <w:rsid w:val="00E4436A"/>
    <w:rsid w:val="00E4495E"/>
    <w:rsid w:val="00E4577A"/>
    <w:rsid w:val="00E47445"/>
    <w:rsid w:val="00E60AC3"/>
    <w:rsid w:val="00E611B3"/>
    <w:rsid w:val="00E644BE"/>
    <w:rsid w:val="00E65F43"/>
    <w:rsid w:val="00E66C9D"/>
    <w:rsid w:val="00E6759A"/>
    <w:rsid w:val="00E71C94"/>
    <w:rsid w:val="00E7247A"/>
    <w:rsid w:val="00E72982"/>
    <w:rsid w:val="00E730DB"/>
    <w:rsid w:val="00E74710"/>
    <w:rsid w:val="00E75ED3"/>
    <w:rsid w:val="00E77B12"/>
    <w:rsid w:val="00E80018"/>
    <w:rsid w:val="00E83497"/>
    <w:rsid w:val="00E840D4"/>
    <w:rsid w:val="00E86C9B"/>
    <w:rsid w:val="00E90304"/>
    <w:rsid w:val="00E91105"/>
    <w:rsid w:val="00E9148E"/>
    <w:rsid w:val="00EA3312"/>
    <w:rsid w:val="00EB28FA"/>
    <w:rsid w:val="00EB39AF"/>
    <w:rsid w:val="00EB5B23"/>
    <w:rsid w:val="00EB7C08"/>
    <w:rsid w:val="00EB7DC7"/>
    <w:rsid w:val="00EC19F7"/>
    <w:rsid w:val="00EC3487"/>
    <w:rsid w:val="00EC38DC"/>
    <w:rsid w:val="00EC4B5D"/>
    <w:rsid w:val="00EC5559"/>
    <w:rsid w:val="00EC5ABE"/>
    <w:rsid w:val="00ED25DB"/>
    <w:rsid w:val="00ED40D8"/>
    <w:rsid w:val="00ED51CD"/>
    <w:rsid w:val="00EE31DE"/>
    <w:rsid w:val="00EE44BC"/>
    <w:rsid w:val="00EF0172"/>
    <w:rsid w:val="00EF1018"/>
    <w:rsid w:val="00EF5643"/>
    <w:rsid w:val="00F00CC6"/>
    <w:rsid w:val="00F01DD4"/>
    <w:rsid w:val="00F02D8C"/>
    <w:rsid w:val="00F02DD1"/>
    <w:rsid w:val="00F03378"/>
    <w:rsid w:val="00F05041"/>
    <w:rsid w:val="00F10AC2"/>
    <w:rsid w:val="00F2046A"/>
    <w:rsid w:val="00F23AFA"/>
    <w:rsid w:val="00F30499"/>
    <w:rsid w:val="00F358D2"/>
    <w:rsid w:val="00F35D20"/>
    <w:rsid w:val="00F37BA5"/>
    <w:rsid w:val="00F4007E"/>
    <w:rsid w:val="00F40F1E"/>
    <w:rsid w:val="00F4104C"/>
    <w:rsid w:val="00F42B19"/>
    <w:rsid w:val="00F430A3"/>
    <w:rsid w:val="00F4523E"/>
    <w:rsid w:val="00F51CFD"/>
    <w:rsid w:val="00F53C5E"/>
    <w:rsid w:val="00F549DD"/>
    <w:rsid w:val="00F556DF"/>
    <w:rsid w:val="00F62D67"/>
    <w:rsid w:val="00F6532C"/>
    <w:rsid w:val="00F65DA4"/>
    <w:rsid w:val="00F72EC4"/>
    <w:rsid w:val="00F802CF"/>
    <w:rsid w:val="00F80365"/>
    <w:rsid w:val="00F80647"/>
    <w:rsid w:val="00F828D7"/>
    <w:rsid w:val="00F95EC5"/>
    <w:rsid w:val="00FA0064"/>
    <w:rsid w:val="00FA0333"/>
    <w:rsid w:val="00FA2C3C"/>
    <w:rsid w:val="00FB1064"/>
    <w:rsid w:val="00FB2270"/>
    <w:rsid w:val="00FB3282"/>
    <w:rsid w:val="00FC069E"/>
    <w:rsid w:val="00FC4984"/>
    <w:rsid w:val="00FD4737"/>
    <w:rsid w:val="00FD6B12"/>
    <w:rsid w:val="00FD737E"/>
    <w:rsid w:val="00FE012A"/>
    <w:rsid w:val="00FE0F61"/>
    <w:rsid w:val="00FE1177"/>
    <w:rsid w:val="00FE48BB"/>
    <w:rsid w:val="00FE5315"/>
    <w:rsid w:val="00FF6F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97BFB"/>
  <w15:docId w15:val="{9EEB0623-4723-44AF-A3D3-87DF097C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78"/>
  </w:style>
  <w:style w:type="paragraph" w:styleId="Heading1">
    <w:name w:val="heading 1"/>
    <w:basedOn w:val="Normal"/>
    <w:next w:val="Normal"/>
    <w:link w:val="Heading1Char"/>
    <w:qFormat/>
    <w:rsid w:val="009E3CF5"/>
    <w:pPr>
      <w:spacing w:before="120" w:after="120" w:line="240" w:lineRule="auto"/>
      <w:jc w:val="center"/>
      <w:outlineLvl w:val="0"/>
    </w:pPr>
    <w:rPr>
      <w:rFonts w:cs="Arial"/>
      <w:b/>
      <w:sz w:val="28"/>
      <w:szCs w:val="28"/>
    </w:rPr>
  </w:style>
  <w:style w:type="paragraph" w:styleId="Heading2">
    <w:name w:val="heading 2"/>
    <w:basedOn w:val="ListParagraph"/>
    <w:next w:val="Normal"/>
    <w:link w:val="Heading2Char"/>
    <w:qFormat/>
    <w:rsid w:val="007C62A1"/>
    <w:pPr>
      <w:numPr>
        <w:numId w:val="4"/>
      </w:numPr>
      <w:spacing w:before="360" w:after="240"/>
      <w:contextualSpacing w:val="0"/>
      <w:outlineLvl w:val="1"/>
    </w:pPr>
    <w:rPr>
      <w:b/>
      <w:bCs/>
    </w:rPr>
  </w:style>
  <w:style w:type="paragraph" w:styleId="Heading3">
    <w:name w:val="heading 3"/>
    <w:basedOn w:val="Heading2"/>
    <w:next w:val="Normal"/>
    <w:link w:val="Heading3Char"/>
    <w:uiPriority w:val="9"/>
    <w:unhideWhenUsed/>
    <w:qFormat/>
    <w:rsid w:val="00E4436A"/>
    <w:pPr>
      <w:numPr>
        <w:ilvl w:val="1"/>
      </w:numPr>
      <w:outlineLvl w:val="2"/>
    </w:pPr>
  </w:style>
  <w:style w:type="paragraph" w:styleId="Heading4">
    <w:name w:val="heading 4"/>
    <w:basedOn w:val="Normal"/>
    <w:next w:val="Normal"/>
    <w:link w:val="Heading4Char"/>
    <w:uiPriority w:val="9"/>
    <w:unhideWhenUsed/>
    <w:qFormat/>
    <w:rsid w:val="001925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67A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1E23AC"/>
    <w:pPr>
      <w:numPr>
        <w:numId w:val="5"/>
      </w:numPr>
      <w:spacing w:after="0" w:line="240" w:lineRule="auto"/>
      <w:contextualSpacing/>
      <w:jc w:val="both"/>
    </w:pPr>
    <w:rPr>
      <w:rFonts w:eastAsia="Times New Roman" w:cs="Arial"/>
      <w:szCs w:val="24"/>
      <w:lang w:eastAsia="ko-KR"/>
    </w:rPr>
  </w:style>
  <w:style w:type="character" w:customStyle="1" w:styleId="ListParagraphChar">
    <w:name w:val="List Paragraph Char"/>
    <w:link w:val="ListParagraph"/>
    <w:uiPriority w:val="99"/>
    <w:rsid w:val="001E23AC"/>
    <w:rPr>
      <w:rFonts w:eastAsia="Times New Roman" w:cs="Arial"/>
      <w:szCs w:val="24"/>
      <w:lang w:eastAsia="ko-KR"/>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FootnoteText">
    <w:name w:val="footnote text"/>
    <w:basedOn w:val="Normal"/>
    <w:link w:val="FootnoteTextChar"/>
    <w:rsid w:val="008632B3"/>
    <w:pPr>
      <w:spacing w:after="0" w:line="240" w:lineRule="auto"/>
    </w:pPr>
    <w:rPr>
      <w:rFonts w:ascii="Times" w:eastAsia="Times New Roman" w:hAnsi="Times" w:cs="Times New Roman"/>
      <w:sz w:val="20"/>
      <w:szCs w:val="20"/>
      <w:lang w:val="en-US"/>
    </w:rPr>
  </w:style>
  <w:style w:type="character" w:customStyle="1" w:styleId="FootnoteTextChar">
    <w:name w:val="Footnote Text Char"/>
    <w:basedOn w:val="DefaultParagraphFont"/>
    <w:link w:val="FootnoteText"/>
    <w:rsid w:val="008632B3"/>
    <w:rPr>
      <w:rFonts w:ascii="Times" w:eastAsia="Times New Roman" w:hAnsi="Times" w:cs="Times New Roman"/>
      <w:sz w:val="20"/>
      <w:szCs w:val="20"/>
      <w:lang w:val="en-US"/>
    </w:rPr>
  </w:style>
  <w:style w:type="character" w:styleId="FootnoteReference">
    <w:name w:val="footnote reference"/>
    <w:rsid w:val="008632B3"/>
    <w:rPr>
      <w:vertAlign w:val="superscript"/>
    </w:rPr>
  </w:style>
  <w:style w:type="paragraph" w:customStyle="1" w:styleId="Number">
    <w:name w:val="Number"/>
    <w:basedOn w:val="Normal"/>
    <w:rsid w:val="008632B3"/>
    <w:pPr>
      <w:numPr>
        <w:ilvl w:val="1"/>
        <w:numId w:val="1"/>
      </w:numPr>
      <w:spacing w:before="240" w:after="0" w:line="240" w:lineRule="auto"/>
    </w:pPr>
    <w:rPr>
      <w:rFonts w:eastAsia="Times New Roman" w:cs="Times New Roman"/>
      <w:szCs w:val="20"/>
      <w:lang w:eastAsia="en-GB"/>
    </w:rPr>
  </w:style>
  <w:style w:type="paragraph" w:customStyle="1" w:styleId="Sub-number">
    <w:name w:val="Sub-number"/>
    <w:basedOn w:val="Normal"/>
    <w:rsid w:val="008632B3"/>
    <w:pPr>
      <w:numPr>
        <w:ilvl w:val="2"/>
        <w:numId w:val="1"/>
      </w:numPr>
      <w:spacing w:before="120" w:after="0" w:line="240" w:lineRule="auto"/>
    </w:pPr>
    <w:rPr>
      <w:rFonts w:eastAsia="Times New Roman" w:cs="Times New Roman"/>
      <w:szCs w:val="20"/>
      <w:lang w:eastAsia="en-GB"/>
    </w:rPr>
  </w:style>
  <w:style w:type="paragraph" w:customStyle="1" w:styleId="StyleHeading1LatinArialComplexArial">
    <w:name w:val="Style Heading 1 + (Latin) Arial (Complex) Arial"/>
    <w:basedOn w:val="Heading1"/>
    <w:rsid w:val="008632B3"/>
    <w:pPr>
      <w:numPr>
        <w:numId w:val="1"/>
      </w:numPr>
      <w:tabs>
        <w:tab w:val="clear" w:pos="567"/>
        <w:tab w:val="num" w:pos="360"/>
      </w:tabs>
      <w:ind w:left="360" w:hanging="360"/>
    </w:pPr>
    <w:rPr>
      <w:rFonts w:eastAsia="Times New Roman"/>
      <w:b w:val="0"/>
      <w:bCs/>
      <w:szCs w:val="24"/>
      <w:lang w:eastAsia="en-GB"/>
    </w:rPr>
  </w:style>
  <w:style w:type="character" w:customStyle="1" w:styleId="Heading1Char">
    <w:name w:val="Heading 1 Char"/>
    <w:basedOn w:val="DefaultParagraphFont"/>
    <w:link w:val="Heading1"/>
    <w:rsid w:val="009E3CF5"/>
    <w:rPr>
      <w:rFonts w:cs="Arial"/>
      <w:b/>
      <w:sz w:val="28"/>
      <w:szCs w:val="28"/>
    </w:rPr>
  </w:style>
  <w:style w:type="character" w:customStyle="1" w:styleId="Heading2Char">
    <w:name w:val="Heading 2 Char"/>
    <w:basedOn w:val="DefaultParagraphFont"/>
    <w:link w:val="Heading2"/>
    <w:rsid w:val="007C62A1"/>
    <w:rPr>
      <w:rFonts w:eastAsia="Times New Roman" w:cs="Arial"/>
      <w:b/>
      <w:bCs/>
      <w:szCs w:val="24"/>
      <w:lang w:eastAsia="ko-KR"/>
    </w:rPr>
  </w:style>
  <w:style w:type="character" w:customStyle="1" w:styleId="Heading3Char">
    <w:name w:val="Heading 3 Char"/>
    <w:basedOn w:val="DefaultParagraphFont"/>
    <w:link w:val="Heading3"/>
    <w:uiPriority w:val="9"/>
    <w:rsid w:val="00E4436A"/>
    <w:rPr>
      <w:rFonts w:eastAsia="Times New Roman" w:cs="Arial"/>
      <w:b/>
      <w:bCs/>
      <w:szCs w:val="24"/>
      <w:lang w:eastAsia="ko-KR"/>
    </w:rPr>
  </w:style>
  <w:style w:type="paragraph" w:customStyle="1" w:styleId="Bullet">
    <w:name w:val="Bullet"/>
    <w:basedOn w:val="Normal"/>
    <w:rsid w:val="008632B3"/>
    <w:pPr>
      <w:numPr>
        <w:numId w:val="2"/>
      </w:numPr>
      <w:spacing w:before="120" w:after="0" w:line="240" w:lineRule="auto"/>
    </w:pPr>
    <w:rPr>
      <w:rFonts w:eastAsia="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AF31E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F31E4"/>
    <w:rPr>
      <w:rFonts w:ascii="Times New Roman Mäori" w:eastAsia="Times New Roman" w:hAnsi="Times New Roman Mäori" w:cs="Times New Roman"/>
      <w:b/>
      <w:bCs/>
      <w:sz w:val="20"/>
      <w:szCs w:val="20"/>
    </w:rPr>
  </w:style>
  <w:style w:type="paragraph" w:styleId="Revision">
    <w:name w:val="Revision"/>
    <w:hidden/>
    <w:uiPriority w:val="99"/>
    <w:semiHidden/>
    <w:rsid w:val="00776643"/>
    <w:pPr>
      <w:spacing w:after="0" w:line="240" w:lineRule="auto"/>
    </w:pPr>
  </w:style>
  <w:style w:type="character" w:styleId="Hyperlink">
    <w:name w:val="Hyperlink"/>
    <w:basedOn w:val="DefaultParagraphFont"/>
    <w:uiPriority w:val="99"/>
    <w:unhideWhenUsed/>
    <w:rsid w:val="00A50AB9"/>
    <w:rPr>
      <w:color w:val="0000FF" w:themeColor="hyperlink"/>
      <w:u w:val="single"/>
    </w:rPr>
  </w:style>
  <w:style w:type="character" w:customStyle="1" w:styleId="Heading4Char">
    <w:name w:val="Heading 4 Char"/>
    <w:basedOn w:val="DefaultParagraphFont"/>
    <w:link w:val="Heading4"/>
    <w:uiPriority w:val="9"/>
    <w:rsid w:val="00192589"/>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87DB0"/>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a">
    <w:name w:val="_"/>
    <w:rsid w:val="00DD5A67"/>
  </w:style>
  <w:style w:type="character" w:styleId="FollowedHyperlink">
    <w:name w:val="FollowedHyperlink"/>
    <w:basedOn w:val="DefaultParagraphFont"/>
    <w:uiPriority w:val="99"/>
    <w:semiHidden/>
    <w:unhideWhenUsed/>
    <w:rsid w:val="004C1C41"/>
    <w:rPr>
      <w:color w:val="800080" w:themeColor="followedHyperlink"/>
      <w:u w:val="single"/>
    </w:rPr>
  </w:style>
  <w:style w:type="character" w:customStyle="1" w:styleId="Heading5Char">
    <w:name w:val="Heading 5 Char"/>
    <w:basedOn w:val="DefaultParagraphFont"/>
    <w:link w:val="Heading5"/>
    <w:uiPriority w:val="9"/>
    <w:rsid w:val="008A67AA"/>
    <w:rPr>
      <w:rFonts w:asciiTheme="majorHAnsi" w:eastAsiaTheme="majorEastAsia" w:hAnsiTheme="majorHAnsi" w:cstheme="majorBidi"/>
      <w:color w:val="365F91" w:themeColor="accent1" w:themeShade="BF"/>
    </w:rPr>
  </w:style>
  <w:style w:type="paragraph" w:customStyle="1" w:styleId="CharCharCharCharChar">
    <w:name w:val="Char Char Char Char Char"/>
    <w:basedOn w:val="Normal"/>
    <w:rsid w:val="00210664"/>
    <w:pPr>
      <w:spacing w:after="160" w:line="240" w:lineRule="exact"/>
    </w:pPr>
    <w:rPr>
      <w:rFonts w:eastAsia="Times New Roman" w:cs="Arial"/>
      <w:color w:val="000000"/>
      <w:sz w:val="20"/>
      <w:szCs w:val="24"/>
      <w:lang w:val="en-US"/>
    </w:rPr>
  </w:style>
  <w:style w:type="paragraph" w:styleId="EndnoteText">
    <w:name w:val="endnote text"/>
    <w:basedOn w:val="Normal"/>
    <w:link w:val="EndnoteTextChar"/>
    <w:uiPriority w:val="99"/>
    <w:semiHidden/>
    <w:unhideWhenUsed/>
    <w:rsid w:val="00C35B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5B48"/>
    <w:rPr>
      <w:sz w:val="20"/>
      <w:szCs w:val="20"/>
    </w:rPr>
  </w:style>
  <w:style w:type="character" w:styleId="EndnoteReference">
    <w:name w:val="endnote reference"/>
    <w:basedOn w:val="DefaultParagraphFont"/>
    <w:uiPriority w:val="99"/>
    <w:semiHidden/>
    <w:unhideWhenUsed/>
    <w:rsid w:val="00C35B48"/>
    <w:rPr>
      <w:vertAlign w:val="superscript"/>
    </w:rPr>
  </w:style>
  <w:style w:type="paragraph" w:customStyle="1" w:styleId="Level1">
    <w:name w:val="Level 1"/>
    <w:basedOn w:val="Normal"/>
    <w:rsid w:val="005F64CE"/>
    <w:pPr>
      <w:widowControl w:val="0"/>
      <w:numPr>
        <w:numId w:val="9"/>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paragraph" w:customStyle="1" w:styleId="BodyBulletsindent">
    <w:name w:val="Body Bullets indent"/>
    <w:rsid w:val="005F64CE"/>
    <w:pPr>
      <w:numPr>
        <w:numId w:val="10"/>
      </w:numPr>
      <w:spacing w:after="60" w:line="260" w:lineRule="exact"/>
    </w:pPr>
    <w:rPr>
      <w:rFonts w:ascii="Georgia" w:eastAsia="SimSun" w:hAnsi="Georgia" w:cs="Times New Roman"/>
      <w:sz w:val="20"/>
      <w:szCs w:val="20"/>
      <w:lang w:val="en-US"/>
    </w:rPr>
  </w:style>
  <w:style w:type="paragraph" w:customStyle="1" w:styleId="Document2">
    <w:name w:val="Document 2"/>
    <w:basedOn w:val="Normal"/>
    <w:next w:val="Normal"/>
    <w:rsid w:val="00461AA5"/>
    <w:pPr>
      <w:tabs>
        <w:tab w:val="left" w:pos="4253"/>
      </w:tabs>
      <w:spacing w:after="60" w:line="240" w:lineRule="auto"/>
    </w:pPr>
    <w:rPr>
      <w:rFonts w:eastAsia="Times New Roman" w:cs="Times New Roman"/>
      <w:b/>
      <w:sz w:val="28"/>
      <w:szCs w:val="24"/>
      <w:lang w:val="en-US"/>
    </w:rPr>
  </w:style>
  <w:style w:type="paragraph" w:customStyle="1" w:styleId="MoHHeading2">
    <w:name w:val="MoH Heading2"/>
    <w:basedOn w:val="Normal"/>
    <w:rsid w:val="00461AA5"/>
    <w:pPr>
      <w:spacing w:after="0" w:line="240" w:lineRule="auto"/>
    </w:pPr>
    <w:rPr>
      <w:rFonts w:ascii="Arial Mäori" w:eastAsia="Times New Roman" w:hAnsi="Arial Mäori" w:cs="Times New Roman"/>
      <w:b/>
      <w:szCs w:val="24"/>
      <w:lang w:val="en-US"/>
    </w:rPr>
  </w:style>
  <w:style w:type="paragraph" w:customStyle="1" w:styleId="InstructionText">
    <w:name w:val="Instruction Text"/>
    <w:basedOn w:val="Normal"/>
    <w:next w:val="Normal"/>
    <w:link w:val="InstructionTextChar"/>
    <w:rsid w:val="00461AA5"/>
    <w:pPr>
      <w:tabs>
        <w:tab w:val="left" w:pos="4253"/>
      </w:tabs>
      <w:spacing w:after="60" w:line="240" w:lineRule="auto"/>
      <w:ind w:left="851"/>
    </w:pPr>
    <w:rPr>
      <w:rFonts w:ascii="Helvetica" w:eastAsia="Times New Roman" w:hAnsi="Helvetica" w:cs="Times New Roman"/>
      <w:i/>
      <w:vanish/>
      <w:color w:val="0000FF"/>
      <w:szCs w:val="24"/>
      <w:lang w:val="en-US"/>
    </w:rPr>
  </w:style>
  <w:style w:type="character" w:customStyle="1" w:styleId="InstructionTextChar">
    <w:name w:val="Instruction Text Char"/>
    <w:link w:val="InstructionText"/>
    <w:rsid w:val="00461AA5"/>
    <w:rPr>
      <w:rFonts w:ascii="Helvetica" w:eastAsia="Times New Roman" w:hAnsi="Helvetica" w:cs="Times New Roman"/>
      <w:i/>
      <w:vanish/>
      <w:color w:val="0000FF"/>
      <w:szCs w:val="24"/>
      <w:lang w:val="en-US"/>
    </w:rPr>
  </w:style>
  <w:style w:type="paragraph" w:customStyle="1" w:styleId="StyleDocumentNameLeft0cm">
    <w:name w:val="Style Document Name + Left:  0 cm"/>
    <w:basedOn w:val="Normal"/>
    <w:rsid w:val="00461AA5"/>
    <w:pPr>
      <w:pBdr>
        <w:top w:val="single" w:sz="18" w:space="24" w:color="auto"/>
        <w:bottom w:val="thinThickSmallGap" w:sz="24" w:space="1" w:color="auto"/>
      </w:pBdr>
      <w:tabs>
        <w:tab w:val="left" w:pos="4253"/>
      </w:tabs>
      <w:spacing w:before="480" w:after="480" w:line="240" w:lineRule="auto"/>
      <w:ind w:left="1"/>
      <w:jc w:val="right"/>
    </w:pPr>
    <w:rPr>
      <w:rFonts w:eastAsia="Times New Roman" w:cs="Times New Roman"/>
      <w:b/>
      <w:bCs/>
      <w:sz w:val="32"/>
      <w:szCs w:val="32"/>
      <w:lang w:val="en-US"/>
    </w:rPr>
  </w:style>
  <w:style w:type="paragraph" w:customStyle="1" w:styleId="StyleSubTitleLeft0cm">
    <w:name w:val="Style Sub Title + Left:  0 cm"/>
    <w:basedOn w:val="Normal"/>
    <w:rsid w:val="00461AA5"/>
    <w:pPr>
      <w:tabs>
        <w:tab w:val="left" w:pos="4253"/>
      </w:tabs>
      <w:spacing w:after="60" w:line="240" w:lineRule="auto"/>
      <w:ind w:left="1"/>
      <w:jc w:val="right"/>
    </w:pPr>
    <w:rPr>
      <w:rFonts w:eastAsia="Times New Roman" w:cs="Times New Roman"/>
      <w:b/>
      <w:bCs/>
      <w:sz w:val="32"/>
      <w:szCs w:val="32"/>
      <w:lang w:val="en-US"/>
    </w:rPr>
  </w:style>
  <w:style w:type="paragraph" w:customStyle="1" w:styleId="StyleBodyTextLeft0cm">
    <w:name w:val="Style Body Text + Left:  0 cm"/>
    <w:basedOn w:val="BodyText"/>
    <w:rsid w:val="00461AA5"/>
    <w:pPr>
      <w:tabs>
        <w:tab w:val="left" w:pos="4253"/>
      </w:tabs>
      <w:spacing w:after="0"/>
      <w:jc w:val="left"/>
    </w:pPr>
    <w:rPr>
      <w:rFonts w:ascii="Arial" w:hAnsi="Arial"/>
      <w:sz w:val="20"/>
      <w:szCs w:val="20"/>
      <w:lang w:val="en-US"/>
    </w:rPr>
  </w:style>
  <w:style w:type="paragraph" w:customStyle="1" w:styleId="TableHeading">
    <w:name w:val="Table Heading"/>
    <w:basedOn w:val="Normal"/>
    <w:autoRedefine/>
    <w:rsid w:val="00DA4CD5"/>
    <w:pPr>
      <w:tabs>
        <w:tab w:val="left" w:pos="4253"/>
      </w:tabs>
      <w:spacing w:after="60"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946">
      <w:bodyDiv w:val="1"/>
      <w:marLeft w:val="0"/>
      <w:marRight w:val="0"/>
      <w:marTop w:val="0"/>
      <w:marBottom w:val="0"/>
      <w:divBdr>
        <w:top w:val="none" w:sz="0" w:space="0" w:color="auto"/>
        <w:left w:val="none" w:sz="0" w:space="0" w:color="auto"/>
        <w:bottom w:val="none" w:sz="0" w:space="0" w:color="auto"/>
        <w:right w:val="none" w:sz="0" w:space="0" w:color="auto"/>
      </w:divBdr>
    </w:div>
    <w:div w:id="221408107">
      <w:bodyDiv w:val="1"/>
      <w:marLeft w:val="0"/>
      <w:marRight w:val="0"/>
      <w:marTop w:val="0"/>
      <w:marBottom w:val="0"/>
      <w:divBdr>
        <w:top w:val="none" w:sz="0" w:space="0" w:color="auto"/>
        <w:left w:val="none" w:sz="0" w:space="0" w:color="auto"/>
        <w:bottom w:val="none" w:sz="0" w:space="0" w:color="FFFFFF"/>
        <w:right w:val="none" w:sz="0" w:space="0" w:color="auto"/>
      </w:divBdr>
      <w:divsChild>
        <w:div w:id="248465957">
          <w:marLeft w:val="0"/>
          <w:marRight w:val="0"/>
          <w:marTop w:val="0"/>
          <w:marBottom w:val="0"/>
          <w:divBdr>
            <w:top w:val="single" w:sz="36" w:space="0" w:color="C1B2C1"/>
            <w:left w:val="single" w:sz="36" w:space="0" w:color="C1B2C1"/>
            <w:bottom w:val="single" w:sz="36" w:space="0" w:color="C1B2C1"/>
            <w:right w:val="single" w:sz="36" w:space="0" w:color="C1B2C1"/>
          </w:divBdr>
          <w:divsChild>
            <w:div w:id="567107891">
              <w:marLeft w:val="0"/>
              <w:marRight w:val="0"/>
              <w:marTop w:val="0"/>
              <w:marBottom w:val="0"/>
              <w:divBdr>
                <w:top w:val="none" w:sz="0" w:space="0" w:color="auto"/>
                <w:left w:val="none" w:sz="0" w:space="0" w:color="auto"/>
                <w:bottom w:val="none" w:sz="0" w:space="0" w:color="auto"/>
                <w:right w:val="none" w:sz="0" w:space="0" w:color="auto"/>
              </w:divBdr>
              <w:divsChild>
                <w:div w:id="442841400">
                  <w:marLeft w:val="2775"/>
                  <w:marRight w:val="0"/>
                  <w:marTop w:val="0"/>
                  <w:marBottom w:val="0"/>
                  <w:divBdr>
                    <w:top w:val="none" w:sz="0" w:space="0" w:color="auto"/>
                    <w:left w:val="none" w:sz="0" w:space="0" w:color="auto"/>
                    <w:bottom w:val="none" w:sz="0" w:space="0" w:color="auto"/>
                    <w:right w:val="none" w:sz="0" w:space="0" w:color="auto"/>
                  </w:divBdr>
                  <w:divsChild>
                    <w:div w:id="646856489">
                      <w:marLeft w:val="0"/>
                      <w:marRight w:val="0"/>
                      <w:marTop w:val="0"/>
                      <w:marBottom w:val="0"/>
                      <w:divBdr>
                        <w:top w:val="none" w:sz="0" w:space="0" w:color="auto"/>
                        <w:left w:val="none" w:sz="0" w:space="0" w:color="auto"/>
                        <w:bottom w:val="none" w:sz="0" w:space="0" w:color="FFFFFF"/>
                        <w:right w:val="none" w:sz="0" w:space="0" w:color="auto"/>
                      </w:divBdr>
                    </w:div>
                  </w:divsChild>
                </w:div>
              </w:divsChild>
            </w:div>
          </w:divsChild>
        </w:div>
      </w:divsChild>
    </w:div>
    <w:div w:id="1620717582">
      <w:bodyDiv w:val="1"/>
      <w:marLeft w:val="0"/>
      <w:marRight w:val="0"/>
      <w:marTop w:val="0"/>
      <w:marBottom w:val="0"/>
      <w:divBdr>
        <w:top w:val="none" w:sz="0" w:space="0" w:color="auto"/>
        <w:left w:val="none" w:sz="0" w:space="0" w:color="auto"/>
        <w:bottom w:val="none" w:sz="0" w:space="0" w:color="auto"/>
        <w:right w:val="none" w:sz="0" w:space="0" w:color="auto"/>
      </w:divBdr>
    </w:div>
    <w:div w:id="2036611545">
      <w:bodyDiv w:val="1"/>
      <w:marLeft w:val="0"/>
      <w:marRight w:val="0"/>
      <w:marTop w:val="0"/>
      <w:marBottom w:val="0"/>
      <w:divBdr>
        <w:top w:val="none" w:sz="0" w:space="0" w:color="auto"/>
        <w:left w:val="none" w:sz="0" w:space="0" w:color="auto"/>
        <w:bottom w:val="none" w:sz="0" w:space="0" w:color="auto"/>
        <w:right w:val="none" w:sz="0" w:space="0" w:color="auto"/>
      </w:divBdr>
      <w:divsChild>
        <w:div w:id="623274328">
          <w:marLeft w:val="0"/>
          <w:marRight w:val="0"/>
          <w:marTop w:val="0"/>
          <w:marBottom w:val="0"/>
          <w:divBdr>
            <w:top w:val="none" w:sz="0" w:space="0" w:color="auto"/>
            <w:left w:val="none" w:sz="0" w:space="0" w:color="auto"/>
            <w:bottom w:val="none" w:sz="0" w:space="0" w:color="auto"/>
            <w:right w:val="none" w:sz="0" w:space="0" w:color="auto"/>
          </w:divBdr>
          <w:divsChild>
            <w:div w:id="97721550">
              <w:marLeft w:val="0"/>
              <w:marRight w:val="0"/>
              <w:marTop w:val="0"/>
              <w:marBottom w:val="0"/>
              <w:divBdr>
                <w:top w:val="none" w:sz="0" w:space="0" w:color="auto"/>
                <w:left w:val="none" w:sz="0" w:space="0" w:color="auto"/>
                <w:bottom w:val="none" w:sz="0" w:space="0" w:color="auto"/>
                <w:right w:val="none" w:sz="0" w:space="0" w:color="auto"/>
              </w:divBdr>
              <w:divsChild>
                <w:div w:id="150105089">
                  <w:marLeft w:val="0"/>
                  <w:marRight w:val="0"/>
                  <w:marTop w:val="0"/>
                  <w:marBottom w:val="0"/>
                  <w:divBdr>
                    <w:top w:val="none" w:sz="0" w:space="0" w:color="auto"/>
                    <w:left w:val="none" w:sz="0" w:space="0" w:color="auto"/>
                    <w:bottom w:val="none" w:sz="0" w:space="0" w:color="auto"/>
                    <w:right w:val="none" w:sz="0" w:space="0" w:color="auto"/>
                  </w:divBdr>
                  <w:divsChild>
                    <w:div w:id="1941987802">
                      <w:marLeft w:val="0"/>
                      <w:marRight w:val="0"/>
                      <w:marTop w:val="0"/>
                      <w:marBottom w:val="0"/>
                      <w:divBdr>
                        <w:top w:val="none" w:sz="0" w:space="0" w:color="auto"/>
                        <w:left w:val="none" w:sz="0" w:space="0" w:color="auto"/>
                        <w:bottom w:val="none" w:sz="0" w:space="0" w:color="auto"/>
                        <w:right w:val="none" w:sz="0" w:space="0" w:color="auto"/>
                      </w:divBdr>
                      <w:divsChild>
                        <w:div w:id="417674644">
                          <w:marLeft w:val="0"/>
                          <w:marRight w:val="0"/>
                          <w:marTop w:val="0"/>
                          <w:marBottom w:val="0"/>
                          <w:divBdr>
                            <w:top w:val="none" w:sz="0" w:space="0" w:color="auto"/>
                            <w:left w:val="none" w:sz="0" w:space="0" w:color="auto"/>
                            <w:bottom w:val="none" w:sz="0" w:space="0" w:color="auto"/>
                            <w:right w:val="none" w:sz="0" w:space="0" w:color="auto"/>
                          </w:divBdr>
                          <w:divsChild>
                            <w:div w:id="861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7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9BF5-B228-4992-BD5E-EA60E4CB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6063</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Noho Williams</cp:lastModifiedBy>
  <cp:revision>3</cp:revision>
  <cp:lastPrinted>2016-06-13T21:45:00Z</cp:lastPrinted>
  <dcterms:created xsi:type="dcterms:W3CDTF">2023-09-06T04:00:00Z</dcterms:created>
  <dcterms:modified xsi:type="dcterms:W3CDTF">2023-09-06T04:02:00Z</dcterms:modified>
</cp:coreProperties>
</file>