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A3EF" w14:textId="1D20A1B5" w:rsidR="00D27749" w:rsidRPr="00106C4F" w:rsidRDefault="00D27749" w:rsidP="00D27749">
      <w:pPr>
        <w:rPr>
          <w:rStyle w:val="Heading1Char"/>
          <w:rFonts w:ascii="Verdana" w:hAnsi="Verdana"/>
          <w:b/>
          <w:bCs/>
          <w:color w:val="auto"/>
          <w:sz w:val="48"/>
          <w:szCs w:val="48"/>
        </w:rPr>
      </w:pPr>
      <w:r w:rsidRPr="00106C4F">
        <w:rPr>
          <w:rStyle w:val="Heading1Char"/>
          <w:rFonts w:ascii="Verdana" w:hAnsi="Verdana"/>
          <w:b/>
          <w:bCs/>
          <w:color w:val="auto"/>
          <w:sz w:val="48"/>
          <w:szCs w:val="48"/>
        </w:rPr>
        <w:t>Disability and Housing</w:t>
      </w:r>
    </w:p>
    <w:p w14:paraId="73599517" w14:textId="3A07415D" w:rsidR="001E7319" w:rsidRPr="00F15B08" w:rsidRDefault="00E746E9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children and working age adults less likely to live in an owner-occupied home</w:t>
      </w:r>
      <w:r w:rsidR="00F15B08">
        <w:rPr>
          <w:rFonts w:ascii="Verdana" w:hAnsi="Verdana"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</w:t>
      </w:r>
      <w:r w:rsidR="00223D6A">
        <w:rPr>
          <w:rFonts w:ascii="Verdana" w:eastAsia="+mn-ea" w:hAnsi="Verdana" w:cs="+mn-cs"/>
          <w:color w:val="000000" w:themeColor="text1"/>
          <w:kern w:val="24"/>
        </w:rPr>
        <w:t xml:space="preserve">of 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people </w:t>
      </w:r>
      <w:r w:rsidR="00570CB5">
        <w:rPr>
          <w:rFonts w:ascii="Verdana" w:eastAsia="+mn-ea" w:hAnsi="Verdana" w:cs="+mn-cs"/>
          <w:color w:val="000000" w:themeColor="text1"/>
          <w:kern w:val="24"/>
        </w:rPr>
        <w:t xml:space="preserve">who live </w:t>
      </w:r>
      <w:r w:rsidRPr="00F15B08">
        <w:rPr>
          <w:rFonts w:ascii="Verdana" w:eastAsia="+mn-ea" w:hAnsi="Verdana" w:cs="+mn-cs"/>
          <w:color w:val="000000" w:themeColor="text1"/>
          <w:kern w:val="24"/>
        </w:rPr>
        <w:t>in a home owned, partly owned, or held in family trust, by disability status and age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1213" w:rsidRPr="00F15B08" w14:paraId="4161BDBF" w14:textId="77777777" w:rsidTr="00E746E9">
        <w:tc>
          <w:tcPr>
            <w:tcW w:w="3116" w:type="dxa"/>
          </w:tcPr>
          <w:p w14:paraId="6D78ABBB" w14:textId="77777777" w:rsidR="00E746E9" w:rsidRPr="00F15B08" w:rsidRDefault="00E746E9" w:rsidP="00F15B08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17" w:type="dxa"/>
          </w:tcPr>
          <w:p w14:paraId="496110E8" w14:textId="77777777" w:rsidR="00E746E9" w:rsidRPr="00F15B08" w:rsidRDefault="00E746E9" w:rsidP="00F15B08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Disabled</w:t>
            </w:r>
          </w:p>
        </w:tc>
        <w:tc>
          <w:tcPr>
            <w:tcW w:w="3117" w:type="dxa"/>
          </w:tcPr>
          <w:p w14:paraId="2BD26462" w14:textId="77777777" w:rsidR="00E746E9" w:rsidRPr="00F15B08" w:rsidRDefault="00E746E9" w:rsidP="00F15B08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Non-disabled</w:t>
            </w:r>
          </w:p>
        </w:tc>
      </w:tr>
      <w:tr w:rsidR="006D1213" w:rsidRPr="00F15B08" w14:paraId="6C2EB1DD" w14:textId="77777777" w:rsidTr="00E746E9">
        <w:tc>
          <w:tcPr>
            <w:tcW w:w="3116" w:type="dxa"/>
          </w:tcPr>
          <w:p w14:paraId="5DB9206D" w14:textId="77777777" w:rsidR="00E746E9" w:rsidRPr="00F15B08" w:rsidRDefault="00E746E9" w:rsidP="00F15B08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0-14 years</w:t>
            </w:r>
          </w:p>
        </w:tc>
        <w:tc>
          <w:tcPr>
            <w:tcW w:w="3117" w:type="dxa"/>
          </w:tcPr>
          <w:p w14:paraId="221DDFD9" w14:textId="6FAF6145" w:rsidR="00E746E9" w:rsidRPr="00F15B08" w:rsidRDefault="00E746E9" w:rsidP="00F15B08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51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6F215109" w14:textId="4D236280" w:rsidR="00E746E9" w:rsidRPr="00F15B08" w:rsidRDefault="00E746E9" w:rsidP="00F15B08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61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F15B08" w:rsidRPr="00F15B08" w14:paraId="777E15E6" w14:textId="77777777" w:rsidTr="00E746E9">
        <w:tc>
          <w:tcPr>
            <w:tcW w:w="3116" w:type="dxa"/>
          </w:tcPr>
          <w:p w14:paraId="566A6531" w14:textId="77777777" w:rsidR="00E746E9" w:rsidRPr="00F15B08" w:rsidRDefault="00E746E9" w:rsidP="00F15B08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15-64 years</w:t>
            </w:r>
          </w:p>
        </w:tc>
        <w:tc>
          <w:tcPr>
            <w:tcW w:w="3117" w:type="dxa"/>
          </w:tcPr>
          <w:p w14:paraId="4AB8F705" w14:textId="717327EA" w:rsidR="00E746E9" w:rsidRPr="00F15B08" w:rsidRDefault="00E746E9" w:rsidP="00F15B08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55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34E95C13" w14:textId="0636C7F6" w:rsidR="00E746E9" w:rsidRPr="00F15B08" w:rsidRDefault="00E746E9" w:rsidP="00F15B08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65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</w:tbl>
    <w:p w14:paraId="2B896606" w14:textId="77777777" w:rsidR="00F15B08" w:rsidRDefault="00556112" w:rsidP="00F15B08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Source: Household Disability Survey 2023</w:t>
      </w:r>
    </w:p>
    <w:p w14:paraId="344851ED" w14:textId="13227258" w:rsidR="00556112" w:rsidRPr="00F15B08" w:rsidRDefault="00556112" w:rsidP="00F15B08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The differences in home ownership become non-significant when comparing disabled people and non-disabled people of all ages.</w:t>
      </w:r>
    </w:p>
    <w:p w14:paraId="557BB103" w14:textId="01AE078A" w:rsidR="00556112" w:rsidRPr="00F15B08" w:rsidRDefault="00556112" w:rsidP="00F15B08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This is because 33</w:t>
      </w:r>
      <w:r w:rsidR="006D1213" w:rsidRPr="00F15B08">
        <w:rPr>
          <w:rFonts w:ascii="Verdana" w:hAnsi="Verdana"/>
          <w:color w:val="000000" w:themeColor="text1"/>
        </w:rPr>
        <w:t xml:space="preserve"> percent</w:t>
      </w:r>
      <w:r w:rsidRPr="00F15B08">
        <w:rPr>
          <w:rFonts w:ascii="Verdana" w:hAnsi="Verdana"/>
          <w:color w:val="000000" w:themeColor="text1"/>
        </w:rPr>
        <w:t xml:space="preserve"> of disabled people are aged 65 years and over, compared with 17</w:t>
      </w:r>
      <w:r w:rsidR="006D1213" w:rsidRPr="00F15B08">
        <w:rPr>
          <w:rFonts w:ascii="Verdana" w:hAnsi="Verdana"/>
          <w:color w:val="000000" w:themeColor="text1"/>
        </w:rPr>
        <w:t xml:space="preserve"> percent</w:t>
      </w:r>
      <w:r w:rsidRPr="00F15B08">
        <w:rPr>
          <w:rFonts w:ascii="Verdana" w:hAnsi="Verdana"/>
          <w:color w:val="000000" w:themeColor="text1"/>
        </w:rPr>
        <w:t xml:space="preserve"> of non-disabled people. People in this age range are more likely to own a home.</w:t>
      </w:r>
    </w:p>
    <w:p w14:paraId="30EA8170" w14:textId="0542979C" w:rsidR="00556112" w:rsidRPr="00F15B08" w:rsidRDefault="00556112" w:rsidP="00F15B08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People living in owner-occupied homes are less likely to experience housing quality issues such as dampness and mould.</w:t>
      </w:r>
    </w:p>
    <w:p w14:paraId="3F945F7E" w14:textId="72350446" w:rsidR="00556112" w:rsidRPr="00F15B08" w:rsidRDefault="00556112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young people more likely to move home</w:t>
      </w:r>
      <w:r w:rsidR="00F15B08">
        <w:rPr>
          <w:rFonts w:ascii="Verdana" w:hAnsi="Verdana"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of students in secondary schools who had moved in the past 12 months, by group</w:t>
      </w:r>
    </w:p>
    <w:p w14:paraId="06B37924" w14:textId="79894E23" w:rsidR="00556112" w:rsidRPr="00F15B08" w:rsidRDefault="00556112" w:rsidP="00F15B08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Disabled: 25</w:t>
      </w:r>
      <w:r w:rsidR="006D1213" w:rsidRPr="00F15B08">
        <w:rPr>
          <w:rFonts w:ascii="Verdana" w:hAnsi="Verdana"/>
          <w:color w:val="000000" w:themeColor="text1"/>
        </w:rPr>
        <w:t xml:space="preserve"> percent</w:t>
      </w:r>
    </w:p>
    <w:p w14:paraId="5ACAE3F3" w14:textId="23C7A8C7" w:rsidR="00556112" w:rsidRPr="00F15B08" w:rsidRDefault="00556112" w:rsidP="00F15B08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Overall: 20</w:t>
      </w:r>
      <w:r w:rsidR="006D1213" w:rsidRPr="00F15B08">
        <w:rPr>
          <w:rFonts w:ascii="Verdana" w:hAnsi="Verdana"/>
          <w:color w:val="000000" w:themeColor="text1"/>
        </w:rPr>
        <w:t xml:space="preserve"> percent</w:t>
      </w:r>
    </w:p>
    <w:p w14:paraId="265B13CF" w14:textId="59FF0E48" w:rsidR="00556112" w:rsidRPr="00F15B08" w:rsidRDefault="00E800B5" w:rsidP="00F15B08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Source: Youth Health and Wellbeing Survey 2021</w:t>
      </w:r>
    </w:p>
    <w:p w14:paraId="7ECF540A" w14:textId="77777777" w:rsidR="00B87152" w:rsidRDefault="00B87152">
      <w:pP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  <w:lang w:val="en-NZ" w:eastAsia="en-NZ"/>
        </w:rPr>
      </w:pPr>
      <w: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</w:rPr>
        <w:br w:type="page"/>
      </w:r>
    </w:p>
    <w:p w14:paraId="6275A4C0" w14:textId="7BCCE738" w:rsidR="00E800B5" w:rsidRPr="00F15B08" w:rsidRDefault="00E800B5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Housing instability for young people</w:t>
      </w:r>
      <w:r w:rsidR="00F15B08">
        <w:rPr>
          <w:rFonts w:ascii="Verdana" w:hAnsi="Verdana"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of students in secondary schools who had to sleep or live in challenging conditions due to</w:t>
      </w:r>
      <w:r w:rsidR="002F4986">
        <w:rPr>
          <w:rFonts w:ascii="Verdana" w:eastAsia="+mn-ea" w:hAnsi="Verdana" w:cs="+mn-cs"/>
          <w:color w:val="000000" w:themeColor="text1"/>
          <w:kern w:val="24"/>
        </w:rPr>
        <w:t xml:space="preserve"> housing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costs, by group</w:t>
      </w:r>
    </w:p>
    <w:p w14:paraId="2BDDB310" w14:textId="0B26067B" w:rsidR="00E800B5" w:rsidRPr="00F15B08" w:rsidRDefault="00E800B5" w:rsidP="00F15B08">
      <w:pPr>
        <w:pStyle w:val="NormalWeb"/>
        <w:rPr>
          <w:rFonts w:ascii="Verdana" w:eastAsia="+mn-ea" w:hAnsi="Verdana" w:cs="+mn-cs"/>
          <w:color w:val="000000" w:themeColor="text1"/>
          <w:kern w:val="24"/>
        </w:rPr>
      </w:pPr>
      <w:r w:rsidRPr="00F15B08">
        <w:rPr>
          <w:rFonts w:ascii="Verdana" w:eastAsia="+mn-ea" w:hAnsi="Verdana" w:cs="+mn-cs"/>
          <w:color w:val="000000" w:themeColor="text1"/>
          <w:kern w:val="24"/>
        </w:rPr>
        <w:t>Tāngata whaikaha Māori: 29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 xml:space="preserve"> percent</w:t>
      </w:r>
    </w:p>
    <w:p w14:paraId="6185479A" w14:textId="60893425" w:rsidR="00E800B5" w:rsidRPr="00F15B08" w:rsidRDefault="00127FF2" w:rsidP="00F15B08">
      <w:pPr>
        <w:pStyle w:val="NormalWeb"/>
        <w:rPr>
          <w:rFonts w:ascii="Verdana" w:eastAsia="+mn-ea" w:hAnsi="Verdana" w:cs="+mn-cs"/>
          <w:color w:val="000000" w:themeColor="text1"/>
          <w:kern w:val="24"/>
        </w:rPr>
      </w:pPr>
      <w:r w:rsidRPr="00F15B08">
        <w:rPr>
          <w:rFonts w:ascii="Verdana" w:eastAsia="+mn-ea" w:hAnsi="Verdana" w:cs="+mn-cs"/>
          <w:color w:val="000000" w:themeColor="text1"/>
          <w:kern w:val="24"/>
        </w:rPr>
        <w:t>Pākehā, Disabled: 9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 xml:space="preserve"> percent</w:t>
      </w:r>
    </w:p>
    <w:p w14:paraId="433216D9" w14:textId="3E2D68B3" w:rsidR="001E5323" w:rsidRPr="00F15B08" w:rsidRDefault="00127FF2" w:rsidP="00F15B08">
      <w:pPr>
        <w:pStyle w:val="NormalWeb"/>
        <w:rPr>
          <w:rFonts w:ascii="Verdana" w:eastAsia="+mn-ea" w:hAnsi="Verdana" w:cs="+mn-cs"/>
          <w:color w:val="000000" w:themeColor="text1"/>
          <w:kern w:val="24"/>
        </w:rPr>
      </w:pPr>
      <w:r w:rsidRPr="00F15B08">
        <w:rPr>
          <w:rFonts w:ascii="Verdana" w:eastAsia="+mn-ea" w:hAnsi="Verdana" w:cs="+mn-cs"/>
          <w:color w:val="000000" w:themeColor="text1"/>
          <w:kern w:val="24"/>
        </w:rPr>
        <w:t>Pākehā, Non-disabled: 4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 xml:space="preserve"> percent</w:t>
      </w:r>
    </w:p>
    <w:p w14:paraId="2B1C7281" w14:textId="35E8AABF" w:rsidR="00127FF2" w:rsidRPr="00F15B08" w:rsidRDefault="001E5323" w:rsidP="00F15B08">
      <w:pPr>
        <w:pStyle w:val="NormalWeb"/>
        <w:rPr>
          <w:rFonts w:ascii="Verdana" w:eastAsia="+mn-ea" w:hAnsi="Verdana" w:cs="+mn-cs"/>
          <w:color w:val="000000" w:themeColor="text1"/>
          <w:kern w:val="24"/>
        </w:rPr>
      </w:pPr>
      <w:r w:rsidRPr="00F15B08">
        <w:rPr>
          <w:rFonts w:ascii="Verdana" w:eastAsia="+mn-ea" w:hAnsi="Verdana" w:cs="+mn-cs"/>
          <w:color w:val="000000" w:themeColor="text1"/>
          <w:kern w:val="24"/>
          <w:lang w:val="en-US"/>
        </w:rPr>
        <w:t>Source: A Youth19 Brief: Rangatahi Māori with a Disability or Chronic Condition</w:t>
      </w:r>
    </w:p>
    <w:p w14:paraId="00ACB609" w14:textId="0EB0D1EB" w:rsidR="0076259D" w:rsidRPr="00F15B08" w:rsidRDefault="001E5323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Wait times for modified social housing longer</w:t>
      </w:r>
      <w:r w:rsidR="00F15B08">
        <w:rPr>
          <w:rFonts w:ascii="Verdana" w:hAnsi="Verdana"/>
          <w:color w:val="000000" w:themeColor="text1"/>
        </w:rPr>
        <w:br/>
      </w:r>
      <w:r w:rsidRPr="00F15B08">
        <w:rPr>
          <w:rFonts w:ascii="Verdana" w:eastAsia="+mn-ea" w:hAnsi="Verdana" w:cs="+mn-cs"/>
          <w:color w:val="000000" w:themeColor="text1"/>
          <w:kern w:val="24"/>
        </w:rPr>
        <w:t>Average days spent on waitlist for social housing, by register and modification status of housing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1213" w:rsidRPr="00F15B08" w14:paraId="2933EB8E" w14:textId="77777777" w:rsidTr="0076259D">
        <w:tc>
          <w:tcPr>
            <w:tcW w:w="3116" w:type="dxa"/>
          </w:tcPr>
          <w:p w14:paraId="3F7B1BEE" w14:textId="77777777" w:rsidR="0076259D" w:rsidRPr="00F15B08" w:rsidRDefault="0076259D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Modified housing</w:t>
            </w:r>
          </w:p>
        </w:tc>
        <w:tc>
          <w:tcPr>
            <w:tcW w:w="3117" w:type="dxa"/>
          </w:tcPr>
          <w:p w14:paraId="70EB5CBD" w14:textId="3E116721" w:rsidR="0076259D" w:rsidRPr="00F15B08" w:rsidRDefault="0076259D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Modified housing</w:t>
            </w:r>
          </w:p>
        </w:tc>
        <w:tc>
          <w:tcPr>
            <w:tcW w:w="3117" w:type="dxa"/>
          </w:tcPr>
          <w:p w14:paraId="1051B25A" w14:textId="7ABD343B" w:rsidR="0076259D" w:rsidRPr="00F15B08" w:rsidRDefault="0076259D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Non-modified housing</w:t>
            </w:r>
          </w:p>
        </w:tc>
      </w:tr>
      <w:tr w:rsidR="006D1213" w:rsidRPr="00F15B08" w14:paraId="1DB44E3B" w14:textId="77777777" w:rsidTr="0076259D">
        <w:tc>
          <w:tcPr>
            <w:tcW w:w="3116" w:type="dxa"/>
          </w:tcPr>
          <w:p w14:paraId="47E07DA7" w14:textId="77777777" w:rsidR="0076259D" w:rsidRPr="00F15B08" w:rsidRDefault="0076259D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Housing register</w:t>
            </w:r>
          </w:p>
        </w:tc>
        <w:tc>
          <w:tcPr>
            <w:tcW w:w="3117" w:type="dxa"/>
          </w:tcPr>
          <w:p w14:paraId="0A414C0F" w14:textId="2B397814" w:rsidR="0076259D" w:rsidRPr="00F15B08" w:rsidRDefault="0076259D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410</w:t>
            </w:r>
            <w:r w:rsidR="00C915C4">
              <w:rPr>
                <w:rFonts w:ascii="Verdana" w:hAnsi="Verdana"/>
                <w:color w:val="000000" w:themeColor="text1"/>
              </w:rPr>
              <w:t xml:space="preserve"> days</w:t>
            </w:r>
          </w:p>
        </w:tc>
        <w:tc>
          <w:tcPr>
            <w:tcW w:w="3117" w:type="dxa"/>
          </w:tcPr>
          <w:p w14:paraId="060F8D81" w14:textId="575669D3" w:rsidR="0076259D" w:rsidRPr="00F15B08" w:rsidRDefault="0076259D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371</w:t>
            </w:r>
            <w:r w:rsidR="00C915C4">
              <w:rPr>
                <w:rFonts w:ascii="Verdana" w:hAnsi="Verdana"/>
                <w:color w:val="000000" w:themeColor="text1"/>
              </w:rPr>
              <w:t xml:space="preserve"> days</w:t>
            </w:r>
          </w:p>
        </w:tc>
      </w:tr>
      <w:tr w:rsidR="006D1213" w:rsidRPr="00F15B08" w14:paraId="59385B31" w14:textId="77777777" w:rsidTr="0076259D">
        <w:tc>
          <w:tcPr>
            <w:tcW w:w="3116" w:type="dxa"/>
          </w:tcPr>
          <w:p w14:paraId="2929E209" w14:textId="77777777" w:rsidR="0076259D" w:rsidRPr="00F15B08" w:rsidRDefault="0076259D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Transfer register</w:t>
            </w:r>
          </w:p>
        </w:tc>
        <w:tc>
          <w:tcPr>
            <w:tcW w:w="3117" w:type="dxa"/>
          </w:tcPr>
          <w:p w14:paraId="46D13A60" w14:textId="1BE286BB" w:rsidR="0076259D" w:rsidRPr="00F15B08" w:rsidRDefault="0076259D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1115</w:t>
            </w:r>
            <w:r w:rsidR="00C915C4">
              <w:rPr>
                <w:rFonts w:ascii="Verdana" w:hAnsi="Verdana"/>
                <w:color w:val="000000" w:themeColor="text1"/>
              </w:rPr>
              <w:t xml:space="preserve"> days</w:t>
            </w:r>
          </w:p>
        </w:tc>
        <w:tc>
          <w:tcPr>
            <w:tcW w:w="3117" w:type="dxa"/>
          </w:tcPr>
          <w:p w14:paraId="63B95D2C" w14:textId="513A3996" w:rsidR="0076259D" w:rsidRPr="00F15B08" w:rsidRDefault="0076259D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417</w:t>
            </w:r>
            <w:r w:rsidR="00C915C4">
              <w:rPr>
                <w:rFonts w:ascii="Verdana" w:hAnsi="Verdana"/>
                <w:color w:val="000000" w:themeColor="text1"/>
              </w:rPr>
              <w:t xml:space="preserve"> days</w:t>
            </w:r>
          </w:p>
        </w:tc>
      </w:tr>
    </w:tbl>
    <w:p w14:paraId="4545E3FE" w14:textId="4B44D4E0" w:rsidR="000A0CC2" w:rsidRPr="00F15B08" w:rsidRDefault="001E5323" w:rsidP="00F15B08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Source: Data from January 2025, supplied by MSD</w:t>
      </w:r>
    </w:p>
    <w:p w14:paraId="38AB7D2D" w14:textId="0EA20E6F" w:rsidR="000A0CC2" w:rsidRPr="00F15B08" w:rsidRDefault="000A0CC2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Unmet accessibility needs in households</w:t>
      </w:r>
      <w:r w:rsidR="00F15B08">
        <w:rPr>
          <w:rFonts w:ascii="Verdana" w:hAnsi="Verdana"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and </w:t>
      </w:r>
      <w:r w:rsidR="00F15B08">
        <w:rPr>
          <w:rFonts w:ascii="Verdana" w:eastAsia="+mn-ea" w:hAnsi="Verdana" w:cs="+mn-cs"/>
          <w:color w:val="000000" w:themeColor="text1"/>
          <w:kern w:val="24"/>
        </w:rPr>
        <w:t xml:space="preserve">number </w:t>
      </w:r>
      <w:r w:rsidRPr="00F15B08">
        <w:rPr>
          <w:rFonts w:ascii="Verdana" w:eastAsia="+mn-ea" w:hAnsi="Verdana" w:cs="+mn-cs"/>
          <w:color w:val="000000" w:themeColor="text1"/>
          <w:kern w:val="24"/>
        </w:rPr>
        <w:t>of disabled people with unmet need for</w:t>
      </w:r>
      <w:r w:rsidR="00F15B08">
        <w:rPr>
          <w:rFonts w:ascii="Verdana" w:eastAsia="+mn-ea" w:hAnsi="Verdana" w:cs="+mn-cs"/>
          <w:color w:val="000000" w:themeColor="text1"/>
          <w:kern w:val="24"/>
        </w:rPr>
        <w:t xml:space="preserve"> </w:t>
      </w:r>
      <w:r w:rsidRPr="00F15B08">
        <w:rPr>
          <w:rFonts w:ascii="Verdana" w:eastAsia="+mn-ea" w:hAnsi="Verdana" w:cs="+mn-cs"/>
          <w:color w:val="000000" w:themeColor="text1"/>
          <w:kern w:val="24"/>
        </w:rPr>
        <w:t>accessibility modifications to current home: 12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 xml:space="preserve"> percent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(104,000 disabled people)</w:t>
      </w:r>
    </w:p>
    <w:p w14:paraId="32CC1EC4" w14:textId="59452357" w:rsidR="000A0CC2" w:rsidRPr="00F15B08" w:rsidRDefault="000A0CC2" w:rsidP="00F15B08">
      <w:pPr>
        <w:pStyle w:val="NormalWeb"/>
        <w:rPr>
          <w:rFonts w:ascii="Verdana" w:eastAsia="+mn-ea" w:hAnsi="Verdana" w:cs="+mn-cs"/>
          <w:color w:val="000000" w:themeColor="text1"/>
          <w:kern w:val="24"/>
        </w:rPr>
      </w:pPr>
      <w:r w:rsidRPr="00F15B08">
        <w:rPr>
          <w:rFonts w:ascii="Verdana" w:eastAsia="+mn-ea" w:hAnsi="Verdana" w:cs="+mn-cs"/>
          <w:color w:val="000000" w:themeColor="text1"/>
          <w:kern w:val="24"/>
        </w:rPr>
        <w:t>Source: household disability survey 2023</w:t>
      </w:r>
    </w:p>
    <w:p w14:paraId="52B2E97A" w14:textId="0D1B4BD5" w:rsidR="000445B2" w:rsidRPr="00F15B08" w:rsidRDefault="000445B2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people during last housing search</w:t>
      </w:r>
      <w:r w:rsidR="00F15B08">
        <w:rPr>
          <w:rFonts w:ascii="Verdana" w:hAnsi="Verdana"/>
          <w:color w:val="000000" w:themeColor="text1"/>
        </w:rPr>
        <w:br/>
      </w:r>
      <w:r w:rsidRPr="00F15B08">
        <w:rPr>
          <w:rFonts w:ascii="Verdana" w:eastAsia="+mn-ea" w:hAnsi="Verdana" w:cs="+mn-cs"/>
          <w:color w:val="000000" w:themeColor="text1"/>
          <w:kern w:val="24"/>
        </w:rPr>
        <w:t>Number of disabled people who agreed with the following statements about their last housing search</w:t>
      </w:r>
    </w:p>
    <w:p w14:paraId="7C6DEE3D" w14:textId="77777777" w:rsidR="00C915C4" w:rsidRDefault="000445B2" w:rsidP="00C915C4">
      <w:pPr>
        <w:pStyle w:val="NormalWeb"/>
        <w:numPr>
          <w:ilvl w:val="0"/>
          <w:numId w:val="2"/>
        </w:numPr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 xml:space="preserve">202,000 disabled people had to look for a house with special surroundings/features. </w:t>
      </w:r>
    </w:p>
    <w:p w14:paraId="28C010BE" w14:textId="77777777" w:rsidR="00C915C4" w:rsidRDefault="000445B2" w:rsidP="00C915C4">
      <w:pPr>
        <w:pStyle w:val="NormalWeb"/>
        <w:numPr>
          <w:ilvl w:val="0"/>
          <w:numId w:val="2"/>
        </w:numPr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 xml:space="preserve">Of those, 187,000 found a property that met some or all of their requirements. </w:t>
      </w:r>
    </w:p>
    <w:p w14:paraId="60CF752C" w14:textId="20599BF0" w:rsidR="000A0CC2" w:rsidRPr="00F15B08" w:rsidRDefault="000445B2" w:rsidP="00C915C4">
      <w:pPr>
        <w:pStyle w:val="NormalWeb"/>
        <w:numPr>
          <w:ilvl w:val="0"/>
          <w:numId w:val="2"/>
        </w:numPr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Of those</w:t>
      </w:r>
      <w:r w:rsidR="00A81110" w:rsidRPr="00F15B08">
        <w:rPr>
          <w:rFonts w:ascii="Verdana" w:hAnsi="Verdana"/>
          <w:color w:val="000000" w:themeColor="text1"/>
          <w:lang w:val="en-US"/>
        </w:rPr>
        <w:t>, only 112,000 said finding a property that met their needs was easy.</w:t>
      </w:r>
    </w:p>
    <w:p w14:paraId="7F84880F" w14:textId="0747A01D" w:rsidR="00732FF3" w:rsidRPr="00F15B08" w:rsidRDefault="00ED71F5" w:rsidP="00F15B08">
      <w:pPr>
        <w:pStyle w:val="NormalWeb"/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Source: Household Disability Survey 2023</w:t>
      </w:r>
    </w:p>
    <w:p w14:paraId="5EF0841F" w14:textId="05BBC536" w:rsidR="00732FF3" w:rsidRPr="00F15B08" w:rsidRDefault="00ED71F5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Most disabled people happy with building and location</w:t>
      </w:r>
      <w:r w:rsidR="00F15B08" w:rsidRPr="00B87152">
        <w:rPr>
          <w:rFonts w:ascii="Verdana" w:hAnsi="Verdana"/>
          <w:b/>
          <w:bCs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of people happy with housing characteristic, by disability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1213" w:rsidRPr="00F15B08" w14:paraId="53F7D373" w14:textId="77777777" w:rsidTr="00732FF3">
        <w:tc>
          <w:tcPr>
            <w:tcW w:w="3116" w:type="dxa"/>
          </w:tcPr>
          <w:p w14:paraId="5757094B" w14:textId="77777777" w:rsidR="00732FF3" w:rsidRPr="00F15B08" w:rsidRDefault="00732FF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17" w:type="dxa"/>
          </w:tcPr>
          <w:p w14:paraId="410C68E6" w14:textId="77777777" w:rsidR="00732FF3" w:rsidRPr="00F15B08" w:rsidRDefault="00732FF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Disabled</w:t>
            </w:r>
          </w:p>
        </w:tc>
        <w:tc>
          <w:tcPr>
            <w:tcW w:w="3117" w:type="dxa"/>
          </w:tcPr>
          <w:p w14:paraId="1421138D" w14:textId="77777777" w:rsidR="00732FF3" w:rsidRPr="00F15B08" w:rsidRDefault="00732FF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Non-disabled</w:t>
            </w:r>
          </w:p>
        </w:tc>
      </w:tr>
      <w:tr w:rsidR="006D1213" w:rsidRPr="00F15B08" w14:paraId="272440CF" w14:textId="77777777" w:rsidTr="00732FF3">
        <w:tc>
          <w:tcPr>
            <w:tcW w:w="3116" w:type="dxa"/>
          </w:tcPr>
          <w:p w14:paraId="6577CAB3" w14:textId="77777777" w:rsidR="00732FF3" w:rsidRPr="00F15B08" w:rsidRDefault="00732FF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 xml:space="preserve">Happy with location </w:t>
            </w:r>
          </w:p>
        </w:tc>
        <w:tc>
          <w:tcPr>
            <w:tcW w:w="3117" w:type="dxa"/>
          </w:tcPr>
          <w:p w14:paraId="3FA832C2" w14:textId="56CF03D7" w:rsidR="00732FF3" w:rsidRPr="00F15B08" w:rsidRDefault="00732FF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86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32B00E60" w14:textId="7601E2A4" w:rsidR="00732FF3" w:rsidRPr="00F15B08" w:rsidRDefault="00732FF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91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6D1213" w:rsidRPr="00F15B08" w14:paraId="5C7A65E9" w14:textId="77777777" w:rsidTr="00732FF3">
        <w:tc>
          <w:tcPr>
            <w:tcW w:w="3116" w:type="dxa"/>
          </w:tcPr>
          <w:p w14:paraId="34D70710" w14:textId="77777777" w:rsidR="00732FF3" w:rsidRPr="00F15B08" w:rsidRDefault="00732FF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 xml:space="preserve">Happy with house or building  </w:t>
            </w:r>
          </w:p>
        </w:tc>
        <w:tc>
          <w:tcPr>
            <w:tcW w:w="3117" w:type="dxa"/>
          </w:tcPr>
          <w:p w14:paraId="3836BDB1" w14:textId="69D8CF6A" w:rsidR="00732FF3" w:rsidRPr="00F15B08" w:rsidRDefault="00732FF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83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2717F0B7" w14:textId="592BF0B7" w:rsidR="00732FF3" w:rsidRPr="00F15B08" w:rsidRDefault="00732FF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87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</w:tbl>
    <w:p w14:paraId="4AFF8E27" w14:textId="77777777" w:rsidR="00F15B08" w:rsidRDefault="00ED71F5" w:rsidP="00F15B08">
      <w:pPr>
        <w:pStyle w:val="NormalWeb"/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Source: Household Disability Survey 2023</w:t>
      </w:r>
    </w:p>
    <w:p w14:paraId="7E53427C" w14:textId="75E2AABC" w:rsidR="00620CD2" w:rsidRPr="00F15B08" w:rsidRDefault="00620CD2" w:rsidP="00F15B08">
      <w:pPr>
        <w:pStyle w:val="NormalWeb"/>
        <w:rPr>
          <w:rFonts w:ascii="Verdana" w:hAnsi="Verdana"/>
          <w:color w:val="000000" w:themeColor="text1"/>
          <w:lang w:val="en-US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people less likely to live</w:t>
      </w:r>
      <w:r w:rsidR="002F4986"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 xml:space="preserve"> in</w:t>
      </w: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 xml:space="preserve"> right size home</w:t>
      </w:r>
      <w:r w:rsidR="00F15B08">
        <w:rPr>
          <w:rFonts w:ascii="Verdana" w:hAnsi="Verdana"/>
          <w:color w:val="000000" w:themeColor="text1"/>
          <w:lang w:val="en-US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of people who reported home was right size, by disability status</w:t>
      </w:r>
    </w:p>
    <w:p w14:paraId="1B4D98B4" w14:textId="77777777" w:rsidR="00F15B08" w:rsidRDefault="00620CD2" w:rsidP="00F15B08">
      <w:pPr>
        <w:pStyle w:val="NormalWeb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Disabled: 77</w:t>
      </w:r>
      <w:r w:rsidR="006D1213" w:rsidRPr="00F15B08">
        <w:rPr>
          <w:rFonts w:ascii="Verdana" w:hAnsi="Verdana"/>
          <w:color w:val="000000" w:themeColor="text1"/>
        </w:rPr>
        <w:t xml:space="preserve"> percen</w:t>
      </w:r>
      <w:r w:rsidR="00F15B08">
        <w:rPr>
          <w:rFonts w:ascii="Verdana" w:hAnsi="Verdana"/>
          <w:color w:val="000000" w:themeColor="text1"/>
        </w:rPr>
        <w:t>t</w:t>
      </w:r>
    </w:p>
    <w:p w14:paraId="576FBD8F" w14:textId="1AF74638" w:rsidR="00ED71F5" w:rsidRPr="00F15B08" w:rsidRDefault="00620CD2" w:rsidP="00F15B08">
      <w:pPr>
        <w:pStyle w:val="NormalWeb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Non-disabled: 82</w:t>
      </w:r>
      <w:r w:rsidR="006D1213" w:rsidRPr="00F15B08">
        <w:rPr>
          <w:rFonts w:ascii="Verdana" w:hAnsi="Verdana"/>
          <w:color w:val="000000" w:themeColor="text1"/>
        </w:rPr>
        <w:t xml:space="preserve"> percent</w:t>
      </w:r>
    </w:p>
    <w:p w14:paraId="7AE3F9DE" w14:textId="5D346D0C" w:rsidR="00FB7833" w:rsidRPr="00F15B08" w:rsidRDefault="001017F4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Housing deprivation rate higher for disabled</w:t>
      </w:r>
      <w:r w:rsidR="00F15B08"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 xml:space="preserve"> people</w:t>
      </w:r>
      <w:r w:rsidR="00F15B08">
        <w:rPr>
          <w:rFonts w:ascii="Verdana" w:hAnsi="Verdana"/>
          <w:color w:val="000000" w:themeColor="text1"/>
        </w:rPr>
        <w:br/>
      </w:r>
      <w:r w:rsidRPr="00F15B08">
        <w:rPr>
          <w:rFonts w:ascii="Verdana" w:eastAsia="+mn-ea" w:hAnsi="Verdana" w:cs="+mn-cs"/>
          <w:color w:val="000000" w:themeColor="text1"/>
          <w:kern w:val="24"/>
        </w:rPr>
        <w:t>Housing deprivation rate per 10,000 people, by disability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1805"/>
        <w:gridCol w:w="1808"/>
        <w:gridCol w:w="1808"/>
        <w:gridCol w:w="1808"/>
      </w:tblGrid>
      <w:tr w:rsidR="006D1213" w:rsidRPr="00F15B08" w14:paraId="5FCA7763" w14:textId="77777777" w:rsidTr="00FB7833">
        <w:tc>
          <w:tcPr>
            <w:tcW w:w="1870" w:type="dxa"/>
          </w:tcPr>
          <w:p w14:paraId="5C9B2611" w14:textId="2749EE75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870" w:type="dxa"/>
          </w:tcPr>
          <w:p w14:paraId="47104938" w14:textId="1573958B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Non-disabled</w:t>
            </w:r>
          </w:p>
        </w:tc>
        <w:tc>
          <w:tcPr>
            <w:tcW w:w="1870" w:type="dxa"/>
          </w:tcPr>
          <w:p w14:paraId="56D5CA86" w14:textId="4AAF0D29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Disabled</w:t>
            </w:r>
          </w:p>
        </w:tc>
        <w:tc>
          <w:tcPr>
            <w:tcW w:w="1870" w:type="dxa"/>
          </w:tcPr>
          <w:p w14:paraId="62C76712" w14:textId="55603DE2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Disabled Māori</w:t>
            </w:r>
          </w:p>
        </w:tc>
        <w:tc>
          <w:tcPr>
            <w:tcW w:w="1870" w:type="dxa"/>
          </w:tcPr>
          <w:p w14:paraId="16CA0910" w14:textId="79C5F2B8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 xml:space="preserve">Disabled </w:t>
            </w:r>
            <w:r w:rsidR="0079561C">
              <w:rPr>
                <w:rFonts w:ascii="Verdana" w:hAnsi="Verdana"/>
                <w:color w:val="000000" w:themeColor="text1"/>
              </w:rPr>
              <w:t>P</w:t>
            </w:r>
            <w:r w:rsidRPr="00F15B08">
              <w:rPr>
                <w:rFonts w:ascii="Verdana" w:hAnsi="Verdana"/>
                <w:color w:val="000000" w:themeColor="text1"/>
              </w:rPr>
              <w:t>acific</w:t>
            </w:r>
          </w:p>
        </w:tc>
      </w:tr>
      <w:tr w:rsidR="006D1213" w:rsidRPr="00F15B08" w14:paraId="40890628" w14:textId="77777777" w:rsidTr="00FB7833">
        <w:tc>
          <w:tcPr>
            <w:tcW w:w="1870" w:type="dxa"/>
          </w:tcPr>
          <w:p w14:paraId="1B934B12" w14:textId="132CE2BF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Total per 10,000</w:t>
            </w:r>
          </w:p>
        </w:tc>
        <w:tc>
          <w:tcPr>
            <w:tcW w:w="1870" w:type="dxa"/>
          </w:tcPr>
          <w:p w14:paraId="7CB3C4EE" w14:textId="795A9F53" w:rsidR="00FB7833" w:rsidRPr="00F15B08" w:rsidRDefault="004961FC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203.7</w:t>
            </w:r>
          </w:p>
        </w:tc>
        <w:tc>
          <w:tcPr>
            <w:tcW w:w="1870" w:type="dxa"/>
          </w:tcPr>
          <w:p w14:paraId="1796E509" w14:textId="249F3EE5" w:rsidR="00FB7833" w:rsidRPr="00F15B08" w:rsidRDefault="004961FC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414.5</w:t>
            </w:r>
          </w:p>
        </w:tc>
        <w:tc>
          <w:tcPr>
            <w:tcW w:w="1870" w:type="dxa"/>
          </w:tcPr>
          <w:p w14:paraId="12DD4671" w14:textId="0C3CA7E5" w:rsidR="00FB7833" w:rsidRPr="00F15B08" w:rsidRDefault="004961FC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646.2</w:t>
            </w:r>
          </w:p>
        </w:tc>
        <w:tc>
          <w:tcPr>
            <w:tcW w:w="1870" w:type="dxa"/>
          </w:tcPr>
          <w:p w14:paraId="4DE40B0E" w14:textId="6F97FD7E" w:rsidR="00FB7833" w:rsidRPr="00F15B08" w:rsidRDefault="004961FC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987.</w:t>
            </w:r>
            <w:r w:rsidR="00F16B5A">
              <w:rPr>
                <w:rFonts w:ascii="Verdana" w:hAnsi="Verdana"/>
                <w:color w:val="000000" w:themeColor="text1"/>
              </w:rPr>
              <w:t>0</w:t>
            </w:r>
          </w:p>
        </w:tc>
      </w:tr>
      <w:tr w:rsidR="006D1213" w:rsidRPr="00F15B08" w14:paraId="77CBD136" w14:textId="77777777" w:rsidTr="00FB7833">
        <w:tc>
          <w:tcPr>
            <w:tcW w:w="1870" w:type="dxa"/>
          </w:tcPr>
          <w:p w14:paraId="7553033A" w14:textId="2B795986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Temp</w:t>
            </w:r>
            <w:r w:rsidR="00C915C4">
              <w:rPr>
                <w:rFonts w:ascii="Verdana" w:hAnsi="Verdana"/>
                <w:color w:val="000000" w:themeColor="text1"/>
              </w:rPr>
              <w:t>orary</w:t>
            </w:r>
            <w:r w:rsidRPr="00F15B08">
              <w:rPr>
                <w:rFonts w:ascii="Verdana" w:hAnsi="Verdana"/>
                <w:color w:val="000000" w:themeColor="text1"/>
              </w:rPr>
              <w:t xml:space="preserve"> accom</w:t>
            </w:r>
            <w:r w:rsidR="0079561C">
              <w:rPr>
                <w:rFonts w:ascii="Verdana" w:hAnsi="Verdana"/>
                <w:color w:val="000000" w:themeColor="text1"/>
              </w:rPr>
              <w:t>moda</w:t>
            </w:r>
            <w:r w:rsidR="00817C19">
              <w:rPr>
                <w:rFonts w:ascii="Verdana" w:hAnsi="Verdana"/>
                <w:color w:val="000000" w:themeColor="text1"/>
              </w:rPr>
              <w:t>tion</w:t>
            </w:r>
            <w:r w:rsidRPr="00F15B08">
              <w:rPr>
                <w:rFonts w:ascii="Verdana" w:hAnsi="Verdana"/>
                <w:color w:val="000000" w:themeColor="text1"/>
              </w:rPr>
              <w:t xml:space="preserve"> or without shelter</w:t>
            </w:r>
          </w:p>
        </w:tc>
        <w:tc>
          <w:tcPr>
            <w:tcW w:w="1870" w:type="dxa"/>
          </w:tcPr>
          <w:p w14:paraId="0CAFC85A" w14:textId="1DDE6F25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3</w:t>
            </w:r>
            <w:r w:rsidR="00F16B5A">
              <w:rPr>
                <w:rFonts w:ascii="Verdana" w:hAnsi="Verdana"/>
                <w:color w:val="000000" w:themeColor="text1"/>
              </w:rPr>
              <w:t>4.0</w:t>
            </w:r>
          </w:p>
        </w:tc>
        <w:tc>
          <w:tcPr>
            <w:tcW w:w="1870" w:type="dxa"/>
          </w:tcPr>
          <w:p w14:paraId="4EA5D6F9" w14:textId="45746B5D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77.</w:t>
            </w:r>
            <w:r w:rsidR="00F16B5A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870" w:type="dxa"/>
          </w:tcPr>
          <w:p w14:paraId="4B34E3BA" w14:textId="497D24E2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118.4</w:t>
            </w:r>
          </w:p>
        </w:tc>
        <w:tc>
          <w:tcPr>
            <w:tcW w:w="1870" w:type="dxa"/>
          </w:tcPr>
          <w:p w14:paraId="4711252C" w14:textId="60FCDE39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86.9</w:t>
            </w:r>
          </w:p>
        </w:tc>
      </w:tr>
      <w:tr w:rsidR="006D1213" w:rsidRPr="00F15B08" w14:paraId="0D3B11ED" w14:textId="77777777" w:rsidTr="00FB7833">
        <w:tc>
          <w:tcPr>
            <w:tcW w:w="1870" w:type="dxa"/>
          </w:tcPr>
          <w:p w14:paraId="612608B7" w14:textId="77777777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Sharing someone else's private dwelling</w:t>
            </w:r>
          </w:p>
        </w:tc>
        <w:tc>
          <w:tcPr>
            <w:tcW w:w="1870" w:type="dxa"/>
          </w:tcPr>
          <w:p w14:paraId="0B293750" w14:textId="05809355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44.4</w:t>
            </w:r>
          </w:p>
        </w:tc>
        <w:tc>
          <w:tcPr>
            <w:tcW w:w="1870" w:type="dxa"/>
          </w:tcPr>
          <w:p w14:paraId="473BC1F1" w14:textId="54429965" w:rsidR="00FB7833" w:rsidRPr="00F15B08" w:rsidRDefault="00F16B5A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64.0</w:t>
            </w:r>
          </w:p>
        </w:tc>
        <w:tc>
          <w:tcPr>
            <w:tcW w:w="1870" w:type="dxa"/>
          </w:tcPr>
          <w:p w14:paraId="5A8C1823" w14:textId="64C08A0E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120.</w:t>
            </w:r>
            <w:r w:rsidR="00F16B5A"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870" w:type="dxa"/>
          </w:tcPr>
          <w:p w14:paraId="4B86CB89" w14:textId="64B20B7C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233.</w:t>
            </w:r>
            <w:r w:rsidR="00F16B5A">
              <w:rPr>
                <w:rFonts w:ascii="Verdana" w:hAnsi="Verdana"/>
                <w:color w:val="000000" w:themeColor="text1"/>
              </w:rPr>
              <w:t>90</w:t>
            </w:r>
          </w:p>
        </w:tc>
      </w:tr>
      <w:tr w:rsidR="006D1213" w:rsidRPr="00F15B08" w14:paraId="0643B915" w14:textId="77777777" w:rsidTr="00FB7833">
        <w:tc>
          <w:tcPr>
            <w:tcW w:w="1870" w:type="dxa"/>
          </w:tcPr>
          <w:p w14:paraId="2E2B6BB1" w14:textId="77777777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Uninhabitable housing</w:t>
            </w:r>
          </w:p>
        </w:tc>
        <w:tc>
          <w:tcPr>
            <w:tcW w:w="1870" w:type="dxa"/>
          </w:tcPr>
          <w:p w14:paraId="52CF40CA" w14:textId="32947CB2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125.</w:t>
            </w:r>
            <w:r w:rsidR="00F16B5A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870" w:type="dxa"/>
          </w:tcPr>
          <w:p w14:paraId="73F556E7" w14:textId="166B9AA6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273.</w:t>
            </w:r>
            <w:r w:rsidR="00F16B5A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870" w:type="dxa"/>
          </w:tcPr>
          <w:p w14:paraId="2613CDBC" w14:textId="7F8E7BC5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407.</w:t>
            </w:r>
            <w:r w:rsidR="00F16B5A">
              <w:rPr>
                <w:rFonts w:ascii="Verdana" w:hAnsi="Verdana"/>
                <w:color w:val="000000" w:themeColor="text1"/>
              </w:rPr>
              <w:t>8</w:t>
            </w:r>
          </w:p>
        </w:tc>
        <w:tc>
          <w:tcPr>
            <w:tcW w:w="1870" w:type="dxa"/>
          </w:tcPr>
          <w:p w14:paraId="60C87BD6" w14:textId="5A32E878" w:rsidR="00FB7833" w:rsidRPr="00F15B08" w:rsidRDefault="00FB7833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666.</w:t>
            </w:r>
            <w:r w:rsidR="00F16B5A">
              <w:rPr>
                <w:rFonts w:ascii="Verdana" w:hAnsi="Verdana"/>
                <w:color w:val="000000" w:themeColor="text1"/>
              </w:rPr>
              <w:t>2</w:t>
            </w:r>
          </w:p>
        </w:tc>
      </w:tr>
    </w:tbl>
    <w:p w14:paraId="77A45288" w14:textId="3F4854C7" w:rsidR="001017F4" w:rsidRPr="00F15B08" w:rsidRDefault="00AB35F0" w:rsidP="00F15B08">
      <w:pPr>
        <w:pStyle w:val="NormalWeb"/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Source: Census 2023</w:t>
      </w:r>
    </w:p>
    <w:p w14:paraId="624C0F2E" w14:textId="77777777" w:rsidR="00B87152" w:rsidRDefault="00B87152">
      <w:pP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  <w:lang w:val="en-NZ" w:eastAsia="en-NZ"/>
        </w:rPr>
      </w:pPr>
      <w: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</w:rPr>
        <w:br w:type="page"/>
      </w:r>
    </w:p>
    <w:p w14:paraId="69DD6B0E" w14:textId="72D7F7D8" w:rsidR="00AB35F0" w:rsidRPr="00F15B08" w:rsidRDefault="00AB35F0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Home affordability</w:t>
      </w:r>
      <w:r w:rsidR="00F15B08">
        <w:rPr>
          <w:rFonts w:ascii="Verdana" w:hAnsi="Verdana"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of adults (15+ years), by perceived affordability of home and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B73B6" w:rsidRPr="00BB73B6" w14:paraId="2E80EBB9" w14:textId="77777777" w:rsidTr="00BB73B6">
        <w:tc>
          <w:tcPr>
            <w:tcW w:w="2337" w:type="dxa"/>
          </w:tcPr>
          <w:p w14:paraId="12C86BDC" w14:textId="77777777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37" w:type="dxa"/>
          </w:tcPr>
          <w:p w14:paraId="2DDE830E" w14:textId="52309C6D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Tāngata whaikaha Māori</w:t>
            </w:r>
          </w:p>
        </w:tc>
        <w:tc>
          <w:tcPr>
            <w:tcW w:w="2338" w:type="dxa"/>
          </w:tcPr>
          <w:p w14:paraId="4C568966" w14:textId="77777777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Disabled</w:t>
            </w:r>
          </w:p>
        </w:tc>
        <w:tc>
          <w:tcPr>
            <w:tcW w:w="2338" w:type="dxa"/>
          </w:tcPr>
          <w:p w14:paraId="2EE1FBAD" w14:textId="77777777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Non-disabled</w:t>
            </w:r>
          </w:p>
        </w:tc>
      </w:tr>
      <w:tr w:rsidR="00BB73B6" w:rsidRPr="00BB73B6" w14:paraId="2FABFD61" w14:textId="77777777" w:rsidTr="00BB73B6">
        <w:tc>
          <w:tcPr>
            <w:tcW w:w="2337" w:type="dxa"/>
          </w:tcPr>
          <w:p w14:paraId="22DFE3D0" w14:textId="77777777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0 to 3 (0=very unaffordable)</w:t>
            </w:r>
          </w:p>
        </w:tc>
        <w:tc>
          <w:tcPr>
            <w:tcW w:w="2337" w:type="dxa"/>
          </w:tcPr>
          <w:p w14:paraId="0233609B" w14:textId="7424F07E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20.4</w:t>
            </w:r>
            <w:r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080DDD13" w14:textId="6D33D768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17.6</w:t>
            </w:r>
            <w:r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16E6CF50" w14:textId="4E24D477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13.6</w:t>
            </w:r>
            <w:r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BB73B6" w:rsidRPr="00BB73B6" w14:paraId="5B640FE1" w14:textId="77777777" w:rsidTr="00BB73B6">
        <w:tc>
          <w:tcPr>
            <w:tcW w:w="2337" w:type="dxa"/>
          </w:tcPr>
          <w:p w14:paraId="74244E36" w14:textId="77777777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4 to 6</w:t>
            </w:r>
          </w:p>
        </w:tc>
        <w:tc>
          <w:tcPr>
            <w:tcW w:w="2337" w:type="dxa"/>
          </w:tcPr>
          <w:p w14:paraId="2FD95941" w14:textId="37941330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44.1</w:t>
            </w:r>
            <w:r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4041D693" w14:textId="1F5822EA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42.2</w:t>
            </w:r>
            <w:r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38D19594" w14:textId="3A4D0ED5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41.7</w:t>
            </w:r>
            <w:r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BB73B6" w:rsidRPr="00F15B08" w14:paraId="276F2161" w14:textId="77777777" w:rsidTr="00BB73B6">
        <w:tc>
          <w:tcPr>
            <w:tcW w:w="2337" w:type="dxa"/>
          </w:tcPr>
          <w:p w14:paraId="28C1FEA9" w14:textId="77777777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7 to 10 (10=very affordable)</w:t>
            </w:r>
          </w:p>
        </w:tc>
        <w:tc>
          <w:tcPr>
            <w:tcW w:w="2337" w:type="dxa"/>
          </w:tcPr>
          <w:p w14:paraId="35535DA8" w14:textId="0954AD1F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35.5</w:t>
            </w:r>
            <w:r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5A3CBBB7" w14:textId="1FAA3807" w:rsidR="00BB73B6" w:rsidRPr="00BB73B6" w:rsidRDefault="00BB73B6" w:rsidP="002E35FC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BB73B6">
              <w:rPr>
                <w:rFonts w:ascii="Verdana" w:hAnsi="Verdana"/>
                <w:color w:val="000000" w:themeColor="text1"/>
              </w:rPr>
              <w:t>40.1</w:t>
            </w:r>
            <w:r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66FA3278" w14:textId="393EDB38" w:rsidR="00BB73B6" w:rsidRPr="00F15B08" w:rsidRDefault="00BB73B6" w:rsidP="002E35FC">
            <w:pPr>
              <w:pStyle w:val="NormalWeb"/>
              <w:rPr>
                <w:rFonts w:ascii="Verdana" w:hAnsi="Verdana"/>
                <w:color w:val="000000" w:themeColor="text1"/>
                <w:lang w:val="en-US"/>
              </w:rPr>
            </w:pPr>
            <w:r w:rsidRPr="00BB73B6">
              <w:rPr>
                <w:rFonts w:ascii="Verdana" w:hAnsi="Verdana"/>
                <w:color w:val="000000" w:themeColor="text1"/>
              </w:rPr>
              <w:t>44.6</w:t>
            </w:r>
            <w:r w:rsidRPr="00BB73B6">
              <w:rPr>
                <w:rFonts w:ascii="Verdana" w:hAnsi="Verdana"/>
                <w:color w:val="000000" w:themeColor="text1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</w:rPr>
              <w:t>percent</w:t>
            </w:r>
          </w:p>
        </w:tc>
      </w:tr>
    </w:tbl>
    <w:p w14:paraId="512B5E0D" w14:textId="27E18C19" w:rsidR="005874E4" w:rsidRPr="00F15B08" w:rsidRDefault="007802ED" w:rsidP="00BB73B6">
      <w:pPr>
        <w:pStyle w:val="NormalWeb"/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Source: General Social Survey 2023 (WGSS)</w:t>
      </w:r>
    </w:p>
    <w:p w14:paraId="0DBE01E0" w14:textId="5E21C910" w:rsidR="005874E4" w:rsidRPr="00F15B08" w:rsidRDefault="005874E4" w:rsidP="00F15B08">
      <w:pPr>
        <w:pStyle w:val="NormalWeb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The housing affordability gap between disabled and non-disabled people may be influenced by multiple factors, including:</w:t>
      </w:r>
    </w:p>
    <w:p w14:paraId="4D5AB2A2" w14:textId="77777777" w:rsidR="005874E4" w:rsidRPr="00F15B08" w:rsidRDefault="005874E4" w:rsidP="00F15B08">
      <w:pPr>
        <w:pStyle w:val="NormalWeb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Disabled people having lower average incomes</w:t>
      </w:r>
    </w:p>
    <w:p w14:paraId="2B83DCE6" w14:textId="77777777" w:rsidR="005874E4" w:rsidRPr="00F15B08" w:rsidRDefault="005874E4" w:rsidP="00F15B08">
      <w:pPr>
        <w:pStyle w:val="NormalWeb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Disabled people being less likely to be employed</w:t>
      </w:r>
    </w:p>
    <w:p w14:paraId="7CBE3A8B" w14:textId="77777777" w:rsidR="005874E4" w:rsidRPr="00F15B08" w:rsidRDefault="005874E4" w:rsidP="00F15B08">
      <w:pPr>
        <w:pStyle w:val="NormalWeb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Additional accessibility requirements</w:t>
      </w:r>
    </w:p>
    <w:p w14:paraId="28D8E248" w14:textId="77777777" w:rsidR="005874E4" w:rsidRPr="00F15B08" w:rsidRDefault="005874E4" w:rsidP="00F15B08">
      <w:pPr>
        <w:pStyle w:val="NormalWeb"/>
        <w:rPr>
          <w:rFonts w:ascii="Verdana" w:hAnsi="Verdana"/>
          <w:color w:val="000000" w:themeColor="text1"/>
        </w:rPr>
      </w:pPr>
      <w:r w:rsidRPr="00F15B08">
        <w:rPr>
          <w:rFonts w:ascii="Verdana" w:hAnsi="Verdana"/>
          <w:color w:val="000000" w:themeColor="text1"/>
        </w:rPr>
        <w:t>Disabled people being less likely to live in an owner-occupied home</w:t>
      </w:r>
    </w:p>
    <w:p w14:paraId="0553F7EF" w14:textId="09FF2295" w:rsidR="005874E4" w:rsidRPr="00F15B08" w:rsidRDefault="005874E4" w:rsidP="00F15B08">
      <w:pPr>
        <w:pStyle w:val="NormalWeb"/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Increased costs associated with disability</w:t>
      </w:r>
    </w:p>
    <w:p w14:paraId="24A3BE21" w14:textId="71200B15" w:rsidR="005874E4" w:rsidRPr="00F15B08" w:rsidRDefault="005874E4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Cold homes</w:t>
      </w:r>
      <w:r w:rsidR="00F15B08">
        <w:rPr>
          <w:rFonts w:ascii="Verdana" w:hAnsi="Verdana"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of adults (15+ years), by whether house is colder than they would like during winter and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1213" w:rsidRPr="00F15B08" w14:paraId="1D5E6A4F" w14:textId="77777777" w:rsidTr="00AD7BEF">
        <w:tc>
          <w:tcPr>
            <w:tcW w:w="2337" w:type="dxa"/>
          </w:tcPr>
          <w:p w14:paraId="5E7D9E39" w14:textId="77777777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37" w:type="dxa"/>
          </w:tcPr>
          <w:p w14:paraId="142BDA0F" w14:textId="1FC83881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Tāngata whaikaha Māori</w:t>
            </w:r>
          </w:p>
        </w:tc>
        <w:tc>
          <w:tcPr>
            <w:tcW w:w="2338" w:type="dxa"/>
          </w:tcPr>
          <w:p w14:paraId="715933C2" w14:textId="77777777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Disabled</w:t>
            </w:r>
          </w:p>
        </w:tc>
        <w:tc>
          <w:tcPr>
            <w:tcW w:w="2338" w:type="dxa"/>
          </w:tcPr>
          <w:p w14:paraId="0623902B" w14:textId="77777777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Non-disabled</w:t>
            </w:r>
          </w:p>
        </w:tc>
      </w:tr>
      <w:tr w:rsidR="006D1213" w:rsidRPr="00F15B08" w14:paraId="224516A0" w14:textId="77777777" w:rsidTr="00AD7BEF">
        <w:tc>
          <w:tcPr>
            <w:tcW w:w="2337" w:type="dxa"/>
          </w:tcPr>
          <w:p w14:paraId="4A212460" w14:textId="77777777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Yes - always or often</w:t>
            </w:r>
          </w:p>
        </w:tc>
        <w:tc>
          <w:tcPr>
            <w:tcW w:w="2337" w:type="dxa"/>
          </w:tcPr>
          <w:p w14:paraId="747D623F" w14:textId="2BF467B6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43.9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092EEFE5" w14:textId="36A28975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27.6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68B5D1F8" w14:textId="6CE7F70C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19.8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6D1213" w:rsidRPr="00F15B08" w14:paraId="6A7DFC34" w14:textId="77777777" w:rsidTr="00AD7BEF">
        <w:tc>
          <w:tcPr>
            <w:tcW w:w="2337" w:type="dxa"/>
          </w:tcPr>
          <w:p w14:paraId="4F81B172" w14:textId="77777777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Yes - sometimes</w:t>
            </w:r>
          </w:p>
        </w:tc>
        <w:tc>
          <w:tcPr>
            <w:tcW w:w="2337" w:type="dxa"/>
          </w:tcPr>
          <w:p w14:paraId="3D813A88" w14:textId="3E40D9D0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24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21AF3E43" w14:textId="10E2CA21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24.4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5AF4556C" w14:textId="29B4859F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29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6D1213" w:rsidRPr="00F15B08" w14:paraId="36AF45D8" w14:textId="77777777" w:rsidTr="00AD7BEF">
        <w:tc>
          <w:tcPr>
            <w:tcW w:w="2337" w:type="dxa"/>
          </w:tcPr>
          <w:p w14:paraId="7E414D46" w14:textId="77777777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</w:t>
            </w:r>
          </w:p>
        </w:tc>
        <w:tc>
          <w:tcPr>
            <w:tcW w:w="2337" w:type="dxa"/>
          </w:tcPr>
          <w:p w14:paraId="2A3E7655" w14:textId="38FCE4AB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30.1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394E771E" w14:textId="78FB5216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45.9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123C8461" w14:textId="2765DEE3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48.8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6D1213" w:rsidRPr="00F15B08" w14:paraId="67A09B6E" w14:textId="77777777" w:rsidTr="00AD7BEF">
        <w:tc>
          <w:tcPr>
            <w:tcW w:w="2337" w:type="dxa"/>
          </w:tcPr>
          <w:p w14:paraId="7D1749AE" w14:textId="77777777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Have not been here in winter</w:t>
            </w:r>
          </w:p>
        </w:tc>
        <w:tc>
          <w:tcPr>
            <w:tcW w:w="2337" w:type="dxa"/>
          </w:tcPr>
          <w:p w14:paraId="01728CBB" w14:textId="3AA5D084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Suppressed</w:t>
            </w:r>
          </w:p>
        </w:tc>
        <w:tc>
          <w:tcPr>
            <w:tcW w:w="2338" w:type="dxa"/>
          </w:tcPr>
          <w:p w14:paraId="228D806E" w14:textId="0FA16AE2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2.1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2984D308" w14:textId="35EBD666" w:rsidR="00AD7BEF" w:rsidRPr="00F15B08" w:rsidRDefault="00AD7BEF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2.4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</w:tbl>
    <w:p w14:paraId="0A35B3B2" w14:textId="2B9F721F" w:rsidR="005874E4" w:rsidRPr="00ED313F" w:rsidRDefault="00D615D3" w:rsidP="00F15B08">
      <w:pPr>
        <w:pStyle w:val="NormalWeb"/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Source: General Social Survey 2023 (WGSS)</w:t>
      </w:r>
    </w:p>
    <w:p w14:paraId="675DA819" w14:textId="77777777" w:rsidR="00B87152" w:rsidRDefault="00B87152">
      <w:pP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  <w:lang w:val="en-NZ" w:eastAsia="en-NZ"/>
        </w:rPr>
      </w:pPr>
      <w: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</w:rPr>
        <w:br w:type="page"/>
      </w:r>
    </w:p>
    <w:p w14:paraId="1B625294" w14:textId="1AEF3F57" w:rsidR="00023387" w:rsidRPr="00F15B08" w:rsidRDefault="00FE2237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Mouldy homes</w:t>
      </w:r>
      <w:r w:rsidR="00F15B08">
        <w:rPr>
          <w:rFonts w:ascii="Verdana" w:hAnsi="Verdana"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of adults (15+ years), by whether house or flat is mouldy and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1213" w:rsidRPr="00F15B08" w14:paraId="1AB488CD" w14:textId="77777777" w:rsidTr="00023387">
        <w:tc>
          <w:tcPr>
            <w:tcW w:w="2337" w:type="dxa"/>
          </w:tcPr>
          <w:p w14:paraId="59846AB8" w14:textId="3D2A5162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37" w:type="dxa"/>
          </w:tcPr>
          <w:p w14:paraId="47FEF8F3" w14:textId="7A30CEB0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Tāngata whaikaha Māori</w:t>
            </w:r>
          </w:p>
        </w:tc>
        <w:tc>
          <w:tcPr>
            <w:tcW w:w="2338" w:type="dxa"/>
          </w:tcPr>
          <w:p w14:paraId="1BA14F88" w14:textId="15CEBA4E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Disabled</w:t>
            </w:r>
          </w:p>
        </w:tc>
        <w:tc>
          <w:tcPr>
            <w:tcW w:w="2338" w:type="dxa"/>
          </w:tcPr>
          <w:p w14:paraId="1674D24D" w14:textId="36CE11E9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Non-disabled</w:t>
            </w:r>
          </w:p>
        </w:tc>
      </w:tr>
      <w:tr w:rsidR="006D1213" w:rsidRPr="00F15B08" w14:paraId="045082CA" w14:textId="77777777" w:rsidTr="00023387">
        <w:tc>
          <w:tcPr>
            <w:tcW w:w="2337" w:type="dxa"/>
          </w:tcPr>
          <w:p w14:paraId="1AF0D620" w14:textId="77777777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Yes</w:t>
            </w:r>
          </w:p>
        </w:tc>
        <w:tc>
          <w:tcPr>
            <w:tcW w:w="2337" w:type="dxa"/>
          </w:tcPr>
          <w:p w14:paraId="24533F33" w14:textId="51B595BF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51.7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28AC5C7F" w14:textId="033F2C87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36.7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77654D39" w14:textId="74C4F8B3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35.2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6D1213" w:rsidRPr="00F15B08" w14:paraId="1025441E" w14:textId="77777777" w:rsidTr="00023387">
        <w:tc>
          <w:tcPr>
            <w:tcW w:w="2337" w:type="dxa"/>
          </w:tcPr>
          <w:p w14:paraId="1FB63542" w14:textId="77777777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</w:t>
            </w:r>
          </w:p>
        </w:tc>
        <w:tc>
          <w:tcPr>
            <w:tcW w:w="2337" w:type="dxa"/>
          </w:tcPr>
          <w:p w14:paraId="2C25EF75" w14:textId="05AC1258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48.3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4660241C" w14:textId="5CE868D8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63.3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71562062" w14:textId="7ED9E09D" w:rsidR="00023387" w:rsidRPr="00F15B08" w:rsidRDefault="0002338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64.8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</w:tbl>
    <w:p w14:paraId="26EB0DC3" w14:textId="77777777" w:rsidR="00D615D3" w:rsidRPr="00F15B08" w:rsidRDefault="00D615D3" w:rsidP="00F15B08">
      <w:pPr>
        <w:pStyle w:val="NormalWeb"/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Source: General Social Survey 2023 (WGSS)</w:t>
      </w:r>
    </w:p>
    <w:p w14:paraId="40A908B0" w14:textId="3F014D68" w:rsidR="00696B3B" w:rsidRPr="00F15B08" w:rsidRDefault="00AA6E5D" w:rsidP="00F15B08">
      <w:pPr>
        <w:pStyle w:val="NormalWeb"/>
        <w:rPr>
          <w:rFonts w:ascii="Verdana" w:hAnsi="Verdana"/>
          <w:color w:val="000000" w:themeColor="text1"/>
        </w:rPr>
      </w:pPr>
      <w:r w:rsidRPr="002E35FC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Damp homes</w:t>
      </w:r>
      <w:r w:rsidR="00BB73B6">
        <w:rPr>
          <w:rFonts w:ascii="Verdana" w:hAnsi="Verdana"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Pr="00F15B08">
        <w:rPr>
          <w:rFonts w:ascii="Verdana" w:eastAsia="+mn-ea" w:hAnsi="Verdana" w:cs="+mn-cs"/>
          <w:color w:val="000000" w:themeColor="text1"/>
          <w:kern w:val="24"/>
        </w:rPr>
        <w:t xml:space="preserve"> of people, by whether home damp and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1213" w:rsidRPr="00F15B08" w14:paraId="3319F119" w14:textId="77777777" w:rsidTr="00142217">
        <w:tc>
          <w:tcPr>
            <w:tcW w:w="2337" w:type="dxa"/>
          </w:tcPr>
          <w:p w14:paraId="5C16E626" w14:textId="77777777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37" w:type="dxa"/>
          </w:tcPr>
          <w:p w14:paraId="75882481" w14:textId="08DC7F17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Tāngata whaikaha Māori</w:t>
            </w:r>
          </w:p>
        </w:tc>
        <w:tc>
          <w:tcPr>
            <w:tcW w:w="2338" w:type="dxa"/>
          </w:tcPr>
          <w:p w14:paraId="02ED6DDD" w14:textId="77777777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Disabled</w:t>
            </w:r>
          </w:p>
        </w:tc>
        <w:tc>
          <w:tcPr>
            <w:tcW w:w="2338" w:type="dxa"/>
          </w:tcPr>
          <w:p w14:paraId="699C7AA5" w14:textId="77777777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Non-disabled</w:t>
            </w:r>
          </w:p>
        </w:tc>
      </w:tr>
      <w:tr w:rsidR="006D1213" w:rsidRPr="00F15B08" w14:paraId="4E3E0C0E" w14:textId="77777777" w:rsidTr="00142217">
        <w:tc>
          <w:tcPr>
            <w:tcW w:w="2337" w:type="dxa"/>
          </w:tcPr>
          <w:p w14:paraId="05431ECF" w14:textId="77777777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Yes - always</w:t>
            </w:r>
          </w:p>
        </w:tc>
        <w:tc>
          <w:tcPr>
            <w:tcW w:w="2337" w:type="dxa"/>
          </w:tcPr>
          <w:p w14:paraId="7B018CB0" w14:textId="0BD2B606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12.2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057F4390" w14:textId="5AEDC0DA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6.7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7E4F9618" w14:textId="261DEFCD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4.7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6D1213" w:rsidRPr="00F15B08" w14:paraId="716A46CA" w14:textId="77777777" w:rsidTr="00142217">
        <w:tc>
          <w:tcPr>
            <w:tcW w:w="2337" w:type="dxa"/>
          </w:tcPr>
          <w:p w14:paraId="3D61604F" w14:textId="77777777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Yes - sometimes</w:t>
            </w:r>
          </w:p>
        </w:tc>
        <w:tc>
          <w:tcPr>
            <w:tcW w:w="2337" w:type="dxa"/>
          </w:tcPr>
          <w:p w14:paraId="5BB88DC4" w14:textId="18BAC143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43.5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52237497" w14:textId="6A1FC0A7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29.6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353C9D46" w14:textId="461167D3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28.9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6D1213" w:rsidRPr="00F15B08" w14:paraId="4E378519" w14:textId="77777777" w:rsidTr="00142217">
        <w:tc>
          <w:tcPr>
            <w:tcW w:w="2337" w:type="dxa"/>
          </w:tcPr>
          <w:p w14:paraId="152AB4B6" w14:textId="77777777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Not damp</w:t>
            </w:r>
          </w:p>
        </w:tc>
        <w:tc>
          <w:tcPr>
            <w:tcW w:w="2337" w:type="dxa"/>
          </w:tcPr>
          <w:p w14:paraId="22637160" w14:textId="208C4835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44.1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5C013FBF" w14:textId="1CAD976F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63.6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36F7745B" w14:textId="4B75974E" w:rsidR="00142217" w:rsidRPr="00F15B08" w:rsidRDefault="00142217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66.4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</w:tbl>
    <w:p w14:paraId="00C634F5" w14:textId="77777777" w:rsidR="00D615D3" w:rsidRPr="00F15B08" w:rsidRDefault="00D615D3" w:rsidP="00F15B08">
      <w:pPr>
        <w:pStyle w:val="NormalWeb"/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Source: General Social Survey 2023 (WGSS)</w:t>
      </w:r>
    </w:p>
    <w:p w14:paraId="5E2E1D0A" w14:textId="307044DB" w:rsidR="000B71C5" w:rsidRPr="00F15B08" w:rsidRDefault="00FE4C01" w:rsidP="00F15B08">
      <w:pPr>
        <w:pStyle w:val="NormalWeb"/>
        <w:rPr>
          <w:rFonts w:ascii="Verdana" w:hAnsi="Verdana"/>
          <w:color w:val="000000" w:themeColor="text1"/>
        </w:rPr>
      </w:pPr>
      <w:r>
        <w:rPr>
          <w:rStyle w:val="Heading1Char"/>
          <w:rFonts w:ascii="Verdana" w:hAnsi="Verdana"/>
          <w:b/>
          <w:bCs/>
          <w:color w:val="auto"/>
          <w:sz w:val="32"/>
          <w:szCs w:val="32"/>
        </w:rPr>
        <w:t>Home</w:t>
      </w:r>
      <w:r w:rsidR="00902272">
        <w:rPr>
          <w:rStyle w:val="Heading1Char"/>
          <w:rFonts w:ascii="Verdana" w:hAnsi="Verdana"/>
          <w:b/>
          <w:bCs/>
          <w:color w:val="auto"/>
          <w:sz w:val="32"/>
          <w:szCs w:val="32"/>
        </w:rPr>
        <w:t xml:space="preserve"> repairs</w:t>
      </w:r>
      <w:r w:rsidR="00BB73B6">
        <w:rPr>
          <w:rFonts w:ascii="Verdana" w:hAnsi="Verdana"/>
          <w:color w:val="000000" w:themeColor="text1"/>
        </w:rPr>
        <w:br/>
      </w:r>
      <w:r w:rsidR="00F15B08" w:rsidRPr="00F15B08">
        <w:rPr>
          <w:rFonts w:ascii="Verdana" w:eastAsia="+mn-ea" w:hAnsi="Verdana" w:cs="+mn-cs"/>
          <w:color w:val="000000" w:themeColor="text1"/>
          <w:kern w:val="24"/>
        </w:rPr>
        <w:t>P</w:t>
      </w:r>
      <w:r w:rsidR="006D1213" w:rsidRPr="00F15B08">
        <w:rPr>
          <w:rFonts w:ascii="Verdana" w:eastAsia="+mn-ea" w:hAnsi="Verdana" w:cs="+mn-cs"/>
          <w:color w:val="000000" w:themeColor="text1"/>
          <w:kern w:val="24"/>
        </w:rPr>
        <w:t>ercent</w:t>
      </w:r>
      <w:r w:rsidR="00D615D3" w:rsidRPr="00F15B08">
        <w:rPr>
          <w:rFonts w:ascii="Verdana" w:eastAsia="+mn-ea" w:hAnsi="Verdana" w:cs="+mn-cs"/>
          <w:color w:val="000000" w:themeColor="text1"/>
          <w:kern w:val="24"/>
        </w:rPr>
        <w:t xml:space="preserve"> of people, by level of repairs needed and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1213" w:rsidRPr="00F15B08" w14:paraId="34CD1E0A" w14:textId="77777777" w:rsidTr="000B71C5">
        <w:tc>
          <w:tcPr>
            <w:tcW w:w="2337" w:type="dxa"/>
          </w:tcPr>
          <w:p w14:paraId="10090530" w14:textId="77777777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337" w:type="dxa"/>
          </w:tcPr>
          <w:p w14:paraId="4518B7B6" w14:textId="03F07A30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Tāngata whaikaha Māori</w:t>
            </w:r>
          </w:p>
        </w:tc>
        <w:tc>
          <w:tcPr>
            <w:tcW w:w="2338" w:type="dxa"/>
          </w:tcPr>
          <w:p w14:paraId="604CA093" w14:textId="77777777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Disabled</w:t>
            </w:r>
          </w:p>
        </w:tc>
        <w:tc>
          <w:tcPr>
            <w:tcW w:w="2338" w:type="dxa"/>
          </w:tcPr>
          <w:p w14:paraId="76B910F9" w14:textId="77777777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Non-disabled</w:t>
            </w:r>
          </w:p>
        </w:tc>
      </w:tr>
      <w:tr w:rsidR="006D1213" w:rsidRPr="00F15B08" w14:paraId="192227BD" w14:textId="77777777" w:rsidTr="000B71C5">
        <w:tc>
          <w:tcPr>
            <w:tcW w:w="2337" w:type="dxa"/>
          </w:tcPr>
          <w:p w14:paraId="3C062998" w14:textId="77777777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None</w:t>
            </w:r>
          </w:p>
        </w:tc>
        <w:tc>
          <w:tcPr>
            <w:tcW w:w="2337" w:type="dxa"/>
          </w:tcPr>
          <w:p w14:paraId="53767C64" w14:textId="73BE7B21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21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038EEFCF" w14:textId="5ED9DDA6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23.1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1D9285C2" w14:textId="43C50C2D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29.5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6D1213" w:rsidRPr="00F15B08" w14:paraId="1218EFF1" w14:textId="77777777" w:rsidTr="000B71C5">
        <w:tc>
          <w:tcPr>
            <w:tcW w:w="2337" w:type="dxa"/>
          </w:tcPr>
          <w:p w14:paraId="4E5B4358" w14:textId="77777777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Minor</w:t>
            </w:r>
          </w:p>
        </w:tc>
        <w:tc>
          <w:tcPr>
            <w:tcW w:w="2337" w:type="dxa"/>
          </w:tcPr>
          <w:p w14:paraId="1E335DF6" w14:textId="708FBCAD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38.6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33A87BC9" w14:textId="49D0639E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46.6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61A1AA8E" w14:textId="7A6C3411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49.4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6D1213" w:rsidRPr="00F15B08" w14:paraId="6136324A" w14:textId="77777777" w:rsidTr="000B71C5">
        <w:tc>
          <w:tcPr>
            <w:tcW w:w="2337" w:type="dxa"/>
          </w:tcPr>
          <w:p w14:paraId="61B9A8AC" w14:textId="77777777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Moderate/major</w:t>
            </w:r>
          </w:p>
        </w:tc>
        <w:tc>
          <w:tcPr>
            <w:tcW w:w="2337" w:type="dxa"/>
          </w:tcPr>
          <w:p w14:paraId="2A88AA33" w14:textId="7FDCB280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40.4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57F62697" w14:textId="0C67AF5D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30.2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2338" w:type="dxa"/>
          </w:tcPr>
          <w:p w14:paraId="19335450" w14:textId="0997A55F" w:rsidR="000B71C5" w:rsidRPr="00F15B08" w:rsidRDefault="000B71C5" w:rsidP="00F15B08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F15B08">
              <w:rPr>
                <w:rFonts w:ascii="Verdana" w:hAnsi="Verdana"/>
                <w:color w:val="000000" w:themeColor="text1"/>
              </w:rPr>
              <w:t>21.1</w:t>
            </w:r>
            <w:r w:rsidR="00BB73B6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</w:tbl>
    <w:p w14:paraId="68926398" w14:textId="2BA2D5C5" w:rsidR="00F63BE9" w:rsidRPr="00BB73B6" w:rsidRDefault="00D615D3" w:rsidP="00F15B08">
      <w:pPr>
        <w:pStyle w:val="NormalWeb"/>
        <w:rPr>
          <w:rFonts w:ascii="Verdana" w:hAnsi="Verdana"/>
          <w:color w:val="000000" w:themeColor="text1"/>
          <w:lang w:val="en-US"/>
        </w:rPr>
      </w:pPr>
      <w:r w:rsidRPr="00F15B08">
        <w:rPr>
          <w:rFonts w:ascii="Verdana" w:hAnsi="Verdana"/>
          <w:color w:val="000000" w:themeColor="text1"/>
          <w:lang w:val="en-US"/>
        </w:rPr>
        <w:t>Source: General Social Survey 2023 (WGSS)</w:t>
      </w:r>
    </w:p>
    <w:sectPr w:rsidR="00F63BE9" w:rsidRPr="00BB73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1023" w14:textId="77777777" w:rsidR="00F0132A" w:rsidRDefault="00F0132A" w:rsidP="00273648">
      <w:pPr>
        <w:spacing w:after="0" w:line="240" w:lineRule="auto"/>
      </w:pPr>
      <w:r>
        <w:separator/>
      </w:r>
    </w:p>
  </w:endnote>
  <w:endnote w:type="continuationSeparator" w:id="0">
    <w:p w14:paraId="14926A92" w14:textId="77777777" w:rsidR="00F0132A" w:rsidRDefault="00F0132A" w:rsidP="00273648">
      <w:pPr>
        <w:spacing w:after="0" w:line="240" w:lineRule="auto"/>
      </w:pPr>
      <w:r>
        <w:continuationSeparator/>
      </w:r>
    </w:p>
  </w:endnote>
  <w:endnote w:type="continuationNotice" w:id="1">
    <w:p w14:paraId="720727C6" w14:textId="77777777" w:rsidR="00F0132A" w:rsidRDefault="00F01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6BF" w14:textId="77777777" w:rsidR="00567E06" w:rsidRDefault="00567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972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F6707" w14:textId="698EA635" w:rsidR="00B16C30" w:rsidRDefault="00B16C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70535" w14:textId="77777777" w:rsidR="00B16C30" w:rsidRDefault="00B16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F8B8" w14:textId="77777777" w:rsidR="00567E06" w:rsidRDefault="00567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B3C7" w14:textId="77777777" w:rsidR="00F0132A" w:rsidRDefault="00F0132A" w:rsidP="00273648">
      <w:pPr>
        <w:spacing w:after="0" w:line="240" w:lineRule="auto"/>
      </w:pPr>
      <w:r>
        <w:separator/>
      </w:r>
    </w:p>
  </w:footnote>
  <w:footnote w:type="continuationSeparator" w:id="0">
    <w:p w14:paraId="2C5DB1DB" w14:textId="77777777" w:rsidR="00F0132A" w:rsidRDefault="00F0132A" w:rsidP="00273648">
      <w:pPr>
        <w:spacing w:after="0" w:line="240" w:lineRule="auto"/>
      </w:pPr>
      <w:r>
        <w:continuationSeparator/>
      </w:r>
    </w:p>
  </w:footnote>
  <w:footnote w:type="continuationNotice" w:id="1">
    <w:p w14:paraId="52E7AC00" w14:textId="77777777" w:rsidR="00F0132A" w:rsidRDefault="00F01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4A73" w14:textId="575AD2D6" w:rsidR="00273648" w:rsidRDefault="002736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2573462" wp14:editId="4B9A37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2024616174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7AC58" w14:textId="7B2B6A4E" w:rsidR="00273648" w:rsidRPr="00273648" w:rsidRDefault="00273648" w:rsidP="002736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6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734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62.25pt;height:27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" filled="f" stroked="f">
              <v:textbox style="mso-fit-shape-to-text:t" inset="0,15pt,0,0">
                <w:txbxContent>
                  <w:p w14:paraId="04C7AC58" w14:textId="7B2B6A4E" w:rsidR="00273648" w:rsidRPr="00273648" w:rsidRDefault="00273648" w:rsidP="002736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6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14E5" w14:textId="15229E0B" w:rsidR="00273648" w:rsidRDefault="00273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EA16" w14:textId="5B2862E7" w:rsidR="00273648" w:rsidRDefault="002736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672A7C" wp14:editId="00801C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566966879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5874D" w14:textId="28347BDA" w:rsidR="00273648" w:rsidRPr="00273648" w:rsidRDefault="00273648" w:rsidP="002736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6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72A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62.25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" filled="f" stroked="f">
              <v:textbox style="mso-fit-shape-to-text:t" inset="0,15pt,0,0">
                <w:txbxContent>
                  <w:p w14:paraId="6C55874D" w14:textId="28347BDA" w:rsidR="00273648" w:rsidRPr="00273648" w:rsidRDefault="00273648" w:rsidP="002736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6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4032"/>
    <w:multiLevelType w:val="hybridMultilevel"/>
    <w:tmpl w:val="E508F614"/>
    <w:lvl w:ilvl="0" w:tplc="E19CB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2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8F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A2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05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0E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6E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0F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486701"/>
    <w:multiLevelType w:val="hybridMultilevel"/>
    <w:tmpl w:val="A86E0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11845">
    <w:abstractNumId w:val="0"/>
  </w:num>
  <w:num w:numId="2" w16cid:durableId="140765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6FDF85"/>
    <w:rsid w:val="00023387"/>
    <w:rsid w:val="000445B2"/>
    <w:rsid w:val="000A0CC2"/>
    <w:rsid w:val="000B71C5"/>
    <w:rsid w:val="000D552E"/>
    <w:rsid w:val="001017F4"/>
    <w:rsid w:val="00106C4F"/>
    <w:rsid w:val="00127FF2"/>
    <w:rsid w:val="00142217"/>
    <w:rsid w:val="001772A7"/>
    <w:rsid w:val="001E5323"/>
    <w:rsid w:val="001E7319"/>
    <w:rsid w:val="00223D6A"/>
    <w:rsid w:val="00232D04"/>
    <w:rsid w:val="00273648"/>
    <w:rsid w:val="002E35FC"/>
    <w:rsid w:val="002F4986"/>
    <w:rsid w:val="004404A9"/>
    <w:rsid w:val="00445CC9"/>
    <w:rsid w:val="004961FC"/>
    <w:rsid w:val="004A4CD4"/>
    <w:rsid w:val="00556112"/>
    <w:rsid w:val="00567E06"/>
    <w:rsid w:val="00570CB5"/>
    <w:rsid w:val="005874E4"/>
    <w:rsid w:val="00620CD2"/>
    <w:rsid w:val="00696B3B"/>
    <w:rsid w:val="006D1213"/>
    <w:rsid w:val="006E038C"/>
    <w:rsid w:val="006E497F"/>
    <w:rsid w:val="00732FF3"/>
    <w:rsid w:val="0076259D"/>
    <w:rsid w:val="007802ED"/>
    <w:rsid w:val="0079561C"/>
    <w:rsid w:val="00817C19"/>
    <w:rsid w:val="008E55E4"/>
    <w:rsid w:val="00902272"/>
    <w:rsid w:val="0093256C"/>
    <w:rsid w:val="00975C3F"/>
    <w:rsid w:val="00A71313"/>
    <w:rsid w:val="00A81110"/>
    <w:rsid w:val="00AA6E5D"/>
    <w:rsid w:val="00AB35F0"/>
    <w:rsid w:val="00AD6306"/>
    <w:rsid w:val="00AD7BEF"/>
    <w:rsid w:val="00B16C30"/>
    <w:rsid w:val="00B87152"/>
    <w:rsid w:val="00B93EB1"/>
    <w:rsid w:val="00BB73B6"/>
    <w:rsid w:val="00C442AB"/>
    <w:rsid w:val="00C915C4"/>
    <w:rsid w:val="00CF2AA0"/>
    <w:rsid w:val="00D27749"/>
    <w:rsid w:val="00D615D3"/>
    <w:rsid w:val="00D945F6"/>
    <w:rsid w:val="00E746E9"/>
    <w:rsid w:val="00E800B5"/>
    <w:rsid w:val="00E96B38"/>
    <w:rsid w:val="00ED313F"/>
    <w:rsid w:val="00ED71F5"/>
    <w:rsid w:val="00EF32A2"/>
    <w:rsid w:val="00F0132A"/>
    <w:rsid w:val="00F12D6E"/>
    <w:rsid w:val="00F15B08"/>
    <w:rsid w:val="00F16B5A"/>
    <w:rsid w:val="00F63BE9"/>
    <w:rsid w:val="00FB7833"/>
    <w:rsid w:val="00FB7FA7"/>
    <w:rsid w:val="00FE2237"/>
    <w:rsid w:val="00FE4C01"/>
    <w:rsid w:val="666FDF85"/>
    <w:rsid w:val="7D4EB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FDF85"/>
  <w15:chartTrackingRefBased/>
  <w15:docId w15:val="{8292B886-AA48-4AED-AE24-1370B3C1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48"/>
  </w:style>
  <w:style w:type="paragraph" w:styleId="NormalWeb">
    <w:name w:val="Normal (Web)"/>
    <w:basedOn w:val="Normal"/>
    <w:uiPriority w:val="99"/>
    <w:unhideWhenUsed/>
    <w:rsid w:val="00E7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table" w:styleId="TableGrid">
    <w:name w:val="Table Grid"/>
    <w:basedOn w:val="TableNormal"/>
    <w:uiPriority w:val="39"/>
    <w:rsid w:val="00E7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55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2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8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2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38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71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5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3d60de-ad45-4276-8b4c-0bd67e763f11">PSGID-1792574269-8301</_dlc_DocId>
    <_dlc_DocIdUrl xmlns="cf3d60de-ad45-4276-8b4c-0bd67e763f11">
      <Url>https://msdgovtnz.sharepoint.com/sites/whaikaha-ORG-Whaikaha---ODI/_layouts/15/DocIdRedir.aspx?ID=PSGID-1792574269-8301</Url>
      <Description>PSGID-1792574269-8301</Description>
    </_dlc_DocIdUrl>
    <TaxCatchAll xmlns="cf3d60de-ad45-4276-8b4c-0bd67e763f11" xsi:nil="true"/>
    <lcf76f155ced4ddcb4097134ff3c332f xmlns="6bf56950-f9e0-48ec-868e-26a1022d114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cf3d60de-ad45-4276-8b4c-0bd67e763f11">
      <UserInfo>
        <DisplayName/>
        <AccountId xsi:nil="true"/>
        <AccountType/>
      </UserInfo>
    </SharedWithUsers>
    <Relationto4Rs xmlns="6bf56950-f9e0-48ec-868e-26a1022d11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A4A5CE51E2E484B8094BDA55C1C60E0" ma:contentTypeVersion="22" ma:contentTypeDescription="Accommodates MDP specific document metadata" ma:contentTypeScope="" ma:versionID="56cba143036685be4ab00523ee39e400">
  <xsd:schema xmlns:xsd="http://www.w3.org/2001/XMLSchema" xmlns:xs="http://www.w3.org/2001/XMLSchema" xmlns:p="http://schemas.microsoft.com/office/2006/metadata/properties" xmlns:ns1="http://schemas.microsoft.com/sharepoint/v3" xmlns:ns2="cf3d60de-ad45-4276-8b4c-0bd67e763f11" xmlns:ns3="6bf56950-f9e0-48ec-868e-26a1022d1140" targetNamespace="http://schemas.microsoft.com/office/2006/metadata/properties" ma:root="true" ma:fieldsID="21d2d834f8c790c7b429b70bf7fc7d4e" ns1:_="" ns2:_="" ns3:_="">
    <xsd:import namespace="http://schemas.microsoft.com/sharepoint/v3"/>
    <xsd:import namespace="cf3d60de-ad45-4276-8b4c-0bd67e763f11"/>
    <xsd:import namespace="6bf56950-f9e0-48ec-868e-26a1022d11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Relationto4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60de-ad45-4276-8b4c-0bd67e763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81c9f13-c285-45ba-9d86-0746677c7d5d}" ma:internalName="TaxCatchAll" ma:showField="CatchAllData" ma:web="cf3d60de-ad45-4276-8b4c-0bd67e763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6950-f9e0-48ec-868e-26a1022d1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Relationto4Rs" ma:index="28" nillable="true" ma:displayName="Relation to 4 Rs" ma:format="Dropdown" ma:internalName="Relationto4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313B4-92A6-4507-80C5-4F254B2007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9A9CAD-4F59-4BE8-AAD9-FF2DC3D9F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A3391-E03D-43B8-BAE9-9692424AD06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cf3d60de-ad45-4276-8b4c-0bd67e763f11"/>
    <ds:schemaRef ds:uri="http://purl.org/dc/dcmitype/"/>
    <ds:schemaRef ds:uri="6bf56950-f9e0-48ec-868e-26a1022d1140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1553892-E483-4AC4-AC3D-D6BA43F9C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d60de-ad45-4276-8b4c-0bd67e763f11"/>
    <ds:schemaRef ds:uri="6bf56950-f9e0-48ec-868e-26a1022d1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Moore</dc:creator>
  <cp:keywords/>
  <dc:description/>
  <cp:lastModifiedBy>Helen Isbister</cp:lastModifiedBy>
  <cp:revision>2</cp:revision>
  <dcterms:created xsi:type="dcterms:W3CDTF">2025-06-16T22:45:00Z</dcterms:created>
  <dcterms:modified xsi:type="dcterms:W3CDTF">2025-06-16T22:45:00Z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0x010100A4C634B9829F5B4CA6729CA17A9903AF00EA4A5CE51E2E484B8094BDA55C1C60E0</vt:lpwstr>
  </property>
  <property fmtid="{D5CDD505-2E9C-101B-9397-08002B2CF9AE}" pid="3" name="_dlc_DocIdItemGuid">
    <vt:lpwstr>58ef5a35-d41b-41a4-a663-c0a2e2019369</vt:lpwstr>
  </property>
  <property fmtid="{D5CDD505-2E9C-101B-9397-08002B2CF9AE}" pid="4" name="ClassificationContentMarkingHeaderShapeIds">
    <vt:lpwstr>21cb3a5f,78ad30ee,295049ca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IN-CONFIDENCE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SetDate">
    <vt:lpwstr>2025-04-13T21:44:02Z</vt:lpwstr>
  </property>
  <property fmtid="{D5CDD505-2E9C-101B-9397-08002B2CF9AE}" pid="9" name="MSIP_Label_f43e46a9-9901-46e9-bfae-bb6189d4cb66_Method">
    <vt:lpwstr>Standard</vt:lpwstr>
  </property>
  <property fmtid="{D5CDD505-2E9C-101B-9397-08002B2CF9AE}" pid="10" name="MSIP_Label_f43e46a9-9901-46e9-bfae-bb6189d4cb66_Name">
    <vt:lpwstr>In-confidence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MSIP_Label_f43e46a9-9901-46e9-bfae-bb6189d4cb66_ActionId">
    <vt:lpwstr>83aca6f9-409c-4c19-927a-83c740be3530</vt:lpwstr>
  </property>
  <property fmtid="{D5CDD505-2E9C-101B-9397-08002B2CF9AE}" pid="13" name="MSIP_Label_f43e46a9-9901-46e9-bfae-bb6189d4cb66_ContentBits">
    <vt:lpwstr>1</vt:lpwstr>
  </property>
  <property fmtid="{D5CDD505-2E9C-101B-9397-08002B2CF9AE}" pid="14" name="MSIP_Label_f43e46a9-9901-46e9-bfae-bb6189d4cb66_Tag">
    <vt:lpwstr>10, 3, 0, 2</vt:lpwstr>
  </property>
  <property fmtid="{D5CDD505-2E9C-101B-9397-08002B2CF9AE}" pid="15" name="MediaServiceImageTags">
    <vt:lpwstr/>
  </property>
  <property fmtid="{D5CDD505-2E9C-101B-9397-08002B2CF9AE}" pid="16" name="LinktoWebsite">
    <vt:lpwstr>, </vt:lpwstr>
  </property>
  <property fmtid="{D5CDD505-2E9C-101B-9397-08002B2CF9AE}" pid="17" name="Order">
    <vt:r8>159200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</Properties>
</file>