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61DF" w14:textId="35D931A4" w:rsidR="00987B4F" w:rsidRPr="002B3F90" w:rsidRDefault="00987B4F" w:rsidP="004A740C">
      <w:pPr>
        <w:spacing w:before="100" w:beforeAutospacing="1" w:afterLines="120" w:after="288" w:line="288" w:lineRule="auto"/>
        <w:rPr>
          <w:rFonts w:ascii="Verdana" w:hAnsi="Verdana"/>
          <w:lang w:val="en-NZ"/>
        </w:rPr>
      </w:pPr>
    </w:p>
    <w:p w14:paraId="45F8DC92" w14:textId="77777777" w:rsidR="009C4CEB" w:rsidRPr="002B3F90" w:rsidRDefault="009C4CEB" w:rsidP="004A740C">
      <w:pPr>
        <w:spacing w:before="100" w:beforeAutospacing="1" w:afterLines="120" w:after="288" w:line="288" w:lineRule="auto"/>
        <w:rPr>
          <w:rFonts w:ascii="Verdana" w:hAnsi="Verdana"/>
          <w:lang w:val="en-NZ"/>
        </w:rPr>
      </w:pPr>
    </w:p>
    <w:p w14:paraId="5888B9D9" w14:textId="591C9E43" w:rsidR="009C4CEB" w:rsidRPr="002B3F90" w:rsidRDefault="009C4CEB" w:rsidP="004A740C">
      <w:pPr>
        <w:spacing w:before="100" w:beforeAutospacing="1" w:afterLines="120" w:after="288" w:line="288" w:lineRule="auto"/>
        <w:jc w:val="right"/>
        <w:rPr>
          <w:rFonts w:ascii="Verdana" w:hAnsi="Verdana"/>
          <w:lang w:val="en-NZ"/>
        </w:rPr>
      </w:pPr>
      <w:r w:rsidRPr="002B3F90">
        <w:rPr>
          <w:rFonts w:ascii="Verdana" w:hAnsi="Verdana"/>
          <w:lang w:val="en-NZ"/>
        </w:rPr>
        <w:t>Level 4, 56 The Terrace</w:t>
      </w:r>
      <w:r w:rsidRPr="002B3F90">
        <w:rPr>
          <w:rFonts w:ascii="Verdana" w:hAnsi="Verdana"/>
          <w:lang w:val="en-NZ"/>
        </w:rPr>
        <w:br/>
        <w:t>Wellington 6011</w:t>
      </w:r>
      <w:r w:rsidRPr="002B3F90">
        <w:rPr>
          <w:rFonts w:ascii="Verdana" w:hAnsi="Verdana"/>
          <w:lang w:val="en-NZ"/>
        </w:rPr>
        <w:br/>
        <w:t>New Zealand</w:t>
      </w:r>
    </w:p>
    <w:p w14:paraId="5852CE09" w14:textId="6684AF7E" w:rsidR="00163B33" w:rsidRPr="002B3F90" w:rsidRDefault="0083134F" w:rsidP="004A740C">
      <w:pPr>
        <w:spacing w:before="100" w:beforeAutospacing="1" w:afterLines="120" w:after="288" w:line="288" w:lineRule="auto"/>
        <w:rPr>
          <w:rFonts w:ascii="Verdana" w:hAnsi="Verdana"/>
          <w:lang w:val="en-NZ"/>
        </w:rPr>
      </w:pPr>
      <w:r>
        <w:rPr>
          <w:rFonts w:ascii="Verdana" w:hAnsi="Verdana"/>
          <w:lang w:val="en-NZ"/>
        </w:rPr>
        <w:t>2</w:t>
      </w:r>
      <w:r w:rsidR="00066EDA">
        <w:rPr>
          <w:rFonts w:ascii="Verdana" w:hAnsi="Verdana"/>
          <w:lang w:val="en-NZ"/>
        </w:rPr>
        <w:t>7</w:t>
      </w:r>
      <w:r w:rsidR="000B4FD2" w:rsidRPr="002B3F90">
        <w:rPr>
          <w:rFonts w:ascii="Verdana" w:hAnsi="Verdana"/>
          <w:lang w:val="en-NZ"/>
        </w:rPr>
        <w:t xml:space="preserve"> </w:t>
      </w:r>
      <w:r>
        <w:rPr>
          <w:rFonts w:ascii="Verdana" w:hAnsi="Verdana"/>
          <w:lang w:val="en-NZ"/>
        </w:rPr>
        <w:t>September</w:t>
      </w:r>
      <w:r w:rsidR="000B4FD2" w:rsidRPr="002B3F90">
        <w:rPr>
          <w:rFonts w:ascii="Verdana" w:hAnsi="Verdana"/>
          <w:lang w:val="en-NZ"/>
        </w:rPr>
        <w:t xml:space="preserve"> 2022</w:t>
      </w:r>
    </w:p>
    <w:p w14:paraId="0308CAD4" w14:textId="0359CE22" w:rsidR="00116195" w:rsidRPr="002B3F90" w:rsidRDefault="00116195" w:rsidP="004A740C">
      <w:pPr>
        <w:spacing w:before="100" w:beforeAutospacing="1" w:afterLines="120" w:after="288" w:line="288" w:lineRule="auto"/>
        <w:rPr>
          <w:rFonts w:ascii="Verdana" w:hAnsi="Verdana"/>
          <w:lang w:val="en-NZ"/>
        </w:rPr>
      </w:pPr>
    </w:p>
    <w:p w14:paraId="27459ACA" w14:textId="1D0F8EF1" w:rsidR="00116195" w:rsidRPr="002B3F90" w:rsidRDefault="000B4FD2" w:rsidP="00230EE4">
      <w:pPr>
        <w:spacing w:before="100" w:beforeAutospacing="1"/>
        <w:rPr>
          <w:rFonts w:ascii="Verdana" w:hAnsi="Verdana"/>
          <w:lang w:val="en-NZ"/>
        </w:rPr>
      </w:pPr>
      <w:proofErr w:type="spellStart"/>
      <w:r w:rsidRPr="002B3F90">
        <w:rPr>
          <w:rFonts w:ascii="Verdana" w:hAnsi="Verdana"/>
          <w:lang w:val="en-NZ"/>
        </w:rPr>
        <w:t>Tatauranga</w:t>
      </w:r>
      <w:proofErr w:type="spellEnd"/>
      <w:r w:rsidRPr="002B3F90">
        <w:rPr>
          <w:rFonts w:ascii="Verdana" w:hAnsi="Verdana"/>
          <w:lang w:val="en-NZ"/>
        </w:rPr>
        <w:t xml:space="preserve"> Aotearoa – Stats NZ</w:t>
      </w:r>
    </w:p>
    <w:p w14:paraId="299BD4D4" w14:textId="64F01F8D" w:rsidR="000B4FD2" w:rsidRPr="002B3F90" w:rsidRDefault="000B4FD2" w:rsidP="00230EE4">
      <w:pPr>
        <w:spacing w:before="100" w:beforeAutospacing="1"/>
        <w:rPr>
          <w:rFonts w:ascii="Verdana" w:hAnsi="Verdana"/>
          <w:lang w:val="en-NZ"/>
        </w:rPr>
      </w:pPr>
      <w:r w:rsidRPr="002B3F90">
        <w:rPr>
          <w:rFonts w:ascii="Verdana" w:hAnsi="Verdana"/>
          <w:lang w:val="en-NZ"/>
        </w:rPr>
        <w:t xml:space="preserve">8 Willis Street, Wellington Central </w:t>
      </w:r>
    </w:p>
    <w:p w14:paraId="5F2DA5F8" w14:textId="52674CE6" w:rsidR="00116195" w:rsidRPr="002B3F90" w:rsidRDefault="000B4FD2" w:rsidP="00230EE4">
      <w:pPr>
        <w:spacing w:before="100" w:beforeAutospacing="1"/>
        <w:rPr>
          <w:rFonts w:ascii="Verdana" w:hAnsi="Verdana"/>
          <w:lang w:val="en-NZ"/>
        </w:rPr>
      </w:pPr>
      <w:r w:rsidRPr="002B3F90">
        <w:rPr>
          <w:rFonts w:ascii="Verdana" w:hAnsi="Verdana"/>
          <w:lang w:val="en-NZ"/>
        </w:rPr>
        <w:t>Wellington</w:t>
      </w:r>
    </w:p>
    <w:p w14:paraId="25F33CD2" w14:textId="75439C35" w:rsidR="005802B1" w:rsidRDefault="000B4FD2" w:rsidP="00230EE4">
      <w:pPr>
        <w:spacing w:before="100" w:beforeAutospacing="1"/>
        <w:rPr>
          <w:rFonts w:ascii="Verdana" w:hAnsi="Verdana"/>
          <w:lang w:val="en-NZ"/>
        </w:rPr>
      </w:pPr>
      <w:r w:rsidRPr="002B3F90">
        <w:rPr>
          <w:rFonts w:ascii="Verdana" w:hAnsi="Verdana"/>
          <w:lang w:val="en-NZ"/>
        </w:rPr>
        <w:t>Tēnā koe Stats NZ</w:t>
      </w:r>
      <w:r w:rsidR="004A740C">
        <w:rPr>
          <w:rFonts w:ascii="Verdana" w:hAnsi="Verdana"/>
          <w:lang w:val="en-NZ"/>
        </w:rPr>
        <w:t>,</w:t>
      </w:r>
    </w:p>
    <w:p w14:paraId="16DAE901" w14:textId="07A22187" w:rsidR="005802B1" w:rsidRDefault="00970F0E"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t>This</w:t>
      </w:r>
      <w:r>
        <w:rPr>
          <w:rFonts w:ascii="Verdana" w:eastAsia="Calibri" w:hAnsi="Verdana" w:cs="Calibri"/>
          <w:szCs w:val="28"/>
          <w:lang w:val="en-NZ"/>
        </w:rPr>
        <w:t xml:space="preserve"> is a </w:t>
      </w:r>
      <w:r w:rsidRPr="002B3F90">
        <w:rPr>
          <w:rFonts w:ascii="Verdana" w:eastAsia="Calibri" w:hAnsi="Verdana" w:cs="Calibri"/>
          <w:szCs w:val="28"/>
          <w:lang w:val="en-NZ"/>
        </w:rPr>
        <w:t>submission</w:t>
      </w:r>
      <w:r w:rsidR="00A80BA0">
        <w:rPr>
          <w:rFonts w:ascii="Verdana" w:eastAsia="Calibri" w:hAnsi="Verdana" w:cs="Calibri"/>
          <w:szCs w:val="28"/>
          <w:lang w:val="en-NZ"/>
        </w:rPr>
        <w:t xml:space="preserve"> from Whaikaha – Ministry of Disabled People (Whaikaha) and the Office for Disability Issues</w:t>
      </w:r>
      <w:r w:rsidR="00386F4B">
        <w:rPr>
          <w:rFonts w:ascii="Verdana" w:eastAsia="Calibri" w:hAnsi="Verdana" w:cs="Calibri"/>
          <w:szCs w:val="28"/>
          <w:lang w:val="en-NZ"/>
        </w:rPr>
        <w:t>, now in Whaikaha</w:t>
      </w:r>
      <w:r w:rsidR="00A80BA0">
        <w:rPr>
          <w:rFonts w:ascii="Verdana" w:eastAsia="Calibri" w:hAnsi="Verdana" w:cs="Calibri"/>
          <w:szCs w:val="28"/>
          <w:lang w:val="en-NZ"/>
        </w:rPr>
        <w:t xml:space="preserve">. </w:t>
      </w:r>
      <w:r w:rsidR="00066EDA">
        <w:rPr>
          <w:rFonts w:ascii="Verdana" w:eastAsia="Calibri" w:hAnsi="Verdana" w:cs="Calibri"/>
          <w:szCs w:val="28"/>
          <w:lang w:val="en-NZ"/>
        </w:rPr>
        <w:t>W</w:t>
      </w:r>
      <w:r w:rsidR="00386F4B">
        <w:rPr>
          <w:rFonts w:ascii="Verdana" w:eastAsia="Calibri" w:hAnsi="Verdana" w:cs="Calibri"/>
          <w:szCs w:val="28"/>
          <w:lang w:val="en-NZ"/>
        </w:rPr>
        <w:t xml:space="preserve">e </w:t>
      </w:r>
      <w:r w:rsidR="00A80BA0">
        <w:rPr>
          <w:rFonts w:ascii="Verdana" w:eastAsia="Calibri" w:hAnsi="Verdana" w:cs="Calibri"/>
          <w:szCs w:val="28"/>
          <w:lang w:val="en-NZ"/>
        </w:rPr>
        <w:t>encourage Stats NZ to</w:t>
      </w:r>
      <w:r w:rsidR="00A7272A">
        <w:rPr>
          <w:rFonts w:ascii="Verdana" w:eastAsia="Calibri" w:hAnsi="Verdana" w:cs="Calibri"/>
          <w:szCs w:val="28"/>
          <w:lang w:val="en-NZ"/>
        </w:rPr>
        <w:t xml:space="preserve"> publish</w:t>
      </w:r>
      <w:r w:rsidR="00A80BA0">
        <w:rPr>
          <w:rFonts w:ascii="Verdana" w:eastAsia="Calibri" w:hAnsi="Verdana" w:cs="Calibri"/>
          <w:szCs w:val="28"/>
          <w:lang w:val="en-NZ"/>
        </w:rPr>
        <w:t xml:space="preserve"> disaggregate</w:t>
      </w:r>
      <w:r w:rsidR="00A7272A">
        <w:rPr>
          <w:rFonts w:ascii="Verdana" w:eastAsia="Calibri" w:hAnsi="Verdana" w:cs="Calibri"/>
          <w:szCs w:val="28"/>
          <w:lang w:val="en-NZ"/>
        </w:rPr>
        <w:t>d</w:t>
      </w:r>
      <w:r w:rsidR="00046932">
        <w:rPr>
          <w:rFonts w:ascii="Verdana" w:eastAsia="Calibri" w:hAnsi="Verdana" w:cs="Calibri"/>
          <w:szCs w:val="28"/>
          <w:lang w:val="en-NZ"/>
        </w:rPr>
        <w:t xml:space="preserve"> </w:t>
      </w:r>
      <w:r w:rsidR="00A80BA0">
        <w:rPr>
          <w:rFonts w:ascii="Verdana" w:eastAsia="Calibri" w:hAnsi="Verdana" w:cs="Calibri"/>
          <w:szCs w:val="28"/>
          <w:lang w:val="en-NZ"/>
        </w:rPr>
        <w:t>data</w:t>
      </w:r>
      <w:r w:rsidR="00EA172C">
        <w:rPr>
          <w:rFonts w:ascii="Verdana" w:eastAsia="Calibri" w:hAnsi="Verdana" w:cs="Calibri"/>
          <w:szCs w:val="28"/>
          <w:lang w:val="en-NZ"/>
        </w:rPr>
        <w:t xml:space="preserve"> from the 2023 Census by impairment status</w:t>
      </w:r>
      <w:r w:rsidR="00FA30B3">
        <w:rPr>
          <w:rFonts w:ascii="Verdana" w:eastAsia="Calibri" w:hAnsi="Verdana" w:cs="Calibri"/>
          <w:szCs w:val="28"/>
          <w:lang w:val="en-NZ"/>
        </w:rPr>
        <w:t xml:space="preserve"> in the </w:t>
      </w:r>
      <w:proofErr w:type="spellStart"/>
      <w:r w:rsidR="00FA30B3">
        <w:rPr>
          <w:rFonts w:ascii="Verdana" w:eastAsia="Calibri" w:hAnsi="Verdana" w:cs="Calibri"/>
          <w:szCs w:val="28"/>
          <w:lang w:val="en-NZ"/>
        </w:rPr>
        <w:t>NZ.Stat</w:t>
      </w:r>
      <w:proofErr w:type="spellEnd"/>
      <w:r w:rsidR="00FA30B3">
        <w:rPr>
          <w:rFonts w:ascii="Verdana" w:eastAsia="Calibri" w:hAnsi="Verdana" w:cs="Calibri"/>
          <w:szCs w:val="28"/>
          <w:lang w:val="en-NZ"/>
        </w:rPr>
        <w:t xml:space="preserve"> tool</w:t>
      </w:r>
      <w:r w:rsidR="00EA172C">
        <w:rPr>
          <w:rFonts w:ascii="Verdana" w:eastAsia="Calibri" w:hAnsi="Verdana" w:cs="Calibri"/>
          <w:szCs w:val="28"/>
          <w:lang w:val="en-NZ"/>
        </w:rPr>
        <w:t xml:space="preserve"> in </w:t>
      </w:r>
      <w:r w:rsidR="00046932">
        <w:rPr>
          <w:rFonts w:ascii="Verdana" w:eastAsia="Calibri" w:hAnsi="Verdana" w:cs="Calibri"/>
          <w:szCs w:val="28"/>
          <w:lang w:val="en-NZ"/>
        </w:rPr>
        <w:t>a cross-cutting</w:t>
      </w:r>
      <w:r w:rsidR="00EA172C">
        <w:rPr>
          <w:rFonts w:ascii="Verdana" w:eastAsia="Calibri" w:hAnsi="Verdana" w:cs="Calibri"/>
          <w:szCs w:val="28"/>
          <w:lang w:val="en-NZ"/>
        </w:rPr>
        <w:t xml:space="preserve"> manner</w:t>
      </w:r>
      <w:r w:rsidR="00046932">
        <w:rPr>
          <w:rFonts w:ascii="Verdana" w:eastAsia="Calibri" w:hAnsi="Verdana" w:cs="Calibri"/>
          <w:szCs w:val="28"/>
          <w:lang w:val="en-NZ"/>
        </w:rPr>
        <w:t>,</w:t>
      </w:r>
      <w:r w:rsidR="00EA172C">
        <w:rPr>
          <w:rFonts w:ascii="Verdana" w:eastAsia="Calibri" w:hAnsi="Verdana" w:cs="Calibri"/>
          <w:szCs w:val="28"/>
          <w:lang w:val="en-NZ"/>
        </w:rPr>
        <w:t xml:space="preserve"> as it does for gender, ethnicity</w:t>
      </w:r>
      <w:r w:rsidR="00FD6F66">
        <w:rPr>
          <w:rFonts w:ascii="Verdana" w:eastAsia="Calibri" w:hAnsi="Verdana" w:cs="Calibri"/>
          <w:szCs w:val="28"/>
          <w:lang w:val="en-NZ"/>
        </w:rPr>
        <w:t>, and</w:t>
      </w:r>
      <w:r w:rsidR="00EA172C">
        <w:rPr>
          <w:rFonts w:ascii="Verdana" w:eastAsia="Calibri" w:hAnsi="Verdana" w:cs="Calibri"/>
          <w:szCs w:val="28"/>
          <w:lang w:val="en-NZ"/>
        </w:rPr>
        <w:t xml:space="preserve"> age.</w:t>
      </w:r>
      <w:r w:rsidRPr="002B3F90">
        <w:rPr>
          <w:rFonts w:ascii="Verdana" w:eastAsia="Calibri" w:hAnsi="Verdana" w:cs="Calibri"/>
          <w:szCs w:val="28"/>
          <w:lang w:val="en-NZ"/>
        </w:rPr>
        <w:t xml:space="preserve"> </w:t>
      </w:r>
      <w:r w:rsidR="00386F4B">
        <w:rPr>
          <w:rFonts w:ascii="Verdana" w:eastAsia="Calibri" w:hAnsi="Verdana" w:cs="Calibri"/>
          <w:szCs w:val="28"/>
          <w:lang w:val="en-NZ"/>
        </w:rPr>
        <w:t>We</w:t>
      </w:r>
      <w:r w:rsidR="009F1A55">
        <w:rPr>
          <w:rFonts w:ascii="Verdana" w:eastAsia="Calibri" w:hAnsi="Verdana" w:cs="Calibri"/>
          <w:szCs w:val="28"/>
          <w:lang w:val="en-NZ"/>
        </w:rPr>
        <w:t xml:space="preserve"> also encourage Stats NZ to </w:t>
      </w:r>
      <w:r w:rsidR="00A73F38">
        <w:rPr>
          <w:rFonts w:ascii="Verdana" w:eastAsia="Calibri" w:hAnsi="Verdana" w:cs="Calibri"/>
          <w:szCs w:val="28"/>
          <w:lang w:val="en-NZ"/>
        </w:rPr>
        <w:t xml:space="preserve">partner with disabled people </w:t>
      </w:r>
      <w:r w:rsidR="00046932">
        <w:rPr>
          <w:rFonts w:ascii="Verdana" w:eastAsia="Calibri" w:hAnsi="Verdana" w:cs="Calibri"/>
          <w:szCs w:val="28"/>
          <w:lang w:val="en-NZ"/>
        </w:rPr>
        <w:t xml:space="preserve">in this kaupapa </w:t>
      </w:r>
      <w:r w:rsidR="00A73F38">
        <w:rPr>
          <w:rFonts w:ascii="Verdana" w:eastAsia="Calibri" w:hAnsi="Verdana" w:cs="Calibri"/>
          <w:szCs w:val="28"/>
          <w:lang w:val="en-NZ"/>
        </w:rPr>
        <w:t xml:space="preserve">and </w:t>
      </w:r>
      <w:r w:rsidR="00046932">
        <w:rPr>
          <w:rFonts w:ascii="Verdana" w:eastAsia="Calibri" w:hAnsi="Verdana" w:cs="Calibri"/>
          <w:szCs w:val="28"/>
          <w:lang w:val="en-NZ"/>
        </w:rPr>
        <w:t>can help Stats NZ connect with our community partners.</w:t>
      </w:r>
      <w:r w:rsidR="00251E01">
        <w:rPr>
          <w:rFonts w:ascii="Verdana" w:eastAsia="Calibri" w:hAnsi="Verdana" w:cs="Calibri"/>
          <w:szCs w:val="28"/>
          <w:lang w:val="en-NZ"/>
        </w:rPr>
        <w:t xml:space="preserve"> </w:t>
      </w:r>
    </w:p>
    <w:p w14:paraId="63CFFFDF" w14:textId="0871F544" w:rsidR="000B4FD2" w:rsidRPr="002B3F90" w:rsidRDefault="00BD6CA2" w:rsidP="004A740C">
      <w:pPr>
        <w:spacing w:before="100" w:beforeAutospacing="1" w:afterLines="120" w:after="288" w:line="288" w:lineRule="auto"/>
        <w:rPr>
          <w:rFonts w:ascii="Verdana" w:hAnsi="Verdana"/>
          <w:b/>
          <w:bCs/>
          <w:lang w:val="en-NZ"/>
        </w:rPr>
      </w:pPr>
      <w:r w:rsidRPr="002B3F90">
        <w:rPr>
          <w:rFonts w:ascii="Verdana" w:hAnsi="Verdana"/>
          <w:b/>
          <w:bCs/>
          <w:lang w:val="en-NZ"/>
        </w:rPr>
        <w:t>Disaggregating</w:t>
      </w:r>
      <w:r w:rsidR="00987B4F" w:rsidRPr="002B3F90">
        <w:rPr>
          <w:rFonts w:ascii="Verdana" w:hAnsi="Verdana"/>
          <w:b/>
          <w:bCs/>
          <w:lang w:val="en-NZ"/>
        </w:rPr>
        <w:t xml:space="preserve"> 2023 Census Data on Disabled People in </w:t>
      </w:r>
      <w:proofErr w:type="spellStart"/>
      <w:r w:rsidR="00987B4F" w:rsidRPr="002B3F90">
        <w:rPr>
          <w:rFonts w:ascii="Verdana" w:hAnsi="Verdana"/>
          <w:b/>
          <w:bCs/>
          <w:lang w:val="en-NZ"/>
        </w:rPr>
        <w:t>NZ.Stat</w:t>
      </w:r>
      <w:proofErr w:type="spellEnd"/>
    </w:p>
    <w:p w14:paraId="4235FA1B" w14:textId="0279F1C3" w:rsidR="005802B1" w:rsidRDefault="000B4FD2"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t xml:space="preserve">Stats NZ intends to identify disabled populations in the 2023 Census by including the Washington Group Short Set of Questions on Functioning (WGSS). The proposed </w:t>
      </w:r>
      <w:proofErr w:type="spellStart"/>
      <w:r w:rsidRPr="002B3F90">
        <w:rPr>
          <w:rFonts w:ascii="Verdana" w:eastAsia="Calibri" w:hAnsi="Verdana" w:cs="Calibri"/>
          <w:szCs w:val="28"/>
          <w:lang w:val="en-NZ"/>
        </w:rPr>
        <w:t>NZ.Stat</w:t>
      </w:r>
      <w:proofErr w:type="spellEnd"/>
      <w:r w:rsidRPr="002B3F90">
        <w:rPr>
          <w:rFonts w:ascii="Verdana" w:eastAsia="Calibri" w:hAnsi="Verdana" w:cs="Calibri"/>
          <w:szCs w:val="28"/>
          <w:lang w:val="en-NZ"/>
        </w:rPr>
        <w:t xml:space="preserve"> tables to follow the 2023 Census indicate that Stats NZ </w:t>
      </w:r>
      <w:r w:rsidR="002B3F90" w:rsidRPr="002B3F90">
        <w:rPr>
          <w:rFonts w:ascii="Verdana" w:eastAsia="Calibri" w:hAnsi="Verdana" w:cs="Calibri"/>
          <w:szCs w:val="28"/>
          <w:lang w:val="en-NZ"/>
        </w:rPr>
        <w:t>intends</w:t>
      </w:r>
      <w:r w:rsidRPr="002B3F90">
        <w:rPr>
          <w:rFonts w:ascii="Verdana" w:eastAsia="Calibri" w:hAnsi="Verdana" w:cs="Calibri"/>
          <w:szCs w:val="28"/>
          <w:lang w:val="en-NZ"/>
        </w:rPr>
        <w:t xml:space="preserve"> only to publish data on disabled people identified by region. This is disappointing as Stats NZ </w:t>
      </w:r>
      <w:r w:rsidR="00046932">
        <w:rPr>
          <w:rFonts w:ascii="Verdana" w:eastAsia="Calibri" w:hAnsi="Verdana" w:cs="Calibri"/>
          <w:szCs w:val="28"/>
          <w:lang w:val="en-NZ"/>
        </w:rPr>
        <w:t xml:space="preserve">already </w:t>
      </w:r>
      <w:r w:rsidRPr="002B3F90">
        <w:rPr>
          <w:rFonts w:ascii="Verdana" w:eastAsia="Calibri" w:hAnsi="Verdana" w:cs="Calibri"/>
          <w:szCs w:val="28"/>
          <w:lang w:val="en-NZ"/>
        </w:rPr>
        <w:t>gathers the data required to disaggregate all 2023 Census data by impairment status</w:t>
      </w:r>
      <w:r w:rsidR="00E66F01">
        <w:rPr>
          <w:rFonts w:ascii="Verdana" w:eastAsia="Calibri" w:hAnsi="Verdana" w:cs="Calibri"/>
          <w:szCs w:val="28"/>
          <w:lang w:val="en-NZ"/>
        </w:rPr>
        <w:t>.</w:t>
      </w:r>
      <w:r w:rsidRPr="002B3F90">
        <w:rPr>
          <w:rFonts w:ascii="Verdana" w:eastAsia="Calibri" w:hAnsi="Verdana" w:cs="Calibri"/>
          <w:szCs w:val="28"/>
          <w:lang w:val="en-NZ"/>
        </w:rPr>
        <w:t xml:space="preserve">  </w:t>
      </w:r>
      <w:r w:rsidR="00E66F01">
        <w:rPr>
          <w:rFonts w:ascii="Verdana" w:eastAsia="Calibri" w:hAnsi="Verdana" w:cs="Calibri"/>
          <w:szCs w:val="28"/>
          <w:lang w:val="en-NZ"/>
        </w:rPr>
        <w:t>R</w:t>
      </w:r>
      <w:r w:rsidRPr="002B3F90">
        <w:rPr>
          <w:rFonts w:ascii="Verdana" w:eastAsia="Calibri" w:hAnsi="Verdana" w:cs="Calibri"/>
          <w:szCs w:val="28"/>
          <w:lang w:val="en-NZ"/>
        </w:rPr>
        <w:t xml:space="preserve">egional breakdowns are </w:t>
      </w:r>
      <w:r w:rsidR="00046932">
        <w:rPr>
          <w:rFonts w:ascii="Verdana" w:eastAsia="Calibri" w:hAnsi="Verdana" w:cs="Calibri"/>
          <w:szCs w:val="28"/>
          <w:lang w:val="en-NZ"/>
        </w:rPr>
        <w:t>only one of many</w:t>
      </w:r>
      <w:r w:rsidRPr="002B3F90">
        <w:rPr>
          <w:rFonts w:ascii="Verdana" w:eastAsia="Calibri" w:hAnsi="Verdana" w:cs="Calibri"/>
          <w:szCs w:val="28"/>
          <w:lang w:val="en-NZ"/>
        </w:rPr>
        <w:t xml:space="preserve"> analytically useful products Stats NZ could produce for disabled populations and </w:t>
      </w:r>
      <w:r w:rsidR="009B34B0">
        <w:rPr>
          <w:rFonts w:ascii="Verdana" w:eastAsia="Calibri" w:hAnsi="Verdana" w:cs="Calibri"/>
          <w:szCs w:val="28"/>
          <w:lang w:val="en-NZ"/>
        </w:rPr>
        <w:t xml:space="preserve">the broad range of </w:t>
      </w:r>
      <w:r w:rsidRPr="002B3F90">
        <w:rPr>
          <w:rFonts w:ascii="Verdana" w:eastAsia="Calibri" w:hAnsi="Verdana" w:cs="Calibri"/>
          <w:szCs w:val="28"/>
          <w:lang w:val="en-NZ"/>
        </w:rPr>
        <w:t xml:space="preserve">agencies that support them.  </w:t>
      </w:r>
    </w:p>
    <w:p w14:paraId="27FBEE68" w14:textId="489B744E" w:rsidR="00A83A48" w:rsidRDefault="000B4FD2"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lastRenderedPageBreak/>
        <w:t xml:space="preserve">Whaikaha believes this approach </w:t>
      </w:r>
      <w:r w:rsidR="00D86BA7">
        <w:rPr>
          <w:rFonts w:ascii="Verdana" w:eastAsia="Calibri" w:hAnsi="Verdana" w:cs="Calibri"/>
          <w:szCs w:val="28"/>
          <w:lang w:val="en-NZ"/>
        </w:rPr>
        <w:t>does not align</w:t>
      </w:r>
      <w:r w:rsidRPr="002B3F90">
        <w:rPr>
          <w:rFonts w:ascii="Verdana" w:eastAsia="Calibri" w:hAnsi="Verdana" w:cs="Calibri"/>
          <w:szCs w:val="28"/>
          <w:lang w:val="en-NZ"/>
        </w:rPr>
        <w:t xml:space="preserve"> with a range of </w:t>
      </w:r>
      <w:r w:rsidR="00633B71">
        <w:rPr>
          <w:rFonts w:ascii="Verdana" w:eastAsia="Calibri" w:hAnsi="Verdana" w:cs="Calibri"/>
          <w:szCs w:val="28"/>
          <w:lang w:val="en-NZ"/>
        </w:rPr>
        <w:t xml:space="preserve">key </w:t>
      </w:r>
      <w:r w:rsidRPr="002B3F90">
        <w:rPr>
          <w:rFonts w:ascii="Verdana" w:eastAsia="Calibri" w:hAnsi="Verdana" w:cs="Calibri"/>
          <w:szCs w:val="28"/>
          <w:lang w:val="en-NZ"/>
        </w:rPr>
        <w:t xml:space="preserve">strategic </w:t>
      </w:r>
      <w:r w:rsidR="002B3F90" w:rsidRPr="002B3F90">
        <w:rPr>
          <w:rFonts w:ascii="Verdana" w:eastAsia="Calibri" w:hAnsi="Verdana" w:cs="Calibri"/>
          <w:szCs w:val="28"/>
          <w:lang w:val="en-NZ"/>
        </w:rPr>
        <w:t>commitments</w:t>
      </w:r>
      <w:r w:rsidRPr="002B3F90">
        <w:rPr>
          <w:rFonts w:ascii="Verdana" w:eastAsia="Calibri" w:hAnsi="Verdana" w:cs="Calibri"/>
          <w:szCs w:val="28"/>
          <w:lang w:val="en-NZ"/>
        </w:rPr>
        <w:t xml:space="preserve"> and risks missing a significant </w:t>
      </w:r>
      <w:r w:rsidR="002B3F90" w:rsidRPr="002B3F90">
        <w:rPr>
          <w:rFonts w:ascii="Verdana" w:eastAsia="Calibri" w:hAnsi="Verdana" w:cs="Calibri"/>
          <w:szCs w:val="28"/>
          <w:lang w:val="en-NZ"/>
        </w:rPr>
        <w:t>opportunity</w:t>
      </w:r>
      <w:r w:rsidRPr="002B3F90">
        <w:rPr>
          <w:rFonts w:ascii="Verdana" w:eastAsia="Calibri" w:hAnsi="Verdana" w:cs="Calibri"/>
          <w:szCs w:val="28"/>
          <w:lang w:val="en-NZ"/>
        </w:rPr>
        <w:t xml:space="preserve"> to add </w:t>
      </w:r>
      <w:r w:rsidR="002B3F90" w:rsidRPr="002B3F90">
        <w:rPr>
          <w:rFonts w:ascii="Verdana" w:eastAsia="Calibri" w:hAnsi="Verdana" w:cs="Calibri"/>
          <w:szCs w:val="28"/>
          <w:lang w:val="en-NZ"/>
        </w:rPr>
        <w:t>demonstrably</w:t>
      </w:r>
      <w:r w:rsidRPr="002B3F90">
        <w:rPr>
          <w:rFonts w:ascii="Verdana" w:eastAsia="Calibri" w:hAnsi="Verdana" w:cs="Calibri"/>
          <w:szCs w:val="28"/>
          <w:lang w:val="en-NZ"/>
        </w:rPr>
        <w:t xml:space="preserve"> to the pool of data available on disabled populations. </w:t>
      </w:r>
    </w:p>
    <w:p w14:paraId="789E0DB0" w14:textId="705CCB11" w:rsidR="005802B1" w:rsidRDefault="000B4FD2"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t xml:space="preserve">Whaikaha encourages Stats NZ to seize the opportunity provided by the 2023 Census to </w:t>
      </w:r>
      <w:r w:rsidR="00A642E3">
        <w:rPr>
          <w:rFonts w:ascii="Verdana" w:eastAsia="Calibri" w:hAnsi="Verdana" w:cs="Calibri"/>
          <w:szCs w:val="28"/>
          <w:lang w:val="en-NZ"/>
        </w:rPr>
        <w:t>disaggr</w:t>
      </w:r>
      <w:r w:rsidR="00D5692A">
        <w:rPr>
          <w:rFonts w:ascii="Verdana" w:eastAsia="Calibri" w:hAnsi="Verdana" w:cs="Calibri"/>
          <w:szCs w:val="28"/>
          <w:lang w:val="en-NZ"/>
        </w:rPr>
        <w:t xml:space="preserve">egate </w:t>
      </w:r>
      <w:r w:rsidR="00046932">
        <w:rPr>
          <w:rFonts w:ascii="Verdana" w:eastAsia="Calibri" w:hAnsi="Verdana" w:cs="Calibri"/>
          <w:szCs w:val="28"/>
          <w:lang w:val="en-NZ"/>
        </w:rPr>
        <w:t xml:space="preserve">its </w:t>
      </w:r>
      <w:r w:rsidR="00D5692A">
        <w:rPr>
          <w:rFonts w:ascii="Verdana" w:eastAsia="Calibri" w:hAnsi="Verdana" w:cs="Calibri"/>
          <w:szCs w:val="28"/>
          <w:lang w:val="en-NZ"/>
        </w:rPr>
        <w:t>data by impairment</w:t>
      </w:r>
      <w:r w:rsidR="00977578">
        <w:rPr>
          <w:rFonts w:ascii="Verdana" w:eastAsia="Calibri" w:hAnsi="Verdana" w:cs="Calibri"/>
          <w:szCs w:val="28"/>
          <w:lang w:val="en-NZ"/>
        </w:rPr>
        <w:t xml:space="preserve"> status</w:t>
      </w:r>
      <w:r w:rsidR="00D5692A">
        <w:rPr>
          <w:rFonts w:ascii="Verdana" w:eastAsia="Calibri" w:hAnsi="Verdana" w:cs="Calibri"/>
          <w:szCs w:val="28"/>
          <w:lang w:val="en-NZ"/>
        </w:rPr>
        <w:t xml:space="preserve"> in </w:t>
      </w:r>
      <w:r w:rsidR="00046932">
        <w:rPr>
          <w:rFonts w:ascii="Verdana" w:eastAsia="Calibri" w:hAnsi="Verdana" w:cs="Calibri"/>
          <w:szCs w:val="28"/>
          <w:lang w:val="en-NZ"/>
        </w:rPr>
        <w:t xml:space="preserve">a cross-cutting </w:t>
      </w:r>
      <w:r w:rsidR="00D5692A">
        <w:rPr>
          <w:rFonts w:ascii="Verdana" w:eastAsia="Calibri" w:hAnsi="Verdana" w:cs="Calibri"/>
          <w:szCs w:val="28"/>
          <w:lang w:val="en-NZ"/>
        </w:rPr>
        <w:t>manner</w:t>
      </w:r>
      <w:r w:rsidR="00046932">
        <w:rPr>
          <w:rFonts w:ascii="Verdana" w:eastAsia="Calibri" w:hAnsi="Verdana" w:cs="Calibri"/>
          <w:szCs w:val="28"/>
          <w:lang w:val="en-NZ"/>
        </w:rPr>
        <w:t>,</w:t>
      </w:r>
      <w:r w:rsidR="00D5692A">
        <w:rPr>
          <w:rFonts w:ascii="Verdana" w:eastAsia="Calibri" w:hAnsi="Verdana" w:cs="Calibri"/>
          <w:szCs w:val="28"/>
          <w:lang w:val="en-NZ"/>
        </w:rPr>
        <w:t xml:space="preserve"> as </w:t>
      </w:r>
      <w:r w:rsidR="00633B71">
        <w:rPr>
          <w:rFonts w:ascii="Verdana" w:eastAsia="Calibri" w:hAnsi="Verdana" w:cs="Calibri"/>
          <w:szCs w:val="28"/>
          <w:lang w:val="en-NZ"/>
        </w:rPr>
        <w:t>it</w:t>
      </w:r>
      <w:r w:rsidR="00D5692A">
        <w:rPr>
          <w:rFonts w:ascii="Verdana" w:eastAsia="Calibri" w:hAnsi="Verdana" w:cs="Calibri"/>
          <w:szCs w:val="28"/>
          <w:lang w:val="en-NZ"/>
        </w:rPr>
        <w:t xml:space="preserve"> does for gender, </w:t>
      </w:r>
      <w:r w:rsidR="00142CDD">
        <w:rPr>
          <w:rFonts w:ascii="Verdana" w:eastAsia="Calibri" w:hAnsi="Verdana" w:cs="Calibri"/>
          <w:szCs w:val="28"/>
          <w:lang w:val="en-NZ"/>
        </w:rPr>
        <w:t>ethnicity,</w:t>
      </w:r>
      <w:r w:rsidR="00D5692A">
        <w:rPr>
          <w:rFonts w:ascii="Verdana" w:eastAsia="Calibri" w:hAnsi="Verdana" w:cs="Calibri"/>
          <w:szCs w:val="28"/>
          <w:lang w:val="en-NZ"/>
        </w:rPr>
        <w:t xml:space="preserve"> </w:t>
      </w:r>
      <w:r w:rsidR="00977578">
        <w:rPr>
          <w:rFonts w:ascii="Verdana" w:eastAsia="Calibri" w:hAnsi="Verdana" w:cs="Calibri"/>
          <w:szCs w:val="28"/>
          <w:lang w:val="en-NZ"/>
        </w:rPr>
        <w:t>and</w:t>
      </w:r>
      <w:r w:rsidR="00D5692A">
        <w:rPr>
          <w:rFonts w:ascii="Verdana" w:eastAsia="Calibri" w:hAnsi="Verdana" w:cs="Calibri"/>
          <w:szCs w:val="28"/>
          <w:lang w:val="en-NZ"/>
        </w:rPr>
        <w:t xml:space="preserve"> age. </w:t>
      </w:r>
      <w:r w:rsidRPr="002B3F90">
        <w:rPr>
          <w:rFonts w:ascii="Verdana" w:eastAsia="Calibri" w:hAnsi="Verdana" w:cs="Calibri"/>
          <w:szCs w:val="28"/>
          <w:lang w:val="en-NZ"/>
        </w:rPr>
        <w:t xml:space="preserve">Whaikaha would also encourage Stats NZ to connect with the </w:t>
      </w:r>
      <w:r w:rsidR="001715ED">
        <w:rPr>
          <w:rFonts w:ascii="Verdana" w:eastAsia="Calibri" w:hAnsi="Verdana" w:cs="Calibri"/>
          <w:szCs w:val="28"/>
          <w:lang w:val="en-NZ"/>
        </w:rPr>
        <w:t>c</w:t>
      </w:r>
      <w:r w:rsidRPr="002B3F90">
        <w:rPr>
          <w:rFonts w:ascii="Verdana" w:eastAsia="Calibri" w:hAnsi="Verdana" w:cs="Calibri"/>
          <w:szCs w:val="28"/>
          <w:lang w:val="en-NZ"/>
        </w:rPr>
        <w:t>ross-</w:t>
      </w:r>
      <w:r w:rsidR="001715ED">
        <w:rPr>
          <w:rFonts w:ascii="Verdana" w:eastAsia="Calibri" w:hAnsi="Verdana" w:cs="Calibri"/>
          <w:szCs w:val="28"/>
          <w:lang w:val="en-NZ"/>
        </w:rPr>
        <w:t>g</w:t>
      </w:r>
      <w:r w:rsidRPr="002B3F90">
        <w:rPr>
          <w:rFonts w:ascii="Verdana" w:eastAsia="Calibri" w:hAnsi="Verdana" w:cs="Calibri"/>
          <w:szCs w:val="28"/>
          <w:lang w:val="en-NZ"/>
        </w:rPr>
        <w:t>overnment Disability Data and Evidence Working Group</w:t>
      </w:r>
      <w:r w:rsidR="00046932">
        <w:rPr>
          <w:rFonts w:ascii="Verdana" w:eastAsia="Calibri" w:hAnsi="Verdana" w:cs="Calibri"/>
          <w:szCs w:val="28"/>
          <w:lang w:val="en-NZ"/>
        </w:rPr>
        <w:t xml:space="preserve"> and partner with disabled people in this kaupapa, as disabled people have a keen interest in </w:t>
      </w:r>
      <w:r w:rsidR="00071FCA">
        <w:rPr>
          <w:rFonts w:ascii="Verdana" w:eastAsia="Calibri" w:hAnsi="Verdana" w:cs="Calibri"/>
          <w:szCs w:val="28"/>
          <w:lang w:val="en-NZ"/>
        </w:rPr>
        <w:t>disability data</w:t>
      </w:r>
      <w:r w:rsidR="00046932">
        <w:rPr>
          <w:rFonts w:ascii="Verdana" w:eastAsia="Calibri" w:hAnsi="Verdana" w:cs="Calibri"/>
          <w:szCs w:val="28"/>
          <w:lang w:val="en-NZ"/>
        </w:rPr>
        <w:t>.</w:t>
      </w:r>
    </w:p>
    <w:p w14:paraId="21DC8B19" w14:textId="4115B3C3" w:rsidR="000B4FD2" w:rsidRPr="002B3F90" w:rsidRDefault="00FA18DA" w:rsidP="004A740C">
      <w:pPr>
        <w:spacing w:before="100" w:beforeAutospacing="1" w:afterLines="120" w:after="288" w:line="288" w:lineRule="auto"/>
        <w:rPr>
          <w:rFonts w:ascii="Verdana" w:eastAsia="Calibri" w:hAnsi="Verdana" w:cs="Calibri"/>
          <w:szCs w:val="28"/>
          <w:lang w:val="en-NZ"/>
        </w:rPr>
      </w:pPr>
      <w:r>
        <w:rPr>
          <w:rFonts w:ascii="Verdana" w:eastAsia="Calibri" w:hAnsi="Verdana" w:cs="Calibri"/>
          <w:szCs w:val="28"/>
          <w:lang w:val="en-NZ"/>
        </w:rPr>
        <w:t xml:space="preserve">Below </w:t>
      </w:r>
      <w:r w:rsidR="005508E4">
        <w:rPr>
          <w:rFonts w:ascii="Verdana" w:eastAsia="Calibri" w:hAnsi="Verdana" w:cs="Calibri"/>
          <w:szCs w:val="28"/>
          <w:lang w:val="en-NZ"/>
        </w:rPr>
        <w:t>is a summary of</w:t>
      </w:r>
      <w:r>
        <w:rPr>
          <w:rFonts w:ascii="Verdana" w:eastAsia="Calibri" w:hAnsi="Verdana" w:cs="Calibri"/>
          <w:szCs w:val="28"/>
          <w:lang w:val="en-NZ"/>
        </w:rPr>
        <w:t xml:space="preserve"> </w:t>
      </w:r>
      <w:r w:rsidRPr="002B3F90">
        <w:rPr>
          <w:rFonts w:ascii="Verdana" w:eastAsia="Calibri" w:hAnsi="Verdana" w:cs="Calibri"/>
          <w:szCs w:val="28"/>
          <w:lang w:val="en-NZ"/>
        </w:rPr>
        <w:t xml:space="preserve">the major strategic commitments </w:t>
      </w:r>
      <w:r>
        <w:rPr>
          <w:rFonts w:ascii="Verdana" w:eastAsia="Calibri" w:hAnsi="Verdana" w:cs="Calibri"/>
          <w:szCs w:val="28"/>
          <w:lang w:val="en-NZ"/>
        </w:rPr>
        <w:t>relating to</w:t>
      </w:r>
      <w:r w:rsidRPr="002B3F90">
        <w:rPr>
          <w:rFonts w:ascii="Verdana" w:eastAsia="Calibri" w:hAnsi="Verdana" w:cs="Calibri"/>
          <w:szCs w:val="28"/>
          <w:lang w:val="en-NZ"/>
        </w:rPr>
        <w:t xml:space="preserve"> disability data and </w:t>
      </w:r>
      <w:r w:rsidR="006E14C2">
        <w:rPr>
          <w:rFonts w:ascii="Verdana" w:eastAsia="Calibri" w:hAnsi="Verdana" w:cs="Calibri"/>
          <w:szCs w:val="28"/>
          <w:lang w:val="en-NZ"/>
        </w:rPr>
        <w:t>the value of Census 2023 data in the broader disability data context.</w:t>
      </w:r>
    </w:p>
    <w:p w14:paraId="4CFC5703" w14:textId="77777777" w:rsidR="000B4FD2" w:rsidRPr="002B3F90" w:rsidRDefault="000B4FD2" w:rsidP="004A740C">
      <w:pPr>
        <w:spacing w:before="100" w:beforeAutospacing="1" w:afterLines="120" w:after="288" w:line="288" w:lineRule="auto"/>
        <w:rPr>
          <w:rFonts w:ascii="Verdana" w:eastAsia="Calibri" w:hAnsi="Verdana" w:cs="Calibri"/>
          <w:b/>
          <w:bCs/>
          <w:szCs w:val="28"/>
          <w:lang w:val="en-NZ"/>
        </w:rPr>
      </w:pPr>
      <w:r w:rsidRPr="002B3F90">
        <w:rPr>
          <w:rFonts w:ascii="Verdana" w:eastAsia="Calibri" w:hAnsi="Verdana" w:cs="Calibri"/>
          <w:b/>
          <w:bCs/>
          <w:szCs w:val="28"/>
          <w:lang w:val="en-NZ"/>
        </w:rPr>
        <w:t>2022 Governmental Priorities &amp; Strategic Context</w:t>
      </w:r>
    </w:p>
    <w:p w14:paraId="0E9D132A" w14:textId="65523C1E" w:rsidR="000B4FD2" w:rsidRPr="002B3F90" w:rsidRDefault="000B4FD2"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t>The New Zealand Government has prioriti</w:t>
      </w:r>
      <w:r w:rsidR="00E66F01">
        <w:rPr>
          <w:rFonts w:ascii="Verdana" w:eastAsia="Calibri" w:hAnsi="Verdana" w:cs="Calibri"/>
          <w:szCs w:val="28"/>
          <w:lang w:val="en-NZ"/>
        </w:rPr>
        <w:t>s</w:t>
      </w:r>
      <w:r w:rsidRPr="002B3F90">
        <w:rPr>
          <w:rFonts w:ascii="Verdana" w:eastAsia="Calibri" w:hAnsi="Verdana" w:cs="Calibri"/>
          <w:szCs w:val="28"/>
          <w:lang w:val="en-NZ"/>
        </w:rPr>
        <w:t xml:space="preserve">ed disabled populations and </w:t>
      </w:r>
      <w:r w:rsidR="0083134F">
        <w:rPr>
          <w:rFonts w:ascii="Verdana" w:eastAsia="Calibri" w:hAnsi="Verdana" w:cs="Calibri"/>
          <w:szCs w:val="28"/>
          <w:lang w:val="en-NZ"/>
        </w:rPr>
        <w:t>has</w:t>
      </w:r>
      <w:r w:rsidRPr="002B3F90">
        <w:rPr>
          <w:rFonts w:ascii="Verdana" w:eastAsia="Calibri" w:hAnsi="Verdana" w:cs="Calibri"/>
          <w:szCs w:val="28"/>
          <w:lang w:val="en-NZ"/>
        </w:rPr>
        <w:t xml:space="preserve"> a range of strategic </w:t>
      </w:r>
      <w:r w:rsidR="002B3F90" w:rsidRPr="002B3F90">
        <w:rPr>
          <w:rFonts w:ascii="Verdana" w:eastAsia="Calibri" w:hAnsi="Verdana" w:cs="Calibri"/>
          <w:szCs w:val="28"/>
          <w:lang w:val="en-NZ"/>
        </w:rPr>
        <w:t>commitments</w:t>
      </w:r>
      <w:r w:rsidRPr="002B3F90">
        <w:rPr>
          <w:rFonts w:ascii="Verdana" w:eastAsia="Calibri" w:hAnsi="Verdana" w:cs="Calibri"/>
          <w:szCs w:val="28"/>
          <w:lang w:val="en-NZ"/>
        </w:rPr>
        <w:t xml:space="preserve"> relevant to disabled people</w:t>
      </w:r>
      <w:r w:rsidR="0083134F">
        <w:rPr>
          <w:rFonts w:ascii="Verdana" w:eastAsia="Calibri" w:hAnsi="Verdana" w:cs="Calibri"/>
          <w:szCs w:val="28"/>
          <w:lang w:val="en-NZ"/>
        </w:rPr>
        <w:t>:</w:t>
      </w:r>
    </w:p>
    <w:p w14:paraId="3AF4E4E9" w14:textId="0D5B62D7" w:rsidR="000B4FD2" w:rsidRPr="002B3F90" w:rsidRDefault="000B4FD2" w:rsidP="004A740C">
      <w:pPr>
        <w:numPr>
          <w:ilvl w:val="0"/>
          <w:numId w:val="1"/>
        </w:numPr>
        <w:spacing w:before="100" w:beforeAutospacing="1" w:afterLines="120" w:after="288" w:line="288" w:lineRule="auto"/>
        <w:contextualSpacing/>
        <w:rPr>
          <w:rFonts w:ascii="Verdana" w:eastAsia="Calibri" w:hAnsi="Verdana" w:cs="Calibri"/>
          <w:szCs w:val="28"/>
          <w:lang w:val="en-NZ"/>
        </w:rPr>
      </w:pPr>
      <w:r w:rsidRPr="002B3F90">
        <w:rPr>
          <w:rFonts w:ascii="Verdana" w:eastAsia="Calibri" w:hAnsi="Verdana" w:cs="Calibri"/>
          <w:szCs w:val="28"/>
          <w:lang w:val="en-NZ"/>
        </w:rPr>
        <w:t xml:space="preserve">Whaikaha was established </w:t>
      </w:r>
      <w:r w:rsidR="009F738C">
        <w:rPr>
          <w:rFonts w:ascii="Verdana" w:eastAsia="Calibri" w:hAnsi="Verdana" w:cs="Calibri"/>
          <w:szCs w:val="28"/>
          <w:lang w:val="en-NZ"/>
        </w:rPr>
        <w:t>on</w:t>
      </w:r>
      <w:r w:rsidR="001715ED">
        <w:rPr>
          <w:rFonts w:ascii="Verdana" w:eastAsia="Calibri" w:hAnsi="Verdana" w:cs="Calibri"/>
          <w:szCs w:val="28"/>
          <w:lang w:val="en-NZ"/>
        </w:rPr>
        <w:t xml:space="preserve"> 1</w:t>
      </w:r>
      <w:r w:rsidR="009F738C" w:rsidRPr="002B3F90">
        <w:rPr>
          <w:rFonts w:ascii="Verdana" w:eastAsia="Calibri" w:hAnsi="Verdana" w:cs="Calibri"/>
          <w:szCs w:val="28"/>
          <w:lang w:val="en-NZ"/>
        </w:rPr>
        <w:t xml:space="preserve"> July </w:t>
      </w:r>
      <w:r w:rsidR="00817409">
        <w:rPr>
          <w:rFonts w:ascii="Verdana" w:eastAsia="Calibri" w:hAnsi="Verdana" w:cs="Calibri"/>
          <w:szCs w:val="28"/>
          <w:lang w:val="en-NZ"/>
        </w:rPr>
        <w:t>,</w:t>
      </w:r>
      <w:r w:rsidR="009F738C">
        <w:rPr>
          <w:rFonts w:ascii="Verdana" w:eastAsia="Calibri" w:hAnsi="Verdana" w:cs="Calibri"/>
          <w:szCs w:val="28"/>
          <w:lang w:val="en-NZ"/>
        </w:rPr>
        <w:t xml:space="preserve"> 2022</w:t>
      </w:r>
      <w:r w:rsidR="009F738C" w:rsidRPr="002B3F90">
        <w:rPr>
          <w:rFonts w:ascii="Verdana" w:eastAsia="Calibri" w:hAnsi="Verdana" w:cs="Calibri"/>
          <w:szCs w:val="28"/>
          <w:lang w:val="en-NZ"/>
        </w:rPr>
        <w:t xml:space="preserve"> </w:t>
      </w:r>
      <w:r w:rsidRPr="002B3F90">
        <w:rPr>
          <w:rFonts w:ascii="Verdana" w:eastAsia="Calibri" w:hAnsi="Verdana" w:cs="Calibri"/>
          <w:szCs w:val="28"/>
          <w:lang w:val="en-NZ"/>
        </w:rPr>
        <w:t xml:space="preserve">to </w:t>
      </w:r>
      <w:r w:rsidR="00E66F01">
        <w:rPr>
          <w:rFonts w:ascii="Verdana" w:eastAsia="Calibri" w:hAnsi="Verdana" w:cs="Calibri"/>
          <w:szCs w:val="28"/>
          <w:lang w:val="en-NZ"/>
        </w:rPr>
        <w:t>give</w:t>
      </w:r>
      <w:r w:rsidRPr="002B3F90">
        <w:rPr>
          <w:rFonts w:ascii="Verdana" w:eastAsia="Calibri" w:hAnsi="Verdana" w:cs="Calibri"/>
          <w:szCs w:val="28"/>
          <w:lang w:val="en-NZ"/>
        </w:rPr>
        <w:t xml:space="preserve"> disabled populations a </w:t>
      </w:r>
      <w:r w:rsidR="009F4F8C">
        <w:rPr>
          <w:rFonts w:ascii="Verdana" w:eastAsia="Calibri" w:hAnsi="Verdana" w:cs="Calibri"/>
          <w:szCs w:val="28"/>
          <w:lang w:val="en-NZ"/>
        </w:rPr>
        <w:t xml:space="preserve">strong </w:t>
      </w:r>
      <w:r w:rsidRPr="002B3F90">
        <w:rPr>
          <w:rFonts w:ascii="Verdana" w:eastAsia="Calibri" w:hAnsi="Verdana" w:cs="Calibri"/>
          <w:szCs w:val="28"/>
          <w:lang w:val="en-NZ"/>
        </w:rPr>
        <w:t xml:space="preserve">voice and to steward </w:t>
      </w:r>
      <w:r w:rsidR="00EC32DD">
        <w:rPr>
          <w:rFonts w:ascii="Verdana" w:eastAsia="Calibri" w:hAnsi="Verdana" w:cs="Calibri"/>
          <w:szCs w:val="28"/>
          <w:lang w:val="en-NZ"/>
        </w:rPr>
        <w:t>strategic disability policy</w:t>
      </w:r>
      <w:r w:rsidR="00383EB8">
        <w:rPr>
          <w:rFonts w:ascii="Verdana" w:eastAsia="Calibri" w:hAnsi="Verdana" w:cs="Calibri"/>
          <w:szCs w:val="28"/>
          <w:lang w:val="en-NZ"/>
        </w:rPr>
        <w:t xml:space="preserve"> across </w:t>
      </w:r>
      <w:r w:rsidR="009F4F8C">
        <w:rPr>
          <w:rFonts w:ascii="Verdana" w:eastAsia="Calibri" w:hAnsi="Verdana" w:cs="Calibri"/>
          <w:szCs w:val="28"/>
          <w:lang w:val="en-NZ"/>
        </w:rPr>
        <w:t>government</w:t>
      </w:r>
      <w:r w:rsidRPr="002B3F90">
        <w:rPr>
          <w:rFonts w:ascii="Verdana" w:eastAsia="Calibri" w:hAnsi="Verdana" w:cs="Calibri"/>
          <w:szCs w:val="28"/>
          <w:lang w:val="en-NZ"/>
        </w:rPr>
        <w:t xml:space="preserve"> </w:t>
      </w:r>
    </w:p>
    <w:p w14:paraId="5FFE9064" w14:textId="79BAECAD" w:rsidR="000B4FD2" w:rsidRPr="002B3F90" w:rsidRDefault="009F738C" w:rsidP="004A740C">
      <w:pPr>
        <w:numPr>
          <w:ilvl w:val="0"/>
          <w:numId w:val="1"/>
        </w:numPr>
        <w:spacing w:before="100" w:beforeAutospacing="1" w:afterLines="120" w:after="288" w:line="288" w:lineRule="auto"/>
        <w:ind w:left="714" w:hanging="357"/>
        <w:contextualSpacing/>
        <w:rPr>
          <w:rFonts w:ascii="Verdana" w:eastAsia="Calibri" w:hAnsi="Verdana" w:cs="Calibri"/>
          <w:szCs w:val="28"/>
          <w:lang w:val="en-NZ"/>
        </w:rPr>
      </w:pPr>
      <w:r>
        <w:rPr>
          <w:rFonts w:ascii="Verdana" w:eastAsia="Calibri" w:hAnsi="Verdana" w:cs="Calibri"/>
          <w:szCs w:val="28"/>
          <w:lang w:val="en-NZ"/>
        </w:rPr>
        <w:t>D</w:t>
      </w:r>
      <w:r w:rsidR="000B4FD2" w:rsidRPr="002B3F90">
        <w:rPr>
          <w:rFonts w:ascii="Verdana" w:eastAsia="Calibri" w:hAnsi="Verdana" w:cs="Calibri"/>
          <w:szCs w:val="28"/>
          <w:lang w:val="en-NZ"/>
        </w:rPr>
        <w:t xml:space="preserve">isabled people </w:t>
      </w:r>
      <w:r w:rsidR="00817409">
        <w:rPr>
          <w:rFonts w:ascii="Verdana" w:eastAsia="Calibri" w:hAnsi="Verdana" w:cs="Calibri"/>
          <w:szCs w:val="28"/>
          <w:lang w:val="en-NZ"/>
        </w:rPr>
        <w:t>are</w:t>
      </w:r>
      <w:r w:rsidR="000B4FD2" w:rsidRPr="002B3F90">
        <w:rPr>
          <w:rFonts w:ascii="Verdana" w:eastAsia="Calibri" w:hAnsi="Verdana" w:cs="Calibri"/>
          <w:szCs w:val="28"/>
          <w:lang w:val="en-NZ"/>
        </w:rPr>
        <w:t xml:space="preserve"> a key equity population in the </w:t>
      </w:r>
      <w:proofErr w:type="spellStart"/>
      <w:r w:rsidR="000B4FD2" w:rsidRPr="002B3F90">
        <w:rPr>
          <w:rFonts w:ascii="Verdana" w:eastAsia="Calibri" w:hAnsi="Verdana" w:cs="Calibri"/>
          <w:szCs w:val="28"/>
          <w:lang w:val="en-NZ"/>
        </w:rPr>
        <w:t>Pae</w:t>
      </w:r>
      <w:proofErr w:type="spellEnd"/>
      <w:r w:rsidR="000B4FD2" w:rsidRPr="002B3F90">
        <w:rPr>
          <w:rFonts w:ascii="Verdana" w:eastAsia="Calibri" w:hAnsi="Verdana" w:cs="Calibri"/>
          <w:szCs w:val="28"/>
          <w:lang w:val="en-NZ"/>
        </w:rPr>
        <w:t xml:space="preserve"> Ora (Health Futures) Act, now serv</w:t>
      </w:r>
      <w:r w:rsidR="00817409">
        <w:rPr>
          <w:rFonts w:ascii="Verdana" w:eastAsia="Calibri" w:hAnsi="Verdana" w:cs="Calibri"/>
          <w:szCs w:val="28"/>
          <w:lang w:val="en-NZ"/>
        </w:rPr>
        <w:t>ing</w:t>
      </w:r>
      <w:r w:rsidR="000B4FD2" w:rsidRPr="002B3F90">
        <w:rPr>
          <w:rFonts w:ascii="Verdana" w:eastAsia="Calibri" w:hAnsi="Verdana" w:cs="Calibri"/>
          <w:szCs w:val="28"/>
          <w:lang w:val="en-NZ"/>
        </w:rPr>
        <w:t xml:space="preserve"> as the bedrock legislation for the health system </w:t>
      </w:r>
    </w:p>
    <w:p w14:paraId="43F62CB0" w14:textId="3770C84D" w:rsidR="000B4FD2" w:rsidRPr="002B3F90" w:rsidRDefault="000B4FD2" w:rsidP="004A740C">
      <w:pPr>
        <w:numPr>
          <w:ilvl w:val="0"/>
          <w:numId w:val="1"/>
        </w:numPr>
        <w:spacing w:before="100" w:beforeAutospacing="1" w:afterLines="120" w:after="288" w:line="288" w:lineRule="auto"/>
        <w:contextualSpacing/>
        <w:rPr>
          <w:rFonts w:ascii="Verdana" w:eastAsia="Calibri" w:hAnsi="Verdana" w:cs="Calibri"/>
          <w:szCs w:val="28"/>
          <w:lang w:val="en-NZ"/>
        </w:rPr>
      </w:pPr>
      <w:r w:rsidRPr="002B3F90">
        <w:rPr>
          <w:rFonts w:ascii="Verdana" w:eastAsia="Calibri" w:hAnsi="Verdana" w:cs="Calibri"/>
          <w:szCs w:val="28"/>
          <w:lang w:val="en-NZ"/>
        </w:rPr>
        <w:t>Accessibility for New Zealanders Bill</w:t>
      </w:r>
      <w:r w:rsidR="0087581E">
        <w:rPr>
          <w:rFonts w:ascii="Verdana" w:eastAsia="Calibri" w:hAnsi="Verdana" w:cs="Calibri"/>
          <w:szCs w:val="28"/>
          <w:lang w:val="en-NZ"/>
        </w:rPr>
        <w:t xml:space="preserve"> </w:t>
      </w:r>
      <w:r w:rsidR="009F4F8C">
        <w:rPr>
          <w:rFonts w:ascii="Verdana" w:eastAsia="Calibri" w:hAnsi="Verdana" w:cs="Calibri"/>
          <w:szCs w:val="28"/>
          <w:lang w:val="en-NZ"/>
        </w:rPr>
        <w:t>will</w:t>
      </w:r>
      <w:r w:rsidRPr="002B3F90">
        <w:rPr>
          <w:rFonts w:ascii="Verdana" w:eastAsia="Calibri" w:hAnsi="Verdana" w:cs="Calibri"/>
          <w:szCs w:val="28"/>
          <w:lang w:val="en-NZ"/>
        </w:rPr>
        <w:t xml:space="preserve"> </w:t>
      </w:r>
      <w:r w:rsidR="00E66F01">
        <w:rPr>
          <w:rFonts w:ascii="Verdana" w:eastAsia="Calibri" w:hAnsi="Verdana" w:cs="Calibri"/>
          <w:szCs w:val="28"/>
          <w:lang w:val="en-NZ"/>
        </w:rPr>
        <w:t>focus</w:t>
      </w:r>
      <w:r w:rsidRPr="002B3F90">
        <w:rPr>
          <w:rFonts w:ascii="Verdana" w:eastAsia="Calibri" w:hAnsi="Verdana" w:cs="Calibri"/>
          <w:szCs w:val="28"/>
          <w:lang w:val="en-NZ"/>
        </w:rPr>
        <w:t xml:space="preserve"> additional attention and </w:t>
      </w:r>
      <w:r w:rsidR="002B3F90" w:rsidRPr="002B3F90">
        <w:rPr>
          <w:rFonts w:ascii="Verdana" w:eastAsia="Calibri" w:hAnsi="Verdana" w:cs="Calibri"/>
          <w:szCs w:val="28"/>
          <w:lang w:val="en-NZ"/>
        </w:rPr>
        <w:t>resources</w:t>
      </w:r>
      <w:r w:rsidRPr="002B3F90">
        <w:rPr>
          <w:rFonts w:ascii="Verdana" w:eastAsia="Calibri" w:hAnsi="Verdana" w:cs="Calibri"/>
          <w:szCs w:val="28"/>
          <w:lang w:val="en-NZ"/>
        </w:rPr>
        <w:t xml:space="preserve"> </w:t>
      </w:r>
      <w:r w:rsidR="00E66F01">
        <w:rPr>
          <w:rFonts w:ascii="Verdana" w:eastAsia="Calibri" w:hAnsi="Verdana" w:cs="Calibri"/>
          <w:szCs w:val="28"/>
          <w:lang w:val="en-NZ"/>
        </w:rPr>
        <w:t>on</w:t>
      </w:r>
      <w:r w:rsidRPr="002B3F90">
        <w:rPr>
          <w:rFonts w:ascii="Verdana" w:eastAsia="Calibri" w:hAnsi="Verdana" w:cs="Calibri"/>
          <w:szCs w:val="28"/>
          <w:lang w:val="en-NZ"/>
        </w:rPr>
        <w:t xml:space="preserve"> promoting accessibility for disabled </w:t>
      </w:r>
      <w:r w:rsidR="00243BE7">
        <w:rPr>
          <w:rFonts w:ascii="Verdana" w:eastAsia="Calibri" w:hAnsi="Verdana" w:cs="Calibri"/>
          <w:szCs w:val="28"/>
          <w:lang w:val="en-NZ"/>
        </w:rPr>
        <w:t>people</w:t>
      </w:r>
      <w:r w:rsidRPr="002B3F90">
        <w:rPr>
          <w:rFonts w:ascii="Verdana" w:eastAsia="Calibri" w:hAnsi="Verdana" w:cs="Calibri"/>
          <w:szCs w:val="28"/>
          <w:lang w:val="en-NZ"/>
        </w:rPr>
        <w:t xml:space="preserve"> across Aotearoa. </w:t>
      </w:r>
    </w:p>
    <w:p w14:paraId="3D73A0A2" w14:textId="77777777" w:rsidR="0083134F" w:rsidRDefault="0083134F" w:rsidP="0083134F">
      <w:pPr>
        <w:spacing w:before="120" w:afterLines="120" w:after="288" w:line="288" w:lineRule="auto"/>
        <w:rPr>
          <w:rFonts w:ascii="Verdana" w:eastAsia="Calibri" w:hAnsi="Verdana" w:cs="Calibri"/>
          <w:szCs w:val="28"/>
          <w:lang w:val="en-NZ"/>
        </w:rPr>
      </w:pPr>
    </w:p>
    <w:p w14:paraId="561D260A" w14:textId="31844F66" w:rsidR="000B4FD2" w:rsidRPr="002B3F90" w:rsidRDefault="000B4FD2" w:rsidP="0083134F">
      <w:pPr>
        <w:spacing w:before="120" w:afterLines="120" w:after="288" w:line="288" w:lineRule="auto"/>
        <w:rPr>
          <w:rFonts w:ascii="Verdana" w:eastAsia="Calibri" w:hAnsi="Verdana" w:cs="Calibri"/>
          <w:szCs w:val="28"/>
          <w:lang w:val="en-NZ"/>
        </w:rPr>
      </w:pPr>
      <w:r w:rsidRPr="002B3F90">
        <w:rPr>
          <w:rFonts w:ascii="Verdana" w:eastAsia="Calibri" w:hAnsi="Verdana" w:cs="Calibri"/>
          <w:szCs w:val="28"/>
          <w:lang w:val="en-NZ"/>
        </w:rPr>
        <w:t xml:space="preserve">Each of these developments </w:t>
      </w:r>
      <w:r w:rsidR="00A57656">
        <w:rPr>
          <w:rFonts w:ascii="Verdana" w:eastAsia="Calibri" w:hAnsi="Verdana" w:cs="Calibri"/>
          <w:szCs w:val="28"/>
          <w:lang w:val="en-NZ"/>
        </w:rPr>
        <w:t>is</w:t>
      </w:r>
      <w:r w:rsidRPr="002B3F90">
        <w:rPr>
          <w:rFonts w:ascii="Verdana" w:eastAsia="Calibri" w:hAnsi="Verdana" w:cs="Calibri"/>
          <w:szCs w:val="28"/>
          <w:lang w:val="en-NZ"/>
        </w:rPr>
        <w:t xml:space="preserve"> significant and speak</w:t>
      </w:r>
      <w:r w:rsidR="00A57656">
        <w:rPr>
          <w:rFonts w:ascii="Verdana" w:eastAsia="Calibri" w:hAnsi="Verdana" w:cs="Calibri"/>
          <w:szCs w:val="28"/>
          <w:lang w:val="en-NZ"/>
        </w:rPr>
        <w:t>s</w:t>
      </w:r>
      <w:r w:rsidRPr="002B3F90">
        <w:rPr>
          <w:rFonts w:ascii="Verdana" w:eastAsia="Calibri" w:hAnsi="Verdana" w:cs="Calibri"/>
          <w:szCs w:val="28"/>
          <w:lang w:val="en-NZ"/>
        </w:rPr>
        <w:t xml:space="preserve"> to a strong direction from </w:t>
      </w:r>
      <w:r w:rsidR="00A57656">
        <w:rPr>
          <w:rFonts w:ascii="Verdana" w:eastAsia="Calibri" w:hAnsi="Verdana" w:cs="Calibri"/>
          <w:szCs w:val="28"/>
          <w:lang w:val="en-NZ"/>
        </w:rPr>
        <w:t xml:space="preserve">the </w:t>
      </w:r>
      <w:r w:rsidRPr="002B3F90">
        <w:rPr>
          <w:rFonts w:ascii="Verdana" w:eastAsia="Calibri" w:hAnsi="Verdana" w:cs="Calibri"/>
          <w:szCs w:val="28"/>
          <w:lang w:val="en-NZ"/>
        </w:rPr>
        <w:t>Government that disabled people should be prioriti</w:t>
      </w:r>
      <w:r w:rsidR="00A57656">
        <w:rPr>
          <w:rFonts w:ascii="Verdana" w:eastAsia="Calibri" w:hAnsi="Verdana" w:cs="Calibri"/>
          <w:szCs w:val="28"/>
          <w:lang w:val="en-NZ"/>
        </w:rPr>
        <w:t>s</w:t>
      </w:r>
      <w:r w:rsidRPr="002B3F90">
        <w:rPr>
          <w:rFonts w:ascii="Verdana" w:eastAsia="Calibri" w:hAnsi="Verdana" w:cs="Calibri"/>
          <w:szCs w:val="28"/>
          <w:lang w:val="en-NZ"/>
        </w:rPr>
        <w:t xml:space="preserve">ed as a key equity group alongside Māori and Pacific populations. High-quality disability data is critical to inform and support efforts to </w:t>
      </w:r>
      <w:r w:rsidR="002B3F90" w:rsidRPr="002B3F90">
        <w:rPr>
          <w:rFonts w:ascii="Verdana" w:eastAsia="Calibri" w:hAnsi="Verdana" w:cs="Calibri"/>
          <w:szCs w:val="28"/>
          <w:lang w:val="en-NZ"/>
        </w:rPr>
        <w:t>prioriti</w:t>
      </w:r>
      <w:r w:rsidR="00A57656">
        <w:rPr>
          <w:rFonts w:ascii="Verdana" w:eastAsia="Calibri" w:hAnsi="Verdana" w:cs="Calibri"/>
          <w:szCs w:val="28"/>
          <w:lang w:val="en-NZ"/>
        </w:rPr>
        <w:t>s</w:t>
      </w:r>
      <w:r w:rsidR="002B3F90" w:rsidRPr="002B3F90">
        <w:rPr>
          <w:rFonts w:ascii="Verdana" w:eastAsia="Calibri" w:hAnsi="Verdana" w:cs="Calibri"/>
          <w:szCs w:val="28"/>
          <w:lang w:val="en-NZ"/>
        </w:rPr>
        <w:t>e</w:t>
      </w:r>
      <w:r w:rsidRPr="002B3F90">
        <w:rPr>
          <w:rFonts w:ascii="Verdana" w:eastAsia="Calibri" w:hAnsi="Verdana" w:cs="Calibri"/>
          <w:szCs w:val="28"/>
          <w:lang w:val="en-NZ"/>
        </w:rPr>
        <w:t xml:space="preserve"> disabled people. </w:t>
      </w:r>
      <w:r w:rsidR="0083134F" w:rsidRPr="002B3F90">
        <w:rPr>
          <w:rFonts w:ascii="Verdana" w:eastAsia="Calibri" w:hAnsi="Verdana" w:cs="Calibri"/>
          <w:szCs w:val="28"/>
          <w:lang w:val="en-NZ"/>
        </w:rPr>
        <w:t>As steward for all data in Aotearoa (including disability data)</w:t>
      </w:r>
      <w:r w:rsidR="0083134F">
        <w:rPr>
          <w:rFonts w:ascii="Verdana" w:eastAsia="Calibri" w:hAnsi="Verdana" w:cs="Calibri"/>
          <w:szCs w:val="28"/>
          <w:lang w:val="en-NZ"/>
        </w:rPr>
        <w:t>,</w:t>
      </w:r>
      <w:r w:rsidR="0083134F" w:rsidRPr="002B3F90">
        <w:rPr>
          <w:rFonts w:ascii="Verdana" w:eastAsia="Calibri" w:hAnsi="Verdana" w:cs="Calibri"/>
          <w:szCs w:val="28"/>
          <w:lang w:val="en-NZ"/>
        </w:rPr>
        <w:t xml:space="preserve"> Stats NZ should do what it can to support this strategic direction.</w:t>
      </w:r>
    </w:p>
    <w:p w14:paraId="37494020" w14:textId="2BC1B121" w:rsidR="000B4FD2" w:rsidRPr="002B3F90" w:rsidRDefault="000B4FD2"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t xml:space="preserve">The New Zealand Government also has at least two major threads of strategic </w:t>
      </w:r>
      <w:r w:rsidR="002B3F90" w:rsidRPr="002B3F90">
        <w:rPr>
          <w:rFonts w:ascii="Verdana" w:eastAsia="Calibri" w:hAnsi="Verdana" w:cs="Calibri"/>
          <w:szCs w:val="28"/>
          <w:lang w:val="en-NZ"/>
        </w:rPr>
        <w:t>commitments</w:t>
      </w:r>
      <w:r w:rsidRPr="002B3F90">
        <w:rPr>
          <w:rFonts w:ascii="Verdana" w:eastAsia="Calibri" w:hAnsi="Verdana" w:cs="Calibri"/>
          <w:szCs w:val="28"/>
          <w:lang w:val="en-NZ"/>
        </w:rPr>
        <w:t xml:space="preserve"> to disabled populations:</w:t>
      </w:r>
    </w:p>
    <w:p w14:paraId="1F6F5D79" w14:textId="77777777" w:rsidR="0083134F" w:rsidRDefault="0083134F">
      <w:pPr>
        <w:rPr>
          <w:rFonts w:ascii="Verdana" w:eastAsia="Calibri" w:hAnsi="Verdana" w:cs="Calibri"/>
          <w:szCs w:val="28"/>
          <w:lang w:val="en-NZ"/>
        </w:rPr>
      </w:pPr>
      <w:r>
        <w:rPr>
          <w:rFonts w:ascii="Verdana" w:eastAsia="Calibri" w:hAnsi="Verdana" w:cs="Calibri"/>
          <w:szCs w:val="28"/>
          <w:lang w:val="en-NZ"/>
        </w:rPr>
        <w:br w:type="page"/>
      </w:r>
    </w:p>
    <w:p w14:paraId="4F06A207" w14:textId="3BE6C70F" w:rsidR="004A740C" w:rsidRDefault="000B4FD2" w:rsidP="004A740C">
      <w:pPr>
        <w:numPr>
          <w:ilvl w:val="0"/>
          <w:numId w:val="2"/>
        </w:numPr>
        <w:spacing w:before="100" w:beforeAutospacing="1" w:afterLines="120" w:after="288" w:line="288" w:lineRule="auto"/>
        <w:ind w:left="714" w:hanging="357"/>
        <w:contextualSpacing/>
        <w:rPr>
          <w:rFonts w:ascii="Verdana" w:eastAsia="Calibri" w:hAnsi="Verdana" w:cs="Calibri"/>
          <w:szCs w:val="28"/>
          <w:lang w:val="en-NZ"/>
        </w:rPr>
      </w:pPr>
      <w:r w:rsidRPr="004A740C">
        <w:rPr>
          <w:rFonts w:ascii="Verdana" w:eastAsia="Calibri" w:hAnsi="Verdana" w:cs="Calibri"/>
          <w:szCs w:val="28"/>
          <w:lang w:val="en-NZ"/>
        </w:rPr>
        <w:lastRenderedPageBreak/>
        <w:t xml:space="preserve">United Nations Convention on the Rights of Persons with Disabilities (UNCRPD). Article 31 of the UNCRPD explicitly expresses a </w:t>
      </w:r>
      <w:r w:rsidR="002B3F90" w:rsidRPr="004A740C">
        <w:rPr>
          <w:rFonts w:ascii="Verdana" w:eastAsia="Calibri" w:hAnsi="Verdana" w:cs="Calibri"/>
          <w:szCs w:val="28"/>
          <w:lang w:val="en-NZ"/>
        </w:rPr>
        <w:t>commitment</w:t>
      </w:r>
      <w:r w:rsidRPr="004A740C">
        <w:rPr>
          <w:rFonts w:ascii="Verdana" w:eastAsia="Calibri" w:hAnsi="Verdana" w:cs="Calibri"/>
          <w:szCs w:val="28"/>
          <w:lang w:val="en-NZ"/>
        </w:rPr>
        <w:t xml:space="preserve"> to collect and make available disaggregated disability data to inform cross-government policy. The importance of disability data is </w:t>
      </w:r>
      <w:r w:rsidR="00A83A48" w:rsidRPr="004A740C">
        <w:rPr>
          <w:rFonts w:ascii="Verdana" w:eastAsia="Calibri" w:hAnsi="Verdana" w:cs="Calibri"/>
          <w:szCs w:val="28"/>
          <w:lang w:val="en-NZ"/>
        </w:rPr>
        <w:t>mirrored</w:t>
      </w:r>
      <w:r w:rsidRPr="004A740C">
        <w:rPr>
          <w:rFonts w:ascii="Verdana" w:eastAsia="Calibri" w:hAnsi="Verdana" w:cs="Calibri"/>
          <w:szCs w:val="28"/>
          <w:lang w:val="en-NZ"/>
        </w:rPr>
        <w:t xml:space="preserve"> in the </w:t>
      </w:r>
      <w:r w:rsidR="002C646E" w:rsidRPr="004A740C">
        <w:rPr>
          <w:rFonts w:ascii="Verdana" w:eastAsia="Calibri" w:hAnsi="Verdana" w:cs="Calibri"/>
          <w:szCs w:val="28"/>
          <w:lang w:val="en-NZ"/>
        </w:rPr>
        <w:t xml:space="preserve">New Zealand Disability Strategy </w:t>
      </w:r>
      <w:r w:rsidRPr="004A740C">
        <w:rPr>
          <w:rFonts w:ascii="Verdana" w:eastAsia="Calibri" w:hAnsi="Verdana" w:cs="Calibri"/>
          <w:szCs w:val="28"/>
          <w:lang w:val="en-NZ"/>
        </w:rPr>
        <w:t>2019-2023, where promoting and collecting disability data is a cross-cutting action for all government agencies</w:t>
      </w:r>
      <w:r w:rsidR="00A57656">
        <w:rPr>
          <w:rFonts w:ascii="Verdana" w:eastAsia="Calibri" w:hAnsi="Verdana" w:cs="Calibri"/>
          <w:szCs w:val="28"/>
          <w:lang w:val="en-NZ"/>
        </w:rPr>
        <w:t>,</w:t>
      </w:r>
      <w:r w:rsidRPr="004A740C">
        <w:rPr>
          <w:rFonts w:ascii="Verdana" w:eastAsia="Calibri" w:hAnsi="Verdana" w:cs="Calibri"/>
          <w:szCs w:val="28"/>
          <w:lang w:val="en-NZ"/>
        </w:rPr>
        <w:t xml:space="preserve"> including Stats NZ.</w:t>
      </w:r>
    </w:p>
    <w:p w14:paraId="033F9BAD" w14:textId="3828AEF0" w:rsidR="000B4FD2" w:rsidRPr="004A740C" w:rsidRDefault="000B4FD2" w:rsidP="0083134F">
      <w:pPr>
        <w:numPr>
          <w:ilvl w:val="0"/>
          <w:numId w:val="2"/>
        </w:numPr>
        <w:spacing w:before="120" w:afterLines="120" w:after="288" w:line="288" w:lineRule="auto"/>
        <w:ind w:left="714" w:hanging="357"/>
        <w:contextualSpacing/>
        <w:rPr>
          <w:rFonts w:ascii="Verdana" w:eastAsia="Calibri" w:hAnsi="Verdana" w:cs="Calibri"/>
          <w:szCs w:val="28"/>
          <w:lang w:val="en-NZ"/>
        </w:rPr>
      </w:pPr>
      <w:r w:rsidRPr="004A740C">
        <w:rPr>
          <w:rFonts w:ascii="Verdana" w:eastAsia="Calibri" w:hAnsi="Verdana" w:cs="Calibri"/>
          <w:szCs w:val="28"/>
          <w:lang w:val="en-NZ"/>
        </w:rPr>
        <w:t xml:space="preserve">Te Tiriti o Waitangi entitles Māori, including tāngata whaikaha Māori, to </w:t>
      </w:r>
      <w:r w:rsidR="00BD324D" w:rsidRPr="004A740C">
        <w:rPr>
          <w:rFonts w:ascii="Verdana" w:eastAsia="Calibri" w:hAnsi="Verdana" w:cs="Calibri"/>
          <w:szCs w:val="28"/>
          <w:lang w:val="en-NZ"/>
        </w:rPr>
        <w:t xml:space="preserve">equitable rights and outcomes </w:t>
      </w:r>
      <w:r w:rsidRPr="004A740C">
        <w:rPr>
          <w:rFonts w:ascii="Verdana" w:eastAsia="Calibri" w:hAnsi="Verdana" w:cs="Calibri"/>
          <w:szCs w:val="28"/>
          <w:lang w:val="en-NZ"/>
        </w:rPr>
        <w:t>in Aotearoa. In December 2021, the Waitangi Tribunal found that the Government cannot credibly claim to be ensuring equity for or active protection of tāngata whaikaha Māori</w:t>
      </w:r>
      <w:r w:rsidR="00A57656">
        <w:rPr>
          <w:rFonts w:ascii="Verdana" w:eastAsia="Calibri" w:hAnsi="Verdana" w:cs="Calibri"/>
          <w:szCs w:val="28"/>
          <w:lang w:val="en-NZ"/>
        </w:rPr>
        <w:t>,</w:t>
      </w:r>
      <w:r w:rsidRPr="004A740C">
        <w:rPr>
          <w:rFonts w:ascii="Verdana" w:eastAsia="Calibri" w:hAnsi="Verdana" w:cs="Calibri"/>
          <w:szCs w:val="28"/>
          <w:lang w:val="en-NZ"/>
        </w:rPr>
        <w:t xml:space="preserve"> if it is not able to see these populations in </w:t>
      </w:r>
      <w:r w:rsidR="002B3F90" w:rsidRPr="004A740C">
        <w:rPr>
          <w:rFonts w:ascii="Verdana" w:eastAsia="Calibri" w:hAnsi="Verdana" w:cs="Calibri"/>
          <w:szCs w:val="28"/>
          <w:lang w:val="en-NZ"/>
        </w:rPr>
        <w:t>its</w:t>
      </w:r>
      <w:r w:rsidRPr="004A740C">
        <w:rPr>
          <w:rFonts w:ascii="Verdana" w:eastAsia="Calibri" w:hAnsi="Verdana" w:cs="Calibri"/>
          <w:szCs w:val="28"/>
          <w:lang w:val="en-NZ"/>
        </w:rPr>
        <w:t xml:space="preserve"> datasets. </w:t>
      </w:r>
      <w:r w:rsidR="00A476F0" w:rsidRPr="004A740C">
        <w:rPr>
          <w:rFonts w:ascii="Verdana" w:eastAsia="Calibri" w:hAnsi="Verdana" w:cs="Calibri"/>
          <w:szCs w:val="28"/>
          <w:lang w:val="en-NZ"/>
        </w:rPr>
        <w:t>A</w:t>
      </w:r>
      <w:r w:rsidRPr="004A740C">
        <w:rPr>
          <w:rFonts w:ascii="Verdana" w:eastAsia="Calibri" w:hAnsi="Verdana" w:cs="Calibri"/>
          <w:szCs w:val="28"/>
          <w:lang w:val="en-NZ"/>
        </w:rPr>
        <w:t>gencies</w:t>
      </w:r>
      <w:r w:rsidR="00A476F0" w:rsidRPr="004A740C">
        <w:rPr>
          <w:rFonts w:ascii="Verdana" w:eastAsia="Calibri" w:hAnsi="Verdana" w:cs="Calibri"/>
          <w:szCs w:val="28"/>
          <w:lang w:val="en-NZ"/>
        </w:rPr>
        <w:t>, including Stats NZ,</w:t>
      </w:r>
      <w:r w:rsidRPr="004A740C">
        <w:rPr>
          <w:rFonts w:ascii="Verdana" w:eastAsia="Calibri" w:hAnsi="Verdana" w:cs="Calibri"/>
          <w:szCs w:val="28"/>
          <w:lang w:val="en-NZ"/>
        </w:rPr>
        <w:t xml:space="preserve"> cannot meet their obligations under Te Tiriti o Waitangi</w:t>
      </w:r>
      <w:r w:rsidR="00A476F0" w:rsidRPr="004A740C">
        <w:rPr>
          <w:rFonts w:ascii="Verdana" w:eastAsia="Calibri" w:hAnsi="Verdana" w:cs="Calibri"/>
          <w:szCs w:val="28"/>
          <w:lang w:val="en-NZ"/>
        </w:rPr>
        <w:t xml:space="preserve"> without disaggregated disability data.</w:t>
      </w:r>
    </w:p>
    <w:p w14:paraId="1EC5DB4C" w14:textId="77777777" w:rsidR="0083134F" w:rsidRDefault="0083134F" w:rsidP="004A740C">
      <w:pPr>
        <w:spacing w:before="100" w:beforeAutospacing="1" w:afterLines="120" w:after="288" w:line="288" w:lineRule="auto"/>
        <w:rPr>
          <w:rFonts w:ascii="Verdana" w:eastAsia="Calibri" w:hAnsi="Verdana" w:cs="Calibri"/>
          <w:szCs w:val="28"/>
          <w:lang w:val="en-NZ"/>
        </w:rPr>
      </w:pPr>
    </w:p>
    <w:p w14:paraId="33CE1FA5" w14:textId="6CB2B490" w:rsidR="00F422B2" w:rsidRPr="00F422B2" w:rsidRDefault="00F422B2" w:rsidP="004A740C">
      <w:pPr>
        <w:spacing w:before="100" w:beforeAutospacing="1" w:afterLines="120" w:after="288" w:line="288" w:lineRule="auto"/>
        <w:rPr>
          <w:rFonts w:ascii="Verdana" w:eastAsia="Calibri" w:hAnsi="Verdana" w:cs="Calibri"/>
          <w:szCs w:val="28"/>
          <w:lang w:val="en-NZ"/>
        </w:rPr>
      </w:pPr>
      <w:r w:rsidRPr="00F422B2">
        <w:rPr>
          <w:rFonts w:ascii="Verdana" w:eastAsia="Calibri" w:hAnsi="Verdana" w:cs="Calibri"/>
          <w:szCs w:val="28"/>
          <w:lang w:val="en-NZ"/>
        </w:rPr>
        <w:t xml:space="preserve">The Census is a key data source for monitoring the New Zealand Disability Strategy. </w:t>
      </w:r>
      <w:r w:rsidRPr="002C646E">
        <w:rPr>
          <w:rFonts w:ascii="Verdana" w:eastAsia="Calibri" w:hAnsi="Verdana" w:cs="Calibri"/>
          <w:b/>
          <w:bCs/>
          <w:szCs w:val="28"/>
          <w:lang w:val="en-NZ"/>
        </w:rPr>
        <w:t>Appendix One</w:t>
      </w:r>
      <w:r w:rsidRPr="00F422B2">
        <w:rPr>
          <w:rFonts w:ascii="Verdana" w:eastAsia="Calibri" w:hAnsi="Verdana" w:cs="Calibri"/>
          <w:szCs w:val="28"/>
          <w:lang w:val="en-NZ"/>
        </w:rPr>
        <w:t xml:space="preserve"> includes a table connect</w:t>
      </w:r>
      <w:r w:rsidR="002C646E">
        <w:rPr>
          <w:rFonts w:ascii="Verdana" w:eastAsia="Calibri" w:hAnsi="Verdana" w:cs="Calibri"/>
          <w:szCs w:val="28"/>
          <w:lang w:val="en-NZ"/>
        </w:rPr>
        <w:t>ing</w:t>
      </w:r>
      <w:r w:rsidRPr="00F422B2">
        <w:rPr>
          <w:rFonts w:ascii="Verdana" w:eastAsia="Calibri" w:hAnsi="Verdana" w:cs="Calibri"/>
          <w:szCs w:val="28"/>
          <w:lang w:val="en-NZ"/>
        </w:rPr>
        <w:t xml:space="preserve"> Census data to 5 of the 8 outcome areas in the </w:t>
      </w:r>
      <w:r w:rsidR="00A57656">
        <w:rPr>
          <w:rFonts w:ascii="Verdana" w:eastAsia="Calibri" w:hAnsi="Verdana" w:cs="Calibri"/>
          <w:szCs w:val="28"/>
          <w:lang w:val="en-NZ"/>
        </w:rPr>
        <w:t>S</w:t>
      </w:r>
      <w:r w:rsidRPr="00F422B2">
        <w:rPr>
          <w:rFonts w:ascii="Verdana" w:eastAsia="Calibri" w:hAnsi="Verdana" w:cs="Calibri"/>
          <w:szCs w:val="28"/>
          <w:lang w:val="en-NZ"/>
        </w:rPr>
        <w:t xml:space="preserve">trategy. </w:t>
      </w:r>
      <w:r w:rsidRPr="002C646E">
        <w:rPr>
          <w:rFonts w:ascii="Verdana" w:eastAsia="Calibri" w:hAnsi="Verdana" w:cs="Calibri"/>
          <w:b/>
          <w:bCs/>
          <w:szCs w:val="28"/>
          <w:lang w:val="en-NZ"/>
        </w:rPr>
        <w:t>Appendix Two</w:t>
      </w:r>
      <w:r w:rsidRPr="00F422B2">
        <w:rPr>
          <w:rFonts w:ascii="Verdana" w:eastAsia="Calibri" w:hAnsi="Verdana" w:cs="Calibri"/>
          <w:szCs w:val="28"/>
          <w:lang w:val="en-NZ"/>
        </w:rPr>
        <w:t xml:space="preserve"> includes examples of Census tables that we would like to use to report on specific outcome areas, and that service providers could use to assist their planning and accommodation for the needs of disabled people. </w:t>
      </w:r>
    </w:p>
    <w:p w14:paraId="1D923CE2" w14:textId="1A54BC88" w:rsidR="000B4FD2" w:rsidRPr="002B3F90" w:rsidRDefault="002B3F90"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t>Measuring</w:t>
      </w:r>
      <w:r w:rsidR="000B4FD2" w:rsidRPr="002B3F90">
        <w:rPr>
          <w:rFonts w:ascii="Verdana" w:eastAsia="Calibri" w:hAnsi="Verdana" w:cs="Calibri"/>
          <w:szCs w:val="28"/>
          <w:lang w:val="en-NZ"/>
        </w:rPr>
        <w:t xml:space="preserve"> outcomes for disabled people is challenging, as disability is a diverse and complex concept and disabled populations do not reliably identify themselves as disabled. </w:t>
      </w:r>
      <w:r w:rsidR="005E387A">
        <w:rPr>
          <w:rFonts w:ascii="Verdana" w:eastAsia="Calibri" w:hAnsi="Verdana" w:cs="Calibri"/>
          <w:szCs w:val="28"/>
          <w:lang w:val="en-NZ"/>
        </w:rPr>
        <w:t>Disability is being measured using t</w:t>
      </w:r>
      <w:r w:rsidR="000B4FD2" w:rsidRPr="002B3F90">
        <w:rPr>
          <w:rFonts w:ascii="Verdana" w:eastAsia="Calibri" w:hAnsi="Verdana" w:cs="Calibri"/>
          <w:szCs w:val="28"/>
          <w:lang w:val="en-NZ"/>
        </w:rPr>
        <w:t xml:space="preserve">he WGSS </w:t>
      </w:r>
      <w:r w:rsidR="005E387A">
        <w:rPr>
          <w:rFonts w:ascii="Verdana" w:eastAsia="Calibri" w:hAnsi="Verdana" w:cs="Calibri"/>
          <w:szCs w:val="28"/>
          <w:lang w:val="en-NZ"/>
        </w:rPr>
        <w:t>in</w:t>
      </w:r>
      <w:r w:rsidR="00302648">
        <w:rPr>
          <w:rFonts w:ascii="Verdana" w:eastAsia="Calibri" w:hAnsi="Verdana" w:cs="Calibri"/>
          <w:szCs w:val="28"/>
          <w:lang w:val="en-NZ"/>
        </w:rPr>
        <w:t xml:space="preserve"> </w:t>
      </w:r>
      <w:r w:rsidR="00980192">
        <w:rPr>
          <w:rFonts w:ascii="Verdana" w:eastAsia="Calibri" w:hAnsi="Verdana" w:cs="Calibri"/>
          <w:szCs w:val="28"/>
          <w:lang w:val="en-NZ"/>
        </w:rPr>
        <w:t xml:space="preserve">several surveys </w:t>
      </w:r>
      <w:r w:rsidR="00E55DBB">
        <w:rPr>
          <w:rFonts w:ascii="Verdana" w:eastAsia="Calibri" w:hAnsi="Verdana" w:cs="Calibri"/>
          <w:szCs w:val="28"/>
          <w:lang w:val="en-NZ"/>
        </w:rPr>
        <w:t>across Aotearoa</w:t>
      </w:r>
      <w:r w:rsidR="00322690">
        <w:rPr>
          <w:rFonts w:ascii="Verdana" w:eastAsia="Calibri" w:hAnsi="Verdana" w:cs="Calibri"/>
          <w:szCs w:val="28"/>
          <w:lang w:val="en-NZ"/>
        </w:rPr>
        <w:t>,</w:t>
      </w:r>
      <w:r w:rsidR="00980192">
        <w:rPr>
          <w:rFonts w:ascii="Verdana" w:eastAsia="Calibri" w:hAnsi="Verdana" w:cs="Calibri"/>
          <w:szCs w:val="28"/>
          <w:lang w:val="en-NZ"/>
        </w:rPr>
        <w:t xml:space="preserve"> </w:t>
      </w:r>
      <w:r w:rsidR="00E55DBB">
        <w:rPr>
          <w:rFonts w:ascii="Verdana" w:eastAsia="Calibri" w:hAnsi="Verdana" w:cs="Calibri"/>
          <w:szCs w:val="28"/>
          <w:lang w:val="en-NZ"/>
        </w:rPr>
        <w:t>including</w:t>
      </w:r>
      <w:r w:rsidR="00980192">
        <w:rPr>
          <w:rFonts w:ascii="Verdana" w:eastAsia="Calibri" w:hAnsi="Verdana" w:cs="Calibri"/>
          <w:szCs w:val="28"/>
          <w:lang w:val="en-NZ"/>
        </w:rPr>
        <w:t xml:space="preserve"> </w:t>
      </w:r>
      <w:r w:rsidR="00302648">
        <w:rPr>
          <w:rFonts w:ascii="Verdana" w:eastAsia="Calibri" w:hAnsi="Verdana" w:cs="Calibri"/>
          <w:szCs w:val="28"/>
          <w:lang w:val="en-NZ"/>
        </w:rPr>
        <w:t>the Household Labour Force Survey</w:t>
      </w:r>
      <w:r w:rsidR="00980192">
        <w:rPr>
          <w:rFonts w:ascii="Verdana" w:eastAsia="Calibri" w:hAnsi="Verdana" w:cs="Calibri"/>
          <w:szCs w:val="28"/>
          <w:lang w:val="en-NZ"/>
        </w:rPr>
        <w:t xml:space="preserve"> and the General Social Survey. However,</w:t>
      </w:r>
      <w:r w:rsidR="000B4FD2" w:rsidRPr="002B3F90">
        <w:rPr>
          <w:rFonts w:ascii="Verdana" w:eastAsia="Calibri" w:hAnsi="Verdana" w:cs="Calibri"/>
          <w:szCs w:val="28"/>
          <w:lang w:val="en-NZ"/>
        </w:rPr>
        <w:t xml:space="preserve"> sample sizes are </w:t>
      </w:r>
      <w:r w:rsidR="00BD6CA2" w:rsidRPr="002B3F90">
        <w:rPr>
          <w:rFonts w:ascii="Verdana" w:eastAsia="Calibri" w:hAnsi="Verdana" w:cs="Calibri"/>
          <w:szCs w:val="28"/>
          <w:lang w:val="en-NZ"/>
        </w:rPr>
        <w:t>small,</w:t>
      </w:r>
      <w:r w:rsidR="000B4FD2" w:rsidRPr="002B3F90">
        <w:rPr>
          <w:rFonts w:ascii="Verdana" w:eastAsia="Calibri" w:hAnsi="Verdana" w:cs="Calibri"/>
          <w:szCs w:val="28"/>
          <w:lang w:val="en-NZ"/>
        </w:rPr>
        <w:t xml:space="preserve"> and results cannot be broken down to compare outcomes for equity sub-groups, such as tāngata whaikaha Māori, tagata sa’ilimalo, disabled women, disabled young people, disabled rainbow people</w:t>
      </w:r>
      <w:r w:rsidR="00AB7F26">
        <w:rPr>
          <w:rFonts w:ascii="Verdana" w:eastAsia="Calibri" w:hAnsi="Verdana" w:cs="Calibri"/>
          <w:szCs w:val="28"/>
          <w:lang w:val="en-NZ"/>
        </w:rPr>
        <w:t>,</w:t>
      </w:r>
      <w:r w:rsidR="000B4FD2" w:rsidRPr="002B3F90">
        <w:rPr>
          <w:rFonts w:ascii="Verdana" w:eastAsia="Calibri" w:hAnsi="Verdana" w:cs="Calibri"/>
          <w:szCs w:val="28"/>
          <w:lang w:val="en-NZ"/>
        </w:rPr>
        <w:t xml:space="preserve"> or disabled rural people. These are well-known data gaps that have been raised both by the Waitangi Tribunal and in preparations for New Zealand’s</w:t>
      </w:r>
      <w:r w:rsidR="00046932">
        <w:rPr>
          <w:rFonts w:ascii="Verdana" w:eastAsia="Calibri" w:hAnsi="Verdana" w:cs="Calibri"/>
          <w:szCs w:val="28"/>
          <w:lang w:val="en-NZ"/>
        </w:rPr>
        <w:t xml:space="preserve"> 2022</w:t>
      </w:r>
      <w:r w:rsidR="000B4FD2" w:rsidRPr="002B3F90">
        <w:rPr>
          <w:rFonts w:ascii="Verdana" w:eastAsia="Calibri" w:hAnsi="Verdana" w:cs="Calibri"/>
          <w:szCs w:val="28"/>
          <w:lang w:val="en-NZ"/>
        </w:rPr>
        <w:t xml:space="preserve"> UNCRPD </w:t>
      </w:r>
      <w:r w:rsidRPr="002B3F90">
        <w:rPr>
          <w:rFonts w:ascii="Verdana" w:eastAsia="Calibri" w:hAnsi="Verdana" w:cs="Calibri"/>
          <w:szCs w:val="28"/>
          <w:lang w:val="en-NZ"/>
        </w:rPr>
        <w:t>examination</w:t>
      </w:r>
      <w:r w:rsidR="00A476F0" w:rsidRPr="002B3F90">
        <w:rPr>
          <w:rFonts w:ascii="Verdana" w:eastAsia="Calibri" w:hAnsi="Verdana" w:cs="Calibri"/>
          <w:szCs w:val="28"/>
          <w:lang w:val="en-NZ"/>
        </w:rPr>
        <w:t xml:space="preserve"> in Geneva.</w:t>
      </w:r>
    </w:p>
    <w:p w14:paraId="5EB26688" w14:textId="77777777" w:rsidR="0083134F" w:rsidRDefault="0083134F">
      <w:pPr>
        <w:rPr>
          <w:rFonts w:ascii="Verdana" w:eastAsia="Calibri" w:hAnsi="Verdana" w:cs="Calibri"/>
          <w:szCs w:val="28"/>
          <w:lang w:val="en-NZ"/>
        </w:rPr>
      </w:pPr>
      <w:r>
        <w:rPr>
          <w:rFonts w:ascii="Verdana" w:eastAsia="Calibri" w:hAnsi="Verdana" w:cs="Calibri"/>
          <w:szCs w:val="28"/>
          <w:lang w:val="en-NZ"/>
        </w:rPr>
        <w:br w:type="page"/>
      </w:r>
    </w:p>
    <w:p w14:paraId="394C941D" w14:textId="6E917E97" w:rsidR="005E387A" w:rsidRDefault="000B4FD2" w:rsidP="004A740C">
      <w:pPr>
        <w:spacing w:before="100" w:beforeAutospacing="1" w:afterLines="120" w:after="288" w:line="288" w:lineRule="auto"/>
        <w:rPr>
          <w:rFonts w:ascii="Verdana" w:eastAsia="Calibri" w:hAnsi="Verdana" w:cs="Calibri"/>
          <w:szCs w:val="28"/>
          <w:lang w:val="en-NZ"/>
        </w:rPr>
      </w:pPr>
      <w:r w:rsidRPr="002B3F90">
        <w:rPr>
          <w:rFonts w:ascii="Verdana" w:eastAsia="Calibri" w:hAnsi="Verdana" w:cs="Calibri"/>
          <w:szCs w:val="28"/>
          <w:lang w:val="en-NZ"/>
        </w:rPr>
        <w:lastRenderedPageBreak/>
        <w:t xml:space="preserve">The 2023 Census represents a unique </w:t>
      </w:r>
      <w:r w:rsidR="002B3F90" w:rsidRPr="002B3F90">
        <w:rPr>
          <w:rFonts w:ascii="Verdana" w:eastAsia="Calibri" w:hAnsi="Verdana" w:cs="Calibri"/>
          <w:szCs w:val="28"/>
          <w:lang w:val="en-NZ"/>
        </w:rPr>
        <w:t>opportunity</w:t>
      </w:r>
      <w:r w:rsidRPr="002B3F90">
        <w:rPr>
          <w:rFonts w:ascii="Verdana" w:eastAsia="Calibri" w:hAnsi="Verdana" w:cs="Calibri"/>
          <w:szCs w:val="28"/>
          <w:lang w:val="en-NZ"/>
        </w:rPr>
        <w:t xml:space="preserve"> to mitigate these data gaps as it is the only survey in Aotearoa that has a sample size </w:t>
      </w:r>
      <w:r w:rsidR="00C73687">
        <w:rPr>
          <w:rFonts w:ascii="Verdana" w:eastAsia="Calibri" w:hAnsi="Verdana" w:cs="Calibri"/>
          <w:szCs w:val="28"/>
          <w:lang w:val="en-NZ"/>
        </w:rPr>
        <w:t>large</w:t>
      </w:r>
      <w:r w:rsidRPr="002B3F90">
        <w:rPr>
          <w:rFonts w:ascii="Verdana" w:eastAsia="Calibri" w:hAnsi="Verdana" w:cs="Calibri"/>
          <w:szCs w:val="28"/>
          <w:lang w:val="en-NZ"/>
        </w:rPr>
        <w:t xml:space="preserve"> enough to produce data disaggregated by equity sub-groups of the disabled population. </w:t>
      </w:r>
    </w:p>
    <w:p w14:paraId="19B35D92" w14:textId="6E02D3D3" w:rsidR="00D3597D" w:rsidRPr="002B3F90" w:rsidRDefault="0036556B" w:rsidP="004A740C">
      <w:pPr>
        <w:spacing w:before="100" w:beforeAutospacing="1" w:afterLines="120" w:after="288" w:line="288" w:lineRule="auto"/>
        <w:rPr>
          <w:rFonts w:ascii="Verdana" w:eastAsia="Calibri" w:hAnsi="Verdana" w:cs="Calibri"/>
          <w:szCs w:val="28"/>
          <w:lang w:val="en-NZ"/>
        </w:rPr>
      </w:pPr>
      <w:r>
        <w:rPr>
          <w:rFonts w:ascii="Verdana" w:eastAsia="Calibri" w:hAnsi="Verdana" w:cs="Calibri"/>
          <w:szCs w:val="28"/>
          <w:lang w:val="en-NZ"/>
        </w:rPr>
        <w:t xml:space="preserve">Whaikaha would be happy to meet with </w:t>
      </w:r>
      <w:r w:rsidR="001632EC">
        <w:rPr>
          <w:rFonts w:ascii="Verdana" w:eastAsia="Calibri" w:hAnsi="Verdana" w:cs="Calibri"/>
          <w:szCs w:val="28"/>
          <w:lang w:val="en-NZ"/>
        </w:rPr>
        <w:t xml:space="preserve">and </w:t>
      </w:r>
      <w:r w:rsidR="00322690">
        <w:rPr>
          <w:rFonts w:ascii="Verdana" w:eastAsia="Calibri" w:hAnsi="Verdana" w:cs="Calibri"/>
          <w:szCs w:val="28"/>
          <w:lang w:val="en-NZ"/>
        </w:rPr>
        <w:t>assist</w:t>
      </w:r>
      <w:r w:rsidR="001632EC">
        <w:rPr>
          <w:rFonts w:ascii="Verdana" w:eastAsia="Calibri" w:hAnsi="Verdana" w:cs="Calibri"/>
          <w:szCs w:val="28"/>
          <w:lang w:val="en-NZ"/>
        </w:rPr>
        <w:t xml:space="preserve"> </w:t>
      </w:r>
      <w:r w:rsidR="00CE6451">
        <w:rPr>
          <w:rFonts w:ascii="Verdana" w:eastAsia="Calibri" w:hAnsi="Verdana" w:cs="Calibri"/>
          <w:szCs w:val="28"/>
          <w:lang w:val="en-NZ"/>
        </w:rPr>
        <w:t xml:space="preserve">Stats NZ to partner with the disabled community to inform this process. </w:t>
      </w:r>
      <w:r w:rsidR="001632EC">
        <w:rPr>
          <w:rFonts w:ascii="Verdana" w:eastAsia="Calibri" w:hAnsi="Verdana" w:cs="Calibri"/>
          <w:szCs w:val="28"/>
          <w:lang w:val="en-NZ"/>
        </w:rPr>
        <w:t xml:space="preserve"> </w:t>
      </w:r>
    </w:p>
    <w:p w14:paraId="65E298CF" w14:textId="6C8B178F" w:rsidR="005A0908" w:rsidRPr="002B3F90" w:rsidRDefault="00066EDA">
      <w:pPr>
        <w:rPr>
          <w:rFonts w:ascii="Verdana" w:hAnsi="Verdana"/>
          <w:lang w:val="en-NZ"/>
        </w:rPr>
      </w:pPr>
      <w:r>
        <w:rPr>
          <w:rFonts w:ascii="Verdana" w:hAnsi="Verdana"/>
          <w:lang w:val="en-NZ"/>
        </w:rPr>
        <w:t>This letter has been reviewed and approved by Brian Coffey, Director, Office for Disability Issues and Mark Jacobs, Interim DCE Policy and Partnerships.</w:t>
      </w:r>
      <w:r w:rsidR="00E0387C">
        <w:rPr>
          <w:rFonts w:ascii="Verdana" w:hAnsi="Verdana"/>
          <w:lang w:val="en-NZ"/>
        </w:rPr>
        <w:br/>
      </w:r>
    </w:p>
    <w:p w14:paraId="7E54E52F" w14:textId="77777777" w:rsidR="000028AC" w:rsidRPr="002B3F90" w:rsidRDefault="000028AC">
      <w:pPr>
        <w:rPr>
          <w:rFonts w:ascii="Verdana" w:hAnsi="Verdana"/>
          <w:lang w:val="en-NZ"/>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0387C" w:rsidRPr="002B3F90" w14:paraId="7EEA5EE1" w14:textId="77777777" w:rsidTr="00066EDA">
        <w:tc>
          <w:tcPr>
            <w:tcW w:w="4962" w:type="dxa"/>
          </w:tcPr>
          <w:p w14:paraId="0253C288" w14:textId="001B6CD3" w:rsidR="00E0387C" w:rsidRPr="002B3F90" w:rsidRDefault="00066EDA" w:rsidP="00483F76">
            <w:pPr>
              <w:rPr>
                <w:rFonts w:ascii="Verdana" w:hAnsi="Verdana"/>
                <w:lang w:val="en-NZ"/>
              </w:rPr>
            </w:pPr>
            <w:r>
              <w:rPr>
                <w:rFonts w:ascii="Verdana" w:hAnsi="Verdana"/>
                <w:lang w:val="en-NZ"/>
              </w:rPr>
              <w:t>Adam Dalgleish</w:t>
            </w:r>
          </w:p>
          <w:p w14:paraId="625A7CE6" w14:textId="002C50BB" w:rsidR="00E0387C" w:rsidRDefault="00066EDA" w:rsidP="00483F76">
            <w:pPr>
              <w:rPr>
                <w:rFonts w:ascii="Verdana" w:hAnsi="Verdana"/>
                <w:b/>
                <w:bCs/>
                <w:lang w:val="en-NZ"/>
              </w:rPr>
            </w:pPr>
            <w:r>
              <w:rPr>
                <w:rFonts w:ascii="Verdana" w:hAnsi="Verdana"/>
                <w:b/>
                <w:bCs/>
                <w:lang w:val="en-NZ"/>
              </w:rPr>
              <w:t>Senior Policy Analyst</w:t>
            </w:r>
          </w:p>
          <w:p w14:paraId="3F21BB06" w14:textId="01B70F47" w:rsidR="00066EDA" w:rsidRPr="002B3F90" w:rsidRDefault="00066EDA" w:rsidP="00483F76">
            <w:pPr>
              <w:rPr>
                <w:rFonts w:ascii="Verdana" w:hAnsi="Verdana"/>
                <w:b/>
                <w:bCs/>
                <w:lang w:val="en-NZ"/>
              </w:rPr>
            </w:pPr>
            <w:r>
              <w:rPr>
                <w:rFonts w:ascii="Verdana" w:hAnsi="Verdana"/>
                <w:b/>
                <w:bCs/>
                <w:lang w:val="en-NZ"/>
              </w:rPr>
              <w:t>Disability Policy Team</w:t>
            </w:r>
          </w:p>
          <w:p w14:paraId="447664D0" w14:textId="0FA645EB" w:rsidR="00E0387C" w:rsidRPr="002B3F90" w:rsidRDefault="00E0387C" w:rsidP="00483F76">
            <w:pPr>
              <w:rPr>
                <w:rFonts w:ascii="Verdana" w:hAnsi="Verdana"/>
                <w:b/>
                <w:bCs/>
                <w:lang w:val="en-NZ"/>
              </w:rPr>
            </w:pPr>
            <w:r w:rsidRPr="002B3F90">
              <w:rPr>
                <w:rFonts w:ascii="Verdana" w:hAnsi="Verdana"/>
                <w:b/>
                <w:bCs/>
                <w:lang w:val="en-NZ"/>
              </w:rPr>
              <w:t xml:space="preserve">Whaikaha – </w:t>
            </w:r>
            <w:r w:rsidR="00066EDA">
              <w:rPr>
                <w:rFonts w:ascii="Verdana" w:hAnsi="Verdana"/>
                <w:b/>
                <w:bCs/>
                <w:lang w:val="en-NZ"/>
              </w:rPr>
              <w:br/>
            </w:r>
            <w:r w:rsidRPr="002B3F90">
              <w:rPr>
                <w:rFonts w:ascii="Verdana" w:hAnsi="Verdana"/>
                <w:b/>
                <w:bCs/>
                <w:lang w:val="en-NZ"/>
              </w:rPr>
              <w:t>Ministry of Disabled People</w:t>
            </w:r>
          </w:p>
        </w:tc>
        <w:tc>
          <w:tcPr>
            <w:tcW w:w="5103" w:type="dxa"/>
          </w:tcPr>
          <w:p w14:paraId="0061A8F0" w14:textId="2270828F" w:rsidR="00E0387C" w:rsidRPr="002B3F90" w:rsidRDefault="00066EDA" w:rsidP="00483F76">
            <w:pPr>
              <w:rPr>
                <w:rFonts w:ascii="Verdana" w:hAnsi="Verdana"/>
                <w:lang w:val="en-NZ"/>
              </w:rPr>
            </w:pPr>
            <w:r>
              <w:rPr>
                <w:rFonts w:ascii="Verdana" w:hAnsi="Verdana"/>
                <w:lang w:val="en-NZ"/>
              </w:rPr>
              <w:t>Michelle Gezentsvey</w:t>
            </w:r>
          </w:p>
          <w:p w14:paraId="3D9ABD87" w14:textId="456F9F0E" w:rsidR="00E0387C" w:rsidRPr="002B3F90" w:rsidRDefault="00066EDA" w:rsidP="00483F76">
            <w:pPr>
              <w:rPr>
                <w:rFonts w:ascii="Verdana" w:hAnsi="Verdana"/>
                <w:b/>
                <w:bCs/>
                <w:lang w:val="en-NZ"/>
              </w:rPr>
            </w:pPr>
            <w:r>
              <w:rPr>
                <w:rFonts w:ascii="Verdana" w:hAnsi="Verdana"/>
                <w:b/>
                <w:bCs/>
                <w:lang w:val="en-NZ"/>
              </w:rPr>
              <w:t>Senior Analyst, Data and Reporting</w:t>
            </w:r>
          </w:p>
          <w:p w14:paraId="01C7E48D" w14:textId="77777777" w:rsidR="00E0387C" w:rsidRDefault="00E0387C" w:rsidP="00483F76">
            <w:pPr>
              <w:rPr>
                <w:rFonts w:ascii="Verdana" w:hAnsi="Verdana"/>
                <w:b/>
                <w:bCs/>
                <w:lang w:val="en-NZ"/>
              </w:rPr>
            </w:pPr>
            <w:r w:rsidRPr="002B3F90">
              <w:rPr>
                <w:rFonts w:ascii="Verdana" w:hAnsi="Verdana"/>
                <w:b/>
                <w:bCs/>
                <w:lang w:val="en-NZ"/>
              </w:rPr>
              <w:t>Office for Disability Issues</w:t>
            </w:r>
          </w:p>
          <w:p w14:paraId="7465C2AD" w14:textId="78D5055C" w:rsidR="00066EDA" w:rsidRPr="002B3F90" w:rsidRDefault="00066EDA" w:rsidP="00483F76">
            <w:pPr>
              <w:rPr>
                <w:rFonts w:ascii="Verdana" w:hAnsi="Verdana"/>
                <w:b/>
                <w:bCs/>
                <w:lang w:val="en-NZ"/>
              </w:rPr>
            </w:pPr>
            <w:r>
              <w:rPr>
                <w:rFonts w:ascii="Verdana" w:hAnsi="Verdana"/>
                <w:b/>
                <w:bCs/>
                <w:lang w:val="en-NZ"/>
              </w:rPr>
              <w:t xml:space="preserve">Whaikaha – </w:t>
            </w:r>
            <w:r>
              <w:rPr>
                <w:rFonts w:ascii="Verdana" w:hAnsi="Verdana"/>
                <w:b/>
                <w:bCs/>
                <w:lang w:val="en-NZ"/>
              </w:rPr>
              <w:br/>
              <w:t>Ministry of Disabled People</w:t>
            </w:r>
          </w:p>
        </w:tc>
      </w:tr>
    </w:tbl>
    <w:p w14:paraId="09E54E01" w14:textId="32D9BADE" w:rsidR="00A83363" w:rsidRPr="002B3F90" w:rsidRDefault="00A83363">
      <w:pPr>
        <w:rPr>
          <w:rFonts w:ascii="Verdana" w:hAnsi="Verdana"/>
          <w:lang w:val="en-NZ"/>
        </w:rPr>
      </w:pPr>
      <w:r w:rsidRPr="002B3F90">
        <w:rPr>
          <w:rFonts w:ascii="Verdana" w:hAnsi="Verdana"/>
          <w:lang w:val="en-NZ"/>
        </w:rPr>
        <w:br w:type="page"/>
      </w:r>
    </w:p>
    <w:p w14:paraId="3BEB51BF" w14:textId="77777777" w:rsidR="00A83363" w:rsidRPr="002B3F90" w:rsidRDefault="00A83363" w:rsidP="00A83363">
      <w:pPr>
        <w:jc w:val="center"/>
        <w:rPr>
          <w:rFonts w:ascii="Verdana" w:hAnsi="Verdana" w:cstheme="minorHAnsi"/>
          <w:b/>
          <w:bCs/>
          <w:szCs w:val="28"/>
          <w:lang w:val="en-NZ"/>
        </w:rPr>
      </w:pPr>
    </w:p>
    <w:p w14:paraId="67E8784C" w14:textId="78F04232" w:rsidR="00A83363" w:rsidRPr="002B3F90" w:rsidRDefault="00A83363" w:rsidP="00A83363">
      <w:pPr>
        <w:jc w:val="center"/>
        <w:rPr>
          <w:rFonts w:ascii="Verdana" w:hAnsi="Verdana" w:cstheme="minorHAnsi"/>
          <w:b/>
          <w:bCs/>
          <w:szCs w:val="28"/>
          <w:lang w:val="en-NZ"/>
        </w:rPr>
      </w:pPr>
      <w:r w:rsidRPr="002B3F90">
        <w:rPr>
          <w:rFonts w:ascii="Verdana" w:hAnsi="Verdana" w:cstheme="minorHAnsi"/>
          <w:b/>
          <w:bCs/>
          <w:szCs w:val="28"/>
          <w:lang w:val="en-NZ"/>
        </w:rPr>
        <w:t xml:space="preserve">Appendix One: High-Level </w:t>
      </w:r>
      <w:proofErr w:type="spellStart"/>
      <w:r w:rsidRPr="002B3F90">
        <w:rPr>
          <w:rFonts w:ascii="Verdana" w:hAnsi="Verdana" w:cstheme="minorHAnsi"/>
          <w:b/>
          <w:bCs/>
          <w:szCs w:val="28"/>
          <w:lang w:val="en-NZ"/>
        </w:rPr>
        <w:t>NZ.Stat</w:t>
      </w:r>
      <w:proofErr w:type="spellEnd"/>
      <w:r w:rsidRPr="002B3F90">
        <w:rPr>
          <w:rFonts w:ascii="Verdana" w:hAnsi="Verdana" w:cstheme="minorHAnsi"/>
          <w:b/>
          <w:bCs/>
          <w:szCs w:val="28"/>
          <w:lang w:val="en-NZ"/>
        </w:rPr>
        <w:t xml:space="preserve"> Disability Data Use Cases</w:t>
      </w:r>
    </w:p>
    <w:p w14:paraId="014F2D9E" w14:textId="3840F770" w:rsidR="008F7081" w:rsidRDefault="008F7081" w:rsidP="00AB711F">
      <w:pPr>
        <w:rPr>
          <w:rFonts w:cstheme="minorHAnsi"/>
          <w:szCs w:val="28"/>
        </w:rPr>
      </w:pPr>
    </w:p>
    <w:p w14:paraId="4ADC1AA7" w14:textId="7D853824" w:rsidR="00FC6689" w:rsidRDefault="00123BD4" w:rsidP="00AB711F">
      <w:pPr>
        <w:rPr>
          <w:rFonts w:ascii="Verdana" w:hAnsi="Verdana" w:cstheme="minorHAnsi"/>
          <w:szCs w:val="28"/>
        </w:rPr>
      </w:pPr>
      <w:r>
        <w:rPr>
          <w:rFonts w:ascii="Verdana" w:hAnsi="Verdana" w:cstheme="minorHAnsi"/>
          <w:szCs w:val="28"/>
        </w:rPr>
        <w:t xml:space="preserve">Whaikaha and the Office for Disability Issues expect </w:t>
      </w:r>
      <w:r w:rsidR="0026641E">
        <w:rPr>
          <w:rFonts w:ascii="Verdana" w:hAnsi="Verdana" w:cstheme="minorHAnsi"/>
          <w:szCs w:val="28"/>
        </w:rPr>
        <w:t xml:space="preserve">that </w:t>
      </w:r>
      <w:r w:rsidR="00F944E3">
        <w:rPr>
          <w:rFonts w:ascii="Verdana" w:hAnsi="Verdana" w:cstheme="minorHAnsi"/>
          <w:szCs w:val="28"/>
        </w:rPr>
        <w:t>w</w:t>
      </w:r>
      <w:r w:rsidR="005717D8">
        <w:rPr>
          <w:rFonts w:ascii="Verdana" w:hAnsi="Verdana" w:cstheme="minorHAnsi"/>
          <w:szCs w:val="28"/>
        </w:rPr>
        <w:t xml:space="preserve">e, </w:t>
      </w:r>
      <w:r w:rsidR="005B43A7">
        <w:rPr>
          <w:rFonts w:ascii="Verdana" w:hAnsi="Verdana" w:cstheme="minorHAnsi"/>
          <w:szCs w:val="28"/>
        </w:rPr>
        <w:t xml:space="preserve">together with </w:t>
      </w:r>
      <w:r w:rsidR="001715ED">
        <w:rPr>
          <w:rFonts w:ascii="Verdana" w:hAnsi="Verdana" w:cstheme="minorHAnsi"/>
          <w:szCs w:val="28"/>
        </w:rPr>
        <w:t>g</w:t>
      </w:r>
      <w:r w:rsidR="005B43A7">
        <w:rPr>
          <w:rFonts w:ascii="Verdana" w:hAnsi="Verdana" w:cstheme="minorHAnsi"/>
          <w:szCs w:val="28"/>
        </w:rPr>
        <w:t xml:space="preserve">overnment colleagues and </w:t>
      </w:r>
      <w:r w:rsidR="0061763E">
        <w:rPr>
          <w:rFonts w:ascii="Verdana" w:hAnsi="Verdana" w:cstheme="minorHAnsi"/>
          <w:szCs w:val="28"/>
        </w:rPr>
        <w:t>those in research institutes across the motu</w:t>
      </w:r>
      <w:r w:rsidR="001715ED">
        <w:rPr>
          <w:rFonts w:ascii="Verdana" w:hAnsi="Verdana" w:cstheme="minorHAnsi"/>
          <w:szCs w:val="28"/>
        </w:rPr>
        <w:t>,</w:t>
      </w:r>
      <w:r w:rsidR="0061763E">
        <w:rPr>
          <w:rFonts w:ascii="Verdana" w:hAnsi="Verdana" w:cstheme="minorHAnsi"/>
          <w:szCs w:val="28"/>
        </w:rPr>
        <w:t xml:space="preserve"> </w:t>
      </w:r>
      <w:r w:rsidR="00F87545">
        <w:rPr>
          <w:rFonts w:ascii="Verdana" w:hAnsi="Verdana" w:cstheme="minorHAnsi"/>
          <w:szCs w:val="28"/>
        </w:rPr>
        <w:t>can</w:t>
      </w:r>
      <w:r>
        <w:rPr>
          <w:rFonts w:ascii="Verdana" w:hAnsi="Verdana" w:cstheme="minorHAnsi"/>
          <w:szCs w:val="28"/>
        </w:rPr>
        <w:t xml:space="preserve"> access </w:t>
      </w:r>
      <w:r w:rsidR="0010432B">
        <w:rPr>
          <w:rFonts w:ascii="Verdana" w:hAnsi="Verdana" w:cstheme="minorHAnsi"/>
          <w:szCs w:val="28"/>
        </w:rPr>
        <w:t xml:space="preserve">publicly available </w:t>
      </w:r>
      <w:r w:rsidR="00386786">
        <w:rPr>
          <w:rFonts w:ascii="Verdana" w:hAnsi="Verdana" w:cstheme="minorHAnsi"/>
          <w:szCs w:val="28"/>
        </w:rPr>
        <w:t xml:space="preserve">tables from the 2023 Census to </w:t>
      </w:r>
      <w:r w:rsidR="00F074C6">
        <w:rPr>
          <w:rFonts w:ascii="Verdana" w:hAnsi="Verdana" w:cstheme="minorHAnsi"/>
          <w:szCs w:val="28"/>
        </w:rPr>
        <w:t xml:space="preserve">bolster reporting on </w:t>
      </w:r>
      <w:r w:rsidR="00103A07">
        <w:rPr>
          <w:rFonts w:ascii="Verdana" w:hAnsi="Verdana" w:cstheme="minorHAnsi"/>
          <w:szCs w:val="28"/>
        </w:rPr>
        <w:t>4 out of</w:t>
      </w:r>
      <w:r w:rsidR="00F074C6">
        <w:rPr>
          <w:rFonts w:ascii="Verdana" w:hAnsi="Verdana" w:cstheme="minorHAnsi"/>
          <w:szCs w:val="28"/>
        </w:rPr>
        <w:t xml:space="preserve"> 8 outcome areas of the New Zealand Disability Strategy</w:t>
      </w:r>
      <w:r w:rsidR="00BB0228">
        <w:rPr>
          <w:rFonts w:ascii="Verdana" w:hAnsi="Verdana" w:cstheme="minorHAnsi"/>
          <w:szCs w:val="28"/>
        </w:rPr>
        <w:t xml:space="preserve"> (2019-2023)</w:t>
      </w:r>
      <w:r w:rsidR="00D91939">
        <w:rPr>
          <w:rFonts w:ascii="Verdana" w:hAnsi="Verdana" w:cstheme="minorHAnsi"/>
          <w:szCs w:val="28"/>
        </w:rPr>
        <w:t xml:space="preserve"> to answer the question:</w:t>
      </w:r>
    </w:p>
    <w:p w14:paraId="60FBD38D" w14:textId="4D087E75" w:rsidR="00D91939" w:rsidRPr="000726EC" w:rsidRDefault="00D91939" w:rsidP="00466EC8">
      <w:pPr>
        <w:spacing w:before="120"/>
        <w:ind w:left="720"/>
        <w:rPr>
          <w:rFonts w:ascii="Verdana" w:hAnsi="Verdana" w:cstheme="minorHAnsi"/>
          <w:i/>
          <w:iCs/>
          <w:szCs w:val="28"/>
        </w:rPr>
      </w:pPr>
      <w:r w:rsidRPr="000726EC">
        <w:rPr>
          <w:rFonts w:ascii="Verdana" w:hAnsi="Verdana" w:cstheme="minorHAnsi"/>
          <w:i/>
          <w:iCs/>
          <w:szCs w:val="28"/>
        </w:rPr>
        <w:t>Is New Zealand a non-disabling society</w:t>
      </w:r>
      <w:r w:rsidR="00C6244B" w:rsidRPr="000726EC">
        <w:rPr>
          <w:rFonts w:ascii="Verdana" w:hAnsi="Verdana" w:cstheme="minorHAnsi"/>
          <w:i/>
          <w:iCs/>
          <w:szCs w:val="28"/>
        </w:rPr>
        <w:t xml:space="preserve"> – a place where disabled </w:t>
      </w:r>
      <w:r w:rsidR="00226649" w:rsidRPr="000726EC">
        <w:rPr>
          <w:rFonts w:ascii="Verdana" w:hAnsi="Verdana" w:cstheme="minorHAnsi"/>
          <w:i/>
          <w:iCs/>
          <w:szCs w:val="28"/>
        </w:rPr>
        <w:t>people have an equal opportunity</w:t>
      </w:r>
      <w:r w:rsidR="00D163AC" w:rsidRPr="000726EC">
        <w:rPr>
          <w:rFonts w:ascii="Verdana" w:hAnsi="Verdana" w:cstheme="minorHAnsi"/>
          <w:i/>
          <w:iCs/>
          <w:szCs w:val="28"/>
        </w:rPr>
        <w:t xml:space="preserve"> to achieve their goals and aspirations</w:t>
      </w:r>
      <w:r w:rsidR="00466EC8">
        <w:rPr>
          <w:rFonts w:ascii="Verdana" w:hAnsi="Verdana" w:cstheme="minorHAnsi"/>
          <w:i/>
          <w:iCs/>
          <w:szCs w:val="28"/>
        </w:rPr>
        <w:t>?</w:t>
      </w:r>
    </w:p>
    <w:p w14:paraId="55F62DF6" w14:textId="77777777" w:rsidR="00D91939" w:rsidRPr="00C6244B" w:rsidRDefault="00D91939" w:rsidP="00AB711F">
      <w:pPr>
        <w:rPr>
          <w:rFonts w:ascii="Verdana" w:hAnsi="Verdana" w:cstheme="minorHAnsi"/>
          <w:szCs w:val="28"/>
          <w:lang w:val="en-NZ"/>
        </w:rPr>
      </w:pPr>
    </w:p>
    <w:p w14:paraId="310F79EE" w14:textId="32884909" w:rsidR="003A1F89" w:rsidRDefault="003A1F89" w:rsidP="003A1F89">
      <w:pPr>
        <w:rPr>
          <w:rFonts w:ascii="Verdana" w:hAnsi="Verdana" w:cstheme="minorHAnsi"/>
          <w:szCs w:val="28"/>
        </w:rPr>
      </w:pPr>
      <w:r>
        <w:rPr>
          <w:rFonts w:ascii="Verdana" w:hAnsi="Verdana" w:cstheme="minorHAnsi"/>
          <w:szCs w:val="28"/>
        </w:rPr>
        <w:t xml:space="preserve">We will also be looking at </w:t>
      </w:r>
      <w:r w:rsidR="00F5119F">
        <w:rPr>
          <w:rFonts w:ascii="Verdana" w:hAnsi="Verdana" w:cstheme="minorHAnsi"/>
          <w:szCs w:val="28"/>
        </w:rPr>
        <w:t xml:space="preserve">differences in </w:t>
      </w:r>
      <w:r>
        <w:rPr>
          <w:rFonts w:ascii="Verdana" w:hAnsi="Verdana" w:cstheme="minorHAnsi"/>
          <w:szCs w:val="28"/>
        </w:rPr>
        <w:t xml:space="preserve">outcomes among </w:t>
      </w:r>
      <w:r w:rsidRPr="008864BB">
        <w:rPr>
          <w:rFonts w:ascii="Verdana" w:hAnsi="Verdana" w:cstheme="minorHAnsi"/>
          <w:szCs w:val="28"/>
        </w:rPr>
        <w:t xml:space="preserve">sub-populations </w:t>
      </w:r>
      <w:r>
        <w:rPr>
          <w:rFonts w:ascii="Verdana" w:hAnsi="Verdana" w:cstheme="minorHAnsi"/>
          <w:szCs w:val="28"/>
        </w:rPr>
        <w:t xml:space="preserve">such as </w:t>
      </w:r>
      <w:r w:rsidRPr="008864BB">
        <w:rPr>
          <w:rFonts w:ascii="Verdana" w:hAnsi="Verdana" w:cstheme="minorHAnsi"/>
          <w:szCs w:val="28"/>
        </w:rPr>
        <w:t>tāngata whaikaha Māori, tagata sa’ilimalo, disabled women, disabled young</w:t>
      </w:r>
      <w:r w:rsidR="00AA752A">
        <w:rPr>
          <w:rFonts w:ascii="Verdana" w:hAnsi="Verdana" w:cstheme="minorHAnsi"/>
          <w:szCs w:val="28"/>
        </w:rPr>
        <w:t xml:space="preserve"> and</w:t>
      </w:r>
      <w:r w:rsidRPr="008864BB">
        <w:rPr>
          <w:rFonts w:ascii="Verdana" w:hAnsi="Verdana" w:cstheme="minorHAnsi"/>
          <w:szCs w:val="28"/>
        </w:rPr>
        <w:t xml:space="preserve"> older people, rainbow disabled people and rural disabled people.</w:t>
      </w:r>
    </w:p>
    <w:p w14:paraId="39C56525" w14:textId="77777777" w:rsidR="00F03CD8" w:rsidRDefault="00F03CD8" w:rsidP="00AB711F">
      <w:pPr>
        <w:rPr>
          <w:rFonts w:ascii="Verdana" w:hAnsi="Verdana" w:cstheme="minorHAnsi"/>
          <w:szCs w:val="28"/>
        </w:rPr>
      </w:pPr>
    </w:p>
    <w:tbl>
      <w:tblPr>
        <w:tblStyle w:val="TableGrid"/>
        <w:tblW w:w="0" w:type="auto"/>
        <w:tblInd w:w="-431" w:type="dxa"/>
        <w:tblLook w:val="04A0" w:firstRow="1" w:lastRow="0" w:firstColumn="1" w:lastColumn="0" w:noHBand="0" w:noVBand="1"/>
      </w:tblPr>
      <w:tblGrid>
        <w:gridCol w:w="3433"/>
        <w:gridCol w:w="6769"/>
      </w:tblGrid>
      <w:tr w:rsidR="00DC18BF" w14:paraId="1FB58A5E" w14:textId="77777777" w:rsidTr="00D57F83">
        <w:tc>
          <w:tcPr>
            <w:tcW w:w="3433" w:type="dxa"/>
          </w:tcPr>
          <w:p w14:paraId="167F3E56" w14:textId="517E7C56" w:rsidR="00DC18BF" w:rsidRPr="00DC18BF" w:rsidRDefault="00DC18BF" w:rsidP="00FB0C0F">
            <w:pPr>
              <w:spacing w:line="480" w:lineRule="auto"/>
              <w:jc w:val="center"/>
              <w:rPr>
                <w:rFonts w:ascii="Verdana" w:hAnsi="Verdana" w:cstheme="minorHAnsi"/>
                <w:b/>
                <w:bCs/>
                <w:szCs w:val="28"/>
              </w:rPr>
            </w:pPr>
            <w:r w:rsidRPr="00DC18BF">
              <w:rPr>
                <w:rFonts w:ascii="Verdana" w:hAnsi="Verdana" w:cstheme="minorHAnsi"/>
                <w:b/>
                <w:bCs/>
                <w:szCs w:val="28"/>
              </w:rPr>
              <w:t>NZ Disability Strategy</w:t>
            </w:r>
          </w:p>
        </w:tc>
        <w:tc>
          <w:tcPr>
            <w:tcW w:w="6769" w:type="dxa"/>
          </w:tcPr>
          <w:p w14:paraId="2A8732D3" w14:textId="0F4B242A" w:rsidR="00DC18BF" w:rsidRPr="00DC18BF" w:rsidRDefault="00DC18BF" w:rsidP="00FB0C0F">
            <w:pPr>
              <w:spacing w:line="480" w:lineRule="auto"/>
              <w:jc w:val="center"/>
              <w:rPr>
                <w:rFonts w:ascii="Verdana" w:hAnsi="Verdana" w:cstheme="minorHAnsi"/>
                <w:b/>
                <w:bCs/>
                <w:szCs w:val="28"/>
              </w:rPr>
            </w:pPr>
            <w:r w:rsidRPr="00DC18BF">
              <w:rPr>
                <w:rFonts w:ascii="Verdana" w:hAnsi="Verdana" w:cstheme="minorHAnsi"/>
                <w:b/>
                <w:bCs/>
                <w:szCs w:val="28"/>
              </w:rPr>
              <w:t>Data sources</w:t>
            </w:r>
            <w:r w:rsidR="00FB5738">
              <w:rPr>
                <w:rFonts w:ascii="Verdana" w:hAnsi="Verdana" w:cstheme="minorHAnsi"/>
                <w:b/>
                <w:bCs/>
                <w:szCs w:val="28"/>
              </w:rPr>
              <w:t xml:space="preserve"> for reporting on outcomes</w:t>
            </w:r>
          </w:p>
        </w:tc>
      </w:tr>
      <w:tr w:rsidR="007148CD" w14:paraId="072D411F" w14:textId="77777777" w:rsidTr="00D57F83">
        <w:tc>
          <w:tcPr>
            <w:tcW w:w="3433" w:type="dxa"/>
          </w:tcPr>
          <w:p w14:paraId="1C0C047E" w14:textId="507C888C" w:rsidR="007148CD" w:rsidRDefault="007148CD" w:rsidP="00AB711F">
            <w:pPr>
              <w:rPr>
                <w:rFonts w:ascii="Verdana" w:hAnsi="Verdana" w:cstheme="minorHAnsi"/>
                <w:szCs w:val="28"/>
              </w:rPr>
            </w:pPr>
            <w:r>
              <w:rPr>
                <w:rFonts w:ascii="Verdana" w:hAnsi="Verdana" w:cstheme="minorHAnsi"/>
                <w:szCs w:val="28"/>
              </w:rPr>
              <w:t>Outcome 1: Education</w:t>
            </w:r>
          </w:p>
        </w:tc>
        <w:tc>
          <w:tcPr>
            <w:tcW w:w="6769" w:type="dxa"/>
          </w:tcPr>
          <w:p w14:paraId="141510AC" w14:textId="71675956" w:rsidR="007148CD" w:rsidRDefault="005D01D6" w:rsidP="00AB711F">
            <w:pPr>
              <w:rPr>
                <w:rFonts w:ascii="Verdana" w:hAnsi="Verdana" w:cstheme="minorHAnsi"/>
                <w:szCs w:val="28"/>
              </w:rPr>
            </w:pPr>
            <w:r>
              <w:rPr>
                <w:rFonts w:ascii="Verdana" w:hAnsi="Verdana" w:cstheme="minorHAnsi"/>
                <w:szCs w:val="28"/>
              </w:rPr>
              <w:t xml:space="preserve">Ministry of Education Administrative Data, Disability Survey, </w:t>
            </w:r>
            <w:r w:rsidR="00860F8C">
              <w:rPr>
                <w:rFonts w:ascii="Verdana" w:hAnsi="Verdana" w:cstheme="minorHAnsi"/>
                <w:szCs w:val="28"/>
              </w:rPr>
              <w:t>NZCER, Household Labour Force Survey</w:t>
            </w:r>
            <w:r w:rsidR="003C1ABB">
              <w:rPr>
                <w:rFonts w:ascii="Verdana" w:hAnsi="Verdana" w:cstheme="minorHAnsi"/>
                <w:szCs w:val="28"/>
              </w:rPr>
              <w:t>, Youth 2000,</w:t>
            </w:r>
            <w:r w:rsidR="0028687D">
              <w:rPr>
                <w:rFonts w:ascii="Verdana" w:hAnsi="Verdana" w:cstheme="minorHAnsi"/>
                <w:szCs w:val="28"/>
              </w:rPr>
              <w:t xml:space="preserve"> General Social Survey,</w:t>
            </w:r>
            <w:r w:rsidR="00F557B3">
              <w:rPr>
                <w:rFonts w:ascii="Verdana" w:hAnsi="Verdana" w:cstheme="minorHAnsi"/>
                <w:szCs w:val="28"/>
              </w:rPr>
              <w:t xml:space="preserve"> </w:t>
            </w:r>
            <w:r w:rsidR="00F557B3" w:rsidRPr="00FB0C0F">
              <w:rPr>
                <w:rFonts w:ascii="Verdana" w:hAnsi="Verdana" w:cstheme="minorHAnsi"/>
                <w:b/>
                <w:bCs/>
                <w:szCs w:val="28"/>
              </w:rPr>
              <w:t xml:space="preserve">Census </w:t>
            </w:r>
            <w:r w:rsidR="004604F0" w:rsidRPr="00FB0C0F">
              <w:rPr>
                <w:rFonts w:ascii="Verdana" w:hAnsi="Verdana" w:cstheme="minorHAnsi"/>
                <w:b/>
                <w:bCs/>
                <w:szCs w:val="28"/>
              </w:rPr>
              <w:t>2023</w:t>
            </w:r>
            <w:r w:rsidR="00ED2B7C" w:rsidRPr="00FB0C0F">
              <w:rPr>
                <w:rFonts w:ascii="Verdana" w:hAnsi="Verdana" w:cstheme="minorHAnsi"/>
                <w:b/>
                <w:bCs/>
                <w:szCs w:val="28"/>
              </w:rPr>
              <w:t>,</w:t>
            </w:r>
            <w:r w:rsidR="004604F0">
              <w:rPr>
                <w:rFonts w:ascii="Verdana" w:hAnsi="Verdana" w:cstheme="minorHAnsi"/>
                <w:szCs w:val="28"/>
              </w:rPr>
              <w:t xml:space="preserve"> Disability Survey 2023</w:t>
            </w:r>
            <w:r w:rsidR="00ED2B7C">
              <w:rPr>
                <w:rFonts w:ascii="Verdana" w:hAnsi="Verdana" w:cstheme="minorHAnsi"/>
                <w:szCs w:val="28"/>
              </w:rPr>
              <w:t>,</w:t>
            </w:r>
            <w:r w:rsidR="004604F0">
              <w:rPr>
                <w:rFonts w:ascii="Verdana" w:hAnsi="Verdana" w:cstheme="minorHAnsi"/>
                <w:szCs w:val="28"/>
              </w:rPr>
              <w:t xml:space="preserve"> Te Kupenga 202</w:t>
            </w:r>
            <w:r w:rsidR="000C76E8">
              <w:rPr>
                <w:rFonts w:ascii="Verdana" w:hAnsi="Verdana" w:cstheme="minorHAnsi"/>
                <w:szCs w:val="28"/>
              </w:rPr>
              <w:t>8</w:t>
            </w:r>
          </w:p>
        </w:tc>
      </w:tr>
      <w:tr w:rsidR="007148CD" w14:paraId="546CE58D" w14:textId="77777777" w:rsidTr="00D57F83">
        <w:tc>
          <w:tcPr>
            <w:tcW w:w="3433" w:type="dxa"/>
          </w:tcPr>
          <w:p w14:paraId="6E28034C" w14:textId="7C6E2D0D" w:rsidR="007148CD" w:rsidRDefault="007148CD" w:rsidP="00AB711F">
            <w:pPr>
              <w:rPr>
                <w:rFonts w:ascii="Verdana" w:hAnsi="Verdana" w:cstheme="minorHAnsi"/>
                <w:szCs w:val="28"/>
              </w:rPr>
            </w:pPr>
            <w:r>
              <w:rPr>
                <w:rFonts w:ascii="Verdana" w:hAnsi="Verdana" w:cstheme="minorHAnsi"/>
                <w:szCs w:val="28"/>
              </w:rPr>
              <w:t>Outcome 2:</w:t>
            </w:r>
            <w:r w:rsidR="0087552D">
              <w:rPr>
                <w:rFonts w:ascii="Verdana" w:hAnsi="Verdana" w:cstheme="minorHAnsi"/>
                <w:szCs w:val="28"/>
              </w:rPr>
              <w:t xml:space="preserve"> Employment and Economic Security</w:t>
            </w:r>
          </w:p>
        </w:tc>
        <w:tc>
          <w:tcPr>
            <w:tcW w:w="6769" w:type="dxa"/>
          </w:tcPr>
          <w:p w14:paraId="10136DED" w14:textId="5D1C2B73" w:rsidR="007148CD" w:rsidRDefault="00C7491B" w:rsidP="00AB711F">
            <w:pPr>
              <w:rPr>
                <w:rFonts w:ascii="Verdana" w:hAnsi="Verdana" w:cstheme="minorHAnsi"/>
                <w:szCs w:val="28"/>
              </w:rPr>
            </w:pPr>
            <w:r>
              <w:rPr>
                <w:rFonts w:ascii="Verdana" w:hAnsi="Verdana" w:cstheme="minorHAnsi"/>
                <w:szCs w:val="28"/>
              </w:rPr>
              <w:t xml:space="preserve">Household Labour Force Survey, General Social Survey, </w:t>
            </w:r>
            <w:r w:rsidR="00516FCF">
              <w:rPr>
                <w:rFonts w:ascii="Verdana" w:hAnsi="Verdana" w:cstheme="minorHAnsi"/>
                <w:szCs w:val="28"/>
              </w:rPr>
              <w:t xml:space="preserve">Public Service Census, </w:t>
            </w:r>
            <w:r w:rsidR="008C28B7">
              <w:rPr>
                <w:rFonts w:ascii="Verdana" w:hAnsi="Verdana" w:cstheme="minorHAnsi"/>
                <w:szCs w:val="28"/>
              </w:rPr>
              <w:t xml:space="preserve">Household Economic Survey, </w:t>
            </w:r>
            <w:r w:rsidR="008C28B7" w:rsidRPr="00FB0C0F">
              <w:rPr>
                <w:rFonts w:ascii="Verdana" w:hAnsi="Verdana" w:cstheme="minorHAnsi"/>
                <w:b/>
                <w:bCs/>
                <w:szCs w:val="28"/>
              </w:rPr>
              <w:t>Census 2023</w:t>
            </w:r>
            <w:r w:rsidR="00ED2B7C">
              <w:rPr>
                <w:rFonts w:ascii="Verdana" w:hAnsi="Verdana" w:cstheme="minorHAnsi"/>
                <w:szCs w:val="28"/>
              </w:rPr>
              <w:t>,</w:t>
            </w:r>
            <w:r w:rsidR="008C28B7">
              <w:rPr>
                <w:rFonts w:ascii="Verdana" w:hAnsi="Verdana" w:cstheme="minorHAnsi"/>
                <w:szCs w:val="28"/>
              </w:rPr>
              <w:t xml:space="preserve"> Disability Survey 2023</w:t>
            </w:r>
            <w:r w:rsidR="00ED2B7C">
              <w:rPr>
                <w:rFonts w:ascii="Verdana" w:hAnsi="Verdana" w:cstheme="minorHAnsi"/>
                <w:szCs w:val="28"/>
              </w:rPr>
              <w:t>,</w:t>
            </w:r>
            <w:r w:rsidR="008C28B7">
              <w:rPr>
                <w:rFonts w:ascii="Verdana" w:hAnsi="Verdana" w:cstheme="minorHAnsi"/>
                <w:szCs w:val="28"/>
              </w:rPr>
              <w:t xml:space="preserve"> Te Kupenga 202</w:t>
            </w:r>
            <w:r w:rsidR="00694206">
              <w:rPr>
                <w:rFonts w:ascii="Verdana" w:hAnsi="Verdana" w:cstheme="minorHAnsi"/>
                <w:szCs w:val="28"/>
              </w:rPr>
              <w:t>8</w:t>
            </w:r>
          </w:p>
        </w:tc>
      </w:tr>
      <w:tr w:rsidR="007148CD" w14:paraId="67E0DF52" w14:textId="77777777" w:rsidTr="00D57F83">
        <w:tc>
          <w:tcPr>
            <w:tcW w:w="3433" w:type="dxa"/>
          </w:tcPr>
          <w:p w14:paraId="70AF44DC" w14:textId="79E1B5A2" w:rsidR="007148CD" w:rsidRDefault="0087552D" w:rsidP="00AB711F">
            <w:pPr>
              <w:rPr>
                <w:rFonts w:ascii="Verdana" w:hAnsi="Verdana" w:cstheme="minorHAnsi"/>
                <w:szCs w:val="28"/>
              </w:rPr>
            </w:pPr>
            <w:r>
              <w:rPr>
                <w:rFonts w:ascii="Verdana" w:hAnsi="Verdana" w:cstheme="minorHAnsi"/>
                <w:szCs w:val="28"/>
              </w:rPr>
              <w:t>Outcome</w:t>
            </w:r>
            <w:r w:rsidR="00F724D8">
              <w:rPr>
                <w:rFonts w:ascii="Verdana" w:hAnsi="Verdana" w:cstheme="minorHAnsi"/>
                <w:szCs w:val="28"/>
              </w:rPr>
              <w:t xml:space="preserve"> 3: </w:t>
            </w:r>
            <w:r w:rsidR="00FA7379">
              <w:rPr>
                <w:rFonts w:ascii="Verdana" w:hAnsi="Verdana" w:cstheme="minorHAnsi"/>
                <w:szCs w:val="28"/>
              </w:rPr>
              <w:t>Health and Wellbeing</w:t>
            </w:r>
          </w:p>
        </w:tc>
        <w:tc>
          <w:tcPr>
            <w:tcW w:w="6769" w:type="dxa"/>
          </w:tcPr>
          <w:p w14:paraId="0EF1A8AE" w14:textId="67C2266E" w:rsidR="007148CD" w:rsidRDefault="00550861" w:rsidP="00AB711F">
            <w:pPr>
              <w:rPr>
                <w:rFonts w:ascii="Verdana" w:hAnsi="Verdana" w:cstheme="minorHAnsi"/>
                <w:szCs w:val="28"/>
              </w:rPr>
            </w:pPr>
            <w:r>
              <w:rPr>
                <w:rFonts w:ascii="Verdana" w:hAnsi="Verdana" w:cstheme="minorHAnsi"/>
                <w:szCs w:val="28"/>
              </w:rPr>
              <w:t xml:space="preserve">New Zealand Health Survey, Ministry of Health Administrative Data, Disability Support Services Data, General Social Survey, </w:t>
            </w:r>
            <w:r w:rsidR="00146469">
              <w:rPr>
                <w:rFonts w:ascii="Verdana" w:hAnsi="Verdana" w:cstheme="minorHAnsi"/>
                <w:szCs w:val="28"/>
              </w:rPr>
              <w:t xml:space="preserve">Household Labour Force Survey, </w:t>
            </w:r>
            <w:r w:rsidR="00694206" w:rsidRPr="00FB0C0F">
              <w:rPr>
                <w:rFonts w:ascii="Verdana" w:hAnsi="Verdana" w:cstheme="minorHAnsi"/>
                <w:b/>
                <w:bCs/>
                <w:szCs w:val="28"/>
              </w:rPr>
              <w:t>Census 2023</w:t>
            </w:r>
            <w:r w:rsidR="00694206">
              <w:rPr>
                <w:rFonts w:ascii="Verdana" w:hAnsi="Verdana" w:cstheme="minorHAnsi"/>
                <w:b/>
                <w:bCs/>
                <w:szCs w:val="28"/>
              </w:rPr>
              <w:t xml:space="preserve"> </w:t>
            </w:r>
            <w:r w:rsidR="00146469">
              <w:rPr>
                <w:rFonts w:ascii="Verdana" w:hAnsi="Verdana" w:cstheme="minorHAnsi"/>
                <w:szCs w:val="28"/>
              </w:rPr>
              <w:t>Disability Survey 2023, Te Kupenga 202</w:t>
            </w:r>
            <w:r w:rsidR="00694206">
              <w:rPr>
                <w:rFonts w:ascii="Verdana" w:hAnsi="Verdana" w:cstheme="minorHAnsi"/>
                <w:szCs w:val="28"/>
              </w:rPr>
              <w:t>8</w:t>
            </w:r>
          </w:p>
        </w:tc>
      </w:tr>
      <w:tr w:rsidR="007148CD" w14:paraId="7648520C" w14:textId="77777777" w:rsidTr="00D57F83">
        <w:tc>
          <w:tcPr>
            <w:tcW w:w="3433" w:type="dxa"/>
          </w:tcPr>
          <w:p w14:paraId="38E42AE6" w14:textId="7AC7ABE5" w:rsidR="008D7CD3" w:rsidRDefault="00FA7379" w:rsidP="00AB711F">
            <w:pPr>
              <w:rPr>
                <w:rFonts w:ascii="Verdana" w:hAnsi="Verdana" w:cstheme="minorHAnsi"/>
                <w:szCs w:val="28"/>
              </w:rPr>
            </w:pPr>
            <w:r>
              <w:rPr>
                <w:rFonts w:ascii="Verdana" w:hAnsi="Verdana" w:cstheme="minorHAnsi"/>
                <w:szCs w:val="28"/>
              </w:rPr>
              <w:t xml:space="preserve">Outcome 4: </w:t>
            </w:r>
            <w:r w:rsidR="008D7CD3">
              <w:rPr>
                <w:rFonts w:ascii="Verdana" w:hAnsi="Verdana" w:cstheme="minorHAnsi"/>
                <w:szCs w:val="28"/>
              </w:rPr>
              <w:t xml:space="preserve">Rights </w:t>
            </w:r>
            <w:r w:rsidR="001715ED">
              <w:rPr>
                <w:rFonts w:ascii="Verdana" w:hAnsi="Verdana" w:cstheme="minorHAnsi"/>
                <w:szCs w:val="28"/>
              </w:rPr>
              <w:t>P</w:t>
            </w:r>
            <w:r w:rsidR="008D7CD3">
              <w:rPr>
                <w:rFonts w:ascii="Verdana" w:hAnsi="Verdana" w:cstheme="minorHAnsi"/>
                <w:szCs w:val="28"/>
              </w:rPr>
              <w:t>rotection and Justice</w:t>
            </w:r>
          </w:p>
        </w:tc>
        <w:tc>
          <w:tcPr>
            <w:tcW w:w="6769" w:type="dxa"/>
          </w:tcPr>
          <w:p w14:paraId="244E98CA" w14:textId="417175CF" w:rsidR="007148CD" w:rsidRDefault="000F471D" w:rsidP="00AB711F">
            <w:pPr>
              <w:rPr>
                <w:rFonts w:ascii="Verdana" w:hAnsi="Verdana" w:cstheme="minorHAnsi"/>
                <w:szCs w:val="28"/>
              </w:rPr>
            </w:pPr>
            <w:r>
              <w:rPr>
                <w:rFonts w:ascii="Verdana" w:hAnsi="Verdana" w:cstheme="minorHAnsi"/>
                <w:szCs w:val="28"/>
              </w:rPr>
              <w:t xml:space="preserve">New Zealand Crime and Victims Survey, Kiwis Count, </w:t>
            </w:r>
            <w:r w:rsidR="00AC06D0">
              <w:rPr>
                <w:rFonts w:ascii="Verdana" w:hAnsi="Verdana" w:cstheme="minorHAnsi"/>
                <w:szCs w:val="28"/>
              </w:rPr>
              <w:t xml:space="preserve">Household Labour Force Survey, </w:t>
            </w:r>
            <w:r w:rsidR="00AA1E69">
              <w:rPr>
                <w:rFonts w:ascii="Verdana" w:hAnsi="Verdana" w:cstheme="minorHAnsi"/>
                <w:szCs w:val="28"/>
              </w:rPr>
              <w:t>Human Rights Commission</w:t>
            </w:r>
            <w:r w:rsidR="000507A5">
              <w:rPr>
                <w:rFonts w:ascii="Verdana" w:hAnsi="Verdana" w:cstheme="minorHAnsi"/>
                <w:szCs w:val="28"/>
              </w:rPr>
              <w:t>, Oranga Tamariki</w:t>
            </w:r>
          </w:p>
        </w:tc>
      </w:tr>
      <w:tr w:rsidR="007148CD" w14:paraId="5627B998" w14:textId="77777777" w:rsidTr="00D57F83">
        <w:tc>
          <w:tcPr>
            <w:tcW w:w="3433" w:type="dxa"/>
          </w:tcPr>
          <w:p w14:paraId="4F80A04D" w14:textId="79D51DE1" w:rsidR="007148CD" w:rsidRDefault="008D7CD3" w:rsidP="00AB711F">
            <w:pPr>
              <w:rPr>
                <w:rFonts w:ascii="Verdana" w:hAnsi="Verdana" w:cstheme="minorHAnsi"/>
                <w:szCs w:val="28"/>
              </w:rPr>
            </w:pPr>
            <w:r>
              <w:rPr>
                <w:rFonts w:ascii="Verdana" w:hAnsi="Verdana" w:cstheme="minorHAnsi"/>
                <w:szCs w:val="28"/>
              </w:rPr>
              <w:t xml:space="preserve">Outcome 5: </w:t>
            </w:r>
            <w:r w:rsidR="008E2206">
              <w:rPr>
                <w:rFonts w:ascii="Verdana" w:hAnsi="Verdana" w:cstheme="minorHAnsi"/>
                <w:szCs w:val="28"/>
              </w:rPr>
              <w:t>Accessibility</w:t>
            </w:r>
          </w:p>
        </w:tc>
        <w:tc>
          <w:tcPr>
            <w:tcW w:w="6769" w:type="dxa"/>
          </w:tcPr>
          <w:p w14:paraId="14929340" w14:textId="7B6D0D69" w:rsidR="007148CD" w:rsidRDefault="004B35F5" w:rsidP="00AB711F">
            <w:pPr>
              <w:rPr>
                <w:rFonts w:ascii="Verdana" w:hAnsi="Verdana" w:cstheme="minorHAnsi"/>
                <w:szCs w:val="28"/>
              </w:rPr>
            </w:pPr>
            <w:r>
              <w:rPr>
                <w:rFonts w:ascii="Verdana" w:hAnsi="Verdana" w:cstheme="minorHAnsi"/>
                <w:szCs w:val="28"/>
              </w:rPr>
              <w:t xml:space="preserve">General Social Survey, </w:t>
            </w:r>
            <w:r w:rsidR="0059596E">
              <w:rPr>
                <w:rFonts w:ascii="Verdana" w:hAnsi="Verdana" w:cstheme="minorHAnsi"/>
                <w:szCs w:val="28"/>
              </w:rPr>
              <w:t xml:space="preserve">Access 2020, Kiwis Count, </w:t>
            </w:r>
            <w:r w:rsidRPr="008D22CE">
              <w:rPr>
                <w:rFonts w:ascii="Verdana" w:hAnsi="Verdana" w:cstheme="minorHAnsi"/>
                <w:b/>
                <w:bCs/>
                <w:szCs w:val="28"/>
              </w:rPr>
              <w:t>Census 2023</w:t>
            </w:r>
            <w:r>
              <w:rPr>
                <w:rFonts w:ascii="Verdana" w:hAnsi="Verdana" w:cstheme="minorHAnsi"/>
                <w:szCs w:val="28"/>
              </w:rPr>
              <w:t>, Disability Survey 2023, Te Kupenga 202</w:t>
            </w:r>
            <w:r w:rsidR="00694206">
              <w:rPr>
                <w:rFonts w:ascii="Verdana" w:hAnsi="Verdana" w:cstheme="minorHAnsi"/>
                <w:szCs w:val="28"/>
              </w:rPr>
              <w:t>8</w:t>
            </w:r>
          </w:p>
        </w:tc>
      </w:tr>
      <w:tr w:rsidR="007148CD" w14:paraId="1667E987" w14:textId="77777777" w:rsidTr="00D57F83">
        <w:tc>
          <w:tcPr>
            <w:tcW w:w="3433" w:type="dxa"/>
          </w:tcPr>
          <w:p w14:paraId="4D07D0AA" w14:textId="18B574E2" w:rsidR="007148CD" w:rsidRDefault="008E2206" w:rsidP="00AB711F">
            <w:pPr>
              <w:rPr>
                <w:rFonts w:ascii="Verdana" w:hAnsi="Verdana" w:cstheme="minorHAnsi"/>
                <w:szCs w:val="28"/>
              </w:rPr>
            </w:pPr>
            <w:r>
              <w:rPr>
                <w:rFonts w:ascii="Verdana" w:hAnsi="Verdana" w:cstheme="minorHAnsi"/>
                <w:szCs w:val="28"/>
              </w:rPr>
              <w:t>Outcome 6: Attitudes</w:t>
            </w:r>
          </w:p>
        </w:tc>
        <w:tc>
          <w:tcPr>
            <w:tcW w:w="6769" w:type="dxa"/>
          </w:tcPr>
          <w:p w14:paraId="3FDCD86F" w14:textId="56C767C9" w:rsidR="007148CD" w:rsidRDefault="00320A2C" w:rsidP="00AB711F">
            <w:pPr>
              <w:rPr>
                <w:rFonts w:ascii="Verdana" w:hAnsi="Verdana" w:cstheme="minorHAnsi"/>
                <w:szCs w:val="28"/>
              </w:rPr>
            </w:pPr>
            <w:r>
              <w:rPr>
                <w:rFonts w:ascii="Verdana" w:hAnsi="Verdana" w:cstheme="minorHAnsi"/>
                <w:szCs w:val="28"/>
              </w:rPr>
              <w:t xml:space="preserve">General Social Survey, Household Labour Force Survey, </w:t>
            </w:r>
            <w:r w:rsidR="00AD7308">
              <w:rPr>
                <w:rFonts w:ascii="Verdana" w:hAnsi="Verdana" w:cstheme="minorHAnsi"/>
                <w:szCs w:val="28"/>
              </w:rPr>
              <w:t>Access 2020,</w:t>
            </w:r>
            <w:r w:rsidR="00F53C22">
              <w:rPr>
                <w:rFonts w:ascii="Verdana" w:hAnsi="Verdana" w:cstheme="minorHAnsi"/>
                <w:szCs w:val="28"/>
              </w:rPr>
              <w:t xml:space="preserve"> Human Rights Commission,</w:t>
            </w:r>
            <w:r w:rsidR="00AD7308">
              <w:rPr>
                <w:rFonts w:ascii="Verdana" w:hAnsi="Verdana" w:cstheme="minorHAnsi"/>
                <w:szCs w:val="28"/>
              </w:rPr>
              <w:t xml:space="preserve"> </w:t>
            </w:r>
            <w:r w:rsidR="00F53C22">
              <w:rPr>
                <w:rFonts w:ascii="Verdana" w:hAnsi="Verdana" w:cstheme="minorHAnsi"/>
                <w:szCs w:val="28"/>
              </w:rPr>
              <w:t>Disability Survey 2023, Te Kupenga 202</w:t>
            </w:r>
            <w:r w:rsidR="00694206">
              <w:rPr>
                <w:rFonts w:ascii="Verdana" w:hAnsi="Verdana" w:cstheme="minorHAnsi"/>
                <w:szCs w:val="28"/>
              </w:rPr>
              <w:t>8</w:t>
            </w:r>
          </w:p>
        </w:tc>
      </w:tr>
      <w:tr w:rsidR="007148CD" w14:paraId="5F3F53A0" w14:textId="77777777" w:rsidTr="00D57F83">
        <w:tc>
          <w:tcPr>
            <w:tcW w:w="3433" w:type="dxa"/>
          </w:tcPr>
          <w:p w14:paraId="2B76934C" w14:textId="18F0D503" w:rsidR="007148CD" w:rsidRDefault="008E2206" w:rsidP="00AB711F">
            <w:pPr>
              <w:rPr>
                <w:rFonts w:ascii="Verdana" w:hAnsi="Verdana" w:cstheme="minorHAnsi"/>
                <w:szCs w:val="28"/>
              </w:rPr>
            </w:pPr>
            <w:r>
              <w:rPr>
                <w:rFonts w:ascii="Verdana" w:hAnsi="Verdana" w:cstheme="minorHAnsi"/>
                <w:szCs w:val="28"/>
              </w:rPr>
              <w:t xml:space="preserve">Outcome 7: </w:t>
            </w:r>
            <w:r w:rsidR="00710BE4">
              <w:rPr>
                <w:rFonts w:ascii="Verdana" w:hAnsi="Verdana" w:cstheme="minorHAnsi"/>
                <w:szCs w:val="28"/>
              </w:rPr>
              <w:t>Choice and Control</w:t>
            </w:r>
          </w:p>
        </w:tc>
        <w:tc>
          <w:tcPr>
            <w:tcW w:w="6769" w:type="dxa"/>
          </w:tcPr>
          <w:p w14:paraId="7EFD875F" w14:textId="04CCF04F" w:rsidR="007148CD" w:rsidRDefault="00CD12B6" w:rsidP="00AB711F">
            <w:pPr>
              <w:rPr>
                <w:rFonts w:ascii="Verdana" w:hAnsi="Verdana" w:cstheme="minorHAnsi"/>
                <w:szCs w:val="28"/>
              </w:rPr>
            </w:pPr>
            <w:r>
              <w:rPr>
                <w:rFonts w:ascii="Verdana" w:hAnsi="Verdana" w:cstheme="minorHAnsi"/>
                <w:szCs w:val="28"/>
              </w:rPr>
              <w:t xml:space="preserve">General Social Survey, </w:t>
            </w:r>
            <w:r w:rsidR="007B1F8A">
              <w:rPr>
                <w:rFonts w:ascii="Verdana" w:hAnsi="Verdana" w:cstheme="minorHAnsi"/>
                <w:szCs w:val="28"/>
              </w:rPr>
              <w:t>Disability Survey 2023, Te Kupenga 202</w:t>
            </w:r>
            <w:r w:rsidR="000C76E8">
              <w:rPr>
                <w:rFonts w:ascii="Verdana" w:hAnsi="Verdana" w:cstheme="minorHAnsi"/>
                <w:szCs w:val="28"/>
              </w:rPr>
              <w:t>8</w:t>
            </w:r>
          </w:p>
        </w:tc>
      </w:tr>
      <w:tr w:rsidR="007148CD" w14:paraId="3B383E32" w14:textId="77777777" w:rsidTr="00D57F83">
        <w:tc>
          <w:tcPr>
            <w:tcW w:w="3433" w:type="dxa"/>
          </w:tcPr>
          <w:p w14:paraId="1B7814BE" w14:textId="000EAD93" w:rsidR="007148CD" w:rsidRDefault="00710BE4" w:rsidP="00AB711F">
            <w:pPr>
              <w:rPr>
                <w:rFonts w:ascii="Verdana" w:hAnsi="Verdana" w:cstheme="minorHAnsi"/>
                <w:szCs w:val="28"/>
              </w:rPr>
            </w:pPr>
            <w:r>
              <w:rPr>
                <w:rFonts w:ascii="Verdana" w:hAnsi="Verdana" w:cstheme="minorHAnsi"/>
                <w:szCs w:val="28"/>
              </w:rPr>
              <w:t>Outcome 8: Leadership</w:t>
            </w:r>
          </w:p>
        </w:tc>
        <w:tc>
          <w:tcPr>
            <w:tcW w:w="6769" w:type="dxa"/>
          </w:tcPr>
          <w:p w14:paraId="68C07AE9" w14:textId="260335C6" w:rsidR="007148CD" w:rsidRDefault="007B1F8A" w:rsidP="00AB711F">
            <w:pPr>
              <w:rPr>
                <w:rFonts w:ascii="Verdana" w:hAnsi="Verdana" w:cstheme="minorHAnsi"/>
                <w:szCs w:val="28"/>
              </w:rPr>
            </w:pPr>
            <w:r>
              <w:rPr>
                <w:rFonts w:ascii="Verdana" w:hAnsi="Verdana" w:cstheme="minorHAnsi"/>
                <w:szCs w:val="28"/>
              </w:rPr>
              <w:t xml:space="preserve">Household Labour Force Survey, Public Service Census, </w:t>
            </w:r>
            <w:r w:rsidR="00C91B06">
              <w:rPr>
                <w:rFonts w:ascii="Verdana" w:hAnsi="Verdana" w:cstheme="minorHAnsi"/>
                <w:szCs w:val="28"/>
              </w:rPr>
              <w:t>Ministry of Social Development</w:t>
            </w:r>
            <w:r w:rsidR="0048468F">
              <w:rPr>
                <w:rFonts w:ascii="Verdana" w:hAnsi="Verdana" w:cstheme="minorHAnsi"/>
                <w:szCs w:val="28"/>
              </w:rPr>
              <w:t xml:space="preserve"> data on leadership </w:t>
            </w:r>
            <w:r w:rsidR="00501770">
              <w:rPr>
                <w:rFonts w:ascii="Verdana" w:hAnsi="Verdana" w:cstheme="minorHAnsi"/>
                <w:szCs w:val="28"/>
              </w:rPr>
              <w:t>and</w:t>
            </w:r>
            <w:r w:rsidR="0048468F">
              <w:rPr>
                <w:rFonts w:ascii="Verdana" w:hAnsi="Verdana" w:cstheme="minorHAnsi"/>
                <w:szCs w:val="28"/>
              </w:rPr>
              <w:t xml:space="preserve"> disability</w:t>
            </w:r>
            <w:r w:rsidR="00501770">
              <w:rPr>
                <w:rFonts w:ascii="Verdana" w:hAnsi="Verdana" w:cstheme="minorHAnsi"/>
                <w:szCs w:val="28"/>
              </w:rPr>
              <w:t xml:space="preserve">, </w:t>
            </w:r>
            <w:r w:rsidR="00501770" w:rsidRPr="008D22CE">
              <w:rPr>
                <w:rFonts w:ascii="Verdana" w:hAnsi="Verdana" w:cstheme="minorHAnsi"/>
                <w:b/>
                <w:bCs/>
                <w:szCs w:val="28"/>
              </w:rPr>
              <w:t>Census 2023</w:t>
            </w:r>
          </w:p>
        </w:tc>
      </w:tr>
    </w:tbl>
    <w:p w14:paraId="77D5313B" w14:textId="6AA87C18" w:rsidR="7A10CCB2" w:rsidRDefault="7A10CCB2" w:rsidP="7A10CCB2">
      <w:pPr>
        <w:spacing w:line="360" w:lineRule="auto"/>
      </w:pPr>
    </w:p>
    <w:p w14:paraId="4E5C964D" w14:textId="4DF58725" w:rsidR="00285587" w:rsidRPr="002B3F90" w:rsidRDefault="00285587" w:rsidP="00285587">
      <w:pPr>
        <w:jc w:val="center"/>
        <w:rPr>
          <w:rFonts w:ascii="Verdana" w:hAnsi="Verdana" w:cstheme="minorHAnsi"/>
          <w:b/>
          <w:bCs/>
          <w:szCs w:val="28"/>
          <w:lang w:val="en-NZ"/>
        </w:rPr>
      </w:pPr>
      <w:r w:rsidRPr="002B3F90">
        <w:rPr>
          <w:rFonts w:ascii="Verdana" w:hAnsi="Verdana" w:cstheme="minorHAnsi"/>
          <w:b/>
          <w:bCs/>
          <w:szCs w:val="28"/>
          <w:lang w:val="en-NZ"/>
        </w:rPr>
        <w:t xml:space="preserve">Appendix </w:t>
      </w:r>
      <w:r>
        <w:rPr>
          <w:rFonts w:ascii="Verdana" w:hAnsi="Verdana" w:cstheme="minorHAnsi"/>
          <w:b/>
          <w:bCs/>
          <w:szCs w:val="28"/>
          <w:lang w:val="en-NZ"/>
        </w:rPr>
        <w:t>Two</w:t>
      </w:r>
      <w:r w:rsidRPr="002B3F90">
        <w:rPr>
          <w:rFonts w:ascii="Verdana" w:hAnsi="Verdana" w:cstheme="minorHAnsi"/>
          <w:b/>
          <w:bCs/>
          <w:szCs w:val="28"/>
          <w:lang w:val="en-NZ"/>
        </w:rPr>
        <w:t xml:space="preserve">: </w:t>
      </w:r>
      <w:r>
        <w:rPr>
          <w:rFonts w:ascii="Verdana" w:hAnsi="Verdana" w:cstheme="minorHAnsi"/>
          <w:b/>
          <w:bCs/>
          <w:szCs w:val="28"/>
          <w:lang w:val="en-NZ"/>
        </w:rPr>
        <w:t>Specific tables that would be</w:t>
      </w:r>
      <w:r w:rsidR="003B4829">
        <w:rPr>
          <w:rFonts w:ascii="Verdana" w:hAnsi="Verdana" w:cstheme="minorHAnsi"/>
          <w:b/>
          <w:bCs/>
          <w:szCs w:val="28"/>
          <w:lang w:val="en-NZ"/>
        </w:rPr>
        <w:t xml:space="preserve"> useful by outcomes</w:t>
      </w:r>
    </w:p>
    <w:p w14:paraId="0C0C4916" w14:textId="77777777" w:rsidR="00285587" w:rsidRDefault="00285587" w:rsidP="004264FB">
      <w:pPr>
        <w:rPr>
          <w:rFonts w:ascii="Verdana" w:hAnsi="Verdana" w:cstheme="minorHAnsi"/>
          <w:szCs w:val="28"/>
        </w:rPr>
      </w:pPr>
    </w:p>
    <w:p w14:paraId="03E1D7FD" w14:textId="30D59044" w:rsidR="4237D749" w:rsidRDefault="4237D749" w:rsidP="004264FB">
      <w:pPr>
        <w:rPr>
          <w:rFonts w:ascii="Verdana" w:hAnsi="Verdana" w:cstheme="minorHAnsi"/>
          <w:szCs w:val="28"/>
        </w:rPr>
      </w:pPr>
      <w:r w:rsidRPr="000E018A">
        <w:rPr>
          <w:rFonts w:ascii="Verdana" w:hAnsi="Verdana" w:cstheme="minorHAnsi"/>
          <w:szCs w:val="28"/>
        </w:rPr>
        <w:t xml:space="preserve">The table below </w:t>
      </w:r>
      <w:r w:rsidR="00C7724B">
        <w:rPr>
          <w:rFonts w:ascii="Verdana" w:hAnsi="Verdana" w:cstheme="minorHAnsi"/>
          <w:szCs w:val="28"/>
        </w:rPr>
        <w:t>includes</w:t>
      </w:r>
      <w:r w:rsidRPr="000E018A">
        <w:rPr>
          <w:rFonts w:ascii="Verdana" w:hAnsi="Verdana" w:cstheme="minorHAnsi"/>
          <w:szCs w:val="28"/>
        </w:rPr>
        <w:t xml:space="preserve"> some examples</w:t>
      </w:r>
      <w:r w:rsidR="000E018A">
        <w:rPr>
          <w:rFonts w:ascii="Verdana" w:hAnsi="Verdana" w:cstheme="minorHAnsi"/>
          <w:szCs w:val="28"/>
        </w:rPr>
        <w:t xml:space="preserve"> of Census tables that </w:t>
      </w:r>
      <w:r w:rsidR="009270BE">
        <w:rPr>
          <w:rFonts w:ascii="Verdana" w:hAnsi="Verdana" w:cstheme="minorHAnsi"/>
          <w:szCs w:val="28"/>
        </w:rPr>
        <w:t xml:space="preserve">we would like to use </w:t>
      </w:r>
      <w:r w:rsidR="003F7077">
        <w:rPr>
          <w:rFonts w:ascii="Verdana" w:hAnsi="Verdana" w:cstheme="minorHAnsi"/>
          <w:szCs w:val="28"/>
        </w:rPr>
        <w:t>to report on</w:t>
      </w:r>
      <w:r w:rsidR="009270BE">
        <w:rPr>
          <w:rFonts w:ascii="Verdana" w:hAnsi="Verdana" w:cstheme="minorHAnsi"/>
          <w:szCs w:val="28"/>
        </w:rPr>
        <w:t xml:space="preserve"> </w:t>
      </w:r>
      <w:r w:rsidR="002D6880">
        <w:rPr>
          <w:rFonts w:ascii="Verdana" w:hAnsi="Verdana" w:cstheme="minorHAnsi"/>
          <w:szCs w:val="28"/>
        </w:rPr>
        <w:t>specific</w:t>
      </w:r>
      <w:r w:rsidR="009270BE">
        <w:rPr>
          <w:rFonts w:ascii="Verdana" w:hAnsi="Verdana" w:cstheme="minorHAnsi"/>
          <w:szCs w:val="28"/>
        </w:rPr>
        <w:t xml:space="preserve"> outcome area</w:t>
      </w:r>
      <w:r w:rsidR="002D6880">
        <w:rPr>
          <w:rFonts w:ascii="Verdana" w:hAnsi="Verdana" w:cstheme="minorHAnsi"/>
          <w:szCs w:val="28"/>
        </w:rPr>
        <w:t>s</w:t>
      </w:r>
      <w:r w:rsidR="00CF11AB">
        <w:rPr>
          <w:rFonts w:ascii="Verdana" w:hAnsi="Verdana" w:cstheme="minorHAnsi"/>
          <w:szCs w:val="28"/>
        </w:rPr>
        <w:t xml:space="preserve">, and that </w:t>
      </w:r>
      <w:r w:rsidR="004D6183">
        <w:rPr>
          <w:rFonts w:ascii="Verdana" w:hAnsi="Verdana" w:cstheme="minorHAnsi"/>
          <w:szCs w:val="28"/>
        </w:rPr>
        <w:t>service providers could use to assist their</w:t>
      </w:r>
      <w:r w:rsidR="00C975E1">
        <w:rPr>
          <w:rFonts w:ascii="Verdana" w:hAnsi="Verdana" w:cstheme="minorHAnsi"/>
          <w:szCs w:val="28"/>
        </w:rPr>
        <w:t xml:space="preserve"> planning and accommodation </w:t>
      </w:r>
      <w:r w:rsidR="002F7A4E">
        <w:rPr>
          <w:rFonts w:ascii="Verdana" w:hAnsi="Verdana" w:cstheme="minorHAnsi"/>
          <w:szCs w:val="28"/>
        </w:rPr>
        <w:t>for the needs of disabled people</w:t>
      </w:r>
      <w:r w:rsidR="009270BE">
        <w:rPr>
          <w:rFonts w:ascii="Verdana" w:hAnsi="Verdana" w:cstheme="minorHAnsi"/>
          <w:szCs w:val="28"/>
        </w:rPr>
        <w:t xml:space="preserve">. </w:t>
      </w:r>
      <w:r w:rsidR="00C7724B">
        <w:rPr>
          <w:rFonts w:ascii="Verdana" w:hAnsi="Verdana" w:cstheme="minorHAnsi"/>
          <w:szCs w:val="28"/>
        </w:rPr>
        <w:br/>
      </w:r>
      <w:r w:rsidR="009270BE">
        <w:rPr>
          <w:rFonts w:ascii="Verdana" w:hAnsi="Verdana" w:cstheme="minorHAnsi"/>
          <w:szCs w:val="28"/>
        </w:rPr>
        <w:t xml:space="preserve">This </w:t>
      </w:r>
      <w:r w:rsidR="00C7724B">
        <w:rPr>
          <w:rFonts w:ascii="Verdana" w:hAnsi="Verdana" w:cstheme="minorHAnsi"/>
          <w:szCs w:val="28"/>
        </w:rPr>
        <w:t>list</w:t>
      </w:r>
      <w:r w:rsidR="009270BE">
        <w:rPr>
          <w:rFonts w:ascii="Verdana" w:hAnsi="Verdana" w:cstheme="minorHAnsi"/>
          <w:szCs w:val="28"/>
        </w:rPr>
        <w:t xml:space="preserve"> </w:t>
      </w:r>
      <w:r w:rsidR="00C7724B">
        <w:rPr>
          <w:rFonts w:ascii="Verdana" w:hAnsi="Verdana" w:cstheme="minorHAnsi"/>
          <w:szCs w:val="28"/>
        </w:rPr>
        <w:t>is not</w:t>
      </w:r>
      <w:r w:rsidR="0040033D">
        <w:rPr>
          <w:rFonts w:ascii="Verdana" w:hAnsi="Verdana" w:cstheme="minorHAnsi"/>
          <w:szCs w:val="28"/>
        </w:rPr>
        <w:t xml:space="preserve"> exhaustive.</w:t>
      </w:r>
    </w:p>
    <w:p w14:paraId="37A66C88" w14:textId="77777777" w:rsidR="003F7077" w:rsidRPr="000E018A" w:rsidRDefault="003F7077" w:rsidP="004264FB">
      <w:pPr>
        <w:rPr>
          <w:rFonts w:ascii="Verdana" w:hAnsi="Verdana" w:cstheme="minorHAnsi"/>
          <w:szCs w:val="28"/>
        </w:rPr>
      </w:pPr>
    </w:p>
    <w:tbl>
      <w:tblPr>
        <w:tblStyle w:val="TableGrid"/>
        <w:tblW w:w="0" w:type="auto"/>
        <w:tblInd w:w="-431" w:type="dxa"/>
        <w:tblLook w:val="04A0" w:firstRow="1" w:lastRow="0" w:firstColumn="1" w:lastColumn="0" w:noHBand="0" w:noVBand="1"/>
      </w:tblPr>
      <w:tblGrid>
        <w:gridCol w:w="3433"/>
        <w:gridCol w:w="6769"/>
      </w:tblGrid>
      <w:tr w:rsidR="7A10CCB2" w14:paraId="39FCB7B0" w14:textId="77777777" w:rsidTr="7A10CCB2">
        <w:tc>
          <w:tcPr>
            <w:tcW w:w="3433" w:type="dxa"/>
          </w:tcPr>
          <w:p w14:paraId="1808CC36" w14:textId="517E7C56" w:rsidR="7A10CCB2" w:rsidRDefault="7A10CCB2" w:rsidP="7A10CCB2">
            <w:pPr>
              <w:spacing w:line="480" w:lineRule="auto"/>
              <w:jc w:val="center"/>
              <w:rPr>
                <w:rFonts w:ascii="Verdana" w:hAnsi="Verdana"/>
                <w:b/>
                <w:bCs/>
              </w:rPr>
            </w:pPr>
            <w:r w:rsidRPr="7A10CCB2">
              <w:rPr>
                <w:rFonts w:ascii="Verdana" w:hAnsi="Verdana"/>
                <w:b/>
                <w:bCs/>
              </w:rPr>
              <w:t>NZ Disability Strategy</w:t>
            </w:r>
          </w:p>
        </w:tc>
        <w:tc>
          <w:tcPr>
            <w:tcW w:w="6769" w:type="dxa"/>
          </w:tcPr>
          <w:p w14:paraId="79433E15" w14:textId="6F30A38C" w:rsidR="7A10CCB2" w:rsidRDefault="004960EC" w:rsidP="004960EC">
            <w:pPr>
              <w:jc w:val="center"/>
              <w:rPr>
                <w:rFonts w:ascii="Verdana" w:hAnsi="Verdana"/>
                <w:b/>
                <w:bCs/>
              </w:rPr>
            </w:pPr>
            <w:r>
              <w:rPr>
                <w:rFonts w:ascii="Verdana" w:hAnsi="Verdana"/>
                <w:b/>
                <w:bCs/>
              </w:rPr>
              <w:t>A range of C</w:t>
            </w:r>
            <w:r w:rsidR="009270BE">
              <w:rPr>
                <w:rFonts w:ascii="Verdana" w:hAnsi="Verdana"/>
                <w:b/>
                <w:bCs/>
              </w:rPr>
              <w:t xml:space="preserve">ensus tables </w:t>
            </w:r>
            <w:r>
              <w:rPr>
                <w:rFonts w:ascii="Verdana" w:hAnsi="Verdana"/>
                <w:b/>
                <w:bCs/>
              </w:rPr>
              <w:t>we would like to see disaggregated by disability</w:t>
            </w:r>
          </w:p>
        </w:tc>
      </w:tr>
      <w:tr w:rsidR="7A10CCB2" w14:paraId="0443CB1F" w14:textId="77777777" w:rsidTr="7A10CCB2">
        <w:tc>
          <w:tcPr>
            <w:tcW w:w="3433" w:type="dxa"/>
          </w:tcPr>
          <w:p w14:paraId="0D1CF2F4" w14:textId="507C888C" w:rsidR="7A10CCB2" w:rsidRDefault="7A10CCB2" w:rsidP="7A10CCB2">
            <w:pPr>
              <w:rPr>
                <w:rFonts w:ascii="Verdana" w:hAnsi="Verdana"/>
              </w:rPr>
            </w:pPr>
            <w:r w:rsidRPr="7A10CCB2">
              <w:rPr>
                <w:rFonts w:ascii="Verdana" w:hAnsi="Verdana"/>
              </w:rPr>
              <w:t>Outcome 1: Education</w:t>
            </w:r>
          </w:p>
        </w:tc>
        <w:tc>
          <w:tcPr>
            <w:tcW w:w="6769" w:type="dxa"/>
          </w:tcPr>
          <w:p w14:paraId="6F91CDEC" w14:textId="77777777" w:rsidR="00CC2E87" w:rsidRPr="00E34FE5" w:rsidRDefault="00CC2E87" w:rsidP="00CC2E87">
            <w:pPr>
              <w:rPr>
                <w:rFonts w:ascii="Verdana" w:hAnsi="Verdana" w:cs="Arial"/>
                <w:color w:val="000000"/>
                <w:sz w:val="20"/>
                <w:szCs w:val="20"/>
              </w:rPr>
            </w:pPr>
            <w:r w:rsidRPr="00E34FE5">
              <w:rPr>
                <w:rFonts w:ascii="Verdana" w:hAnsi="Verdana" w:cs="Arial"/>
                <w:color w:val="000000"/>
                <w:sz w:val="20"/>
                <w:szCs w:val="20"/>
              </w:rPr>
              <w:t>Birthplace (broad geographic areas) by highest qualification by age and sex, for the census usually resident population count aged 15 years and over, 2006, 2013, and 2018 Censuses (RC, TA, SA2, DHB)</w:t>
            </w:r>
          </w:p>
          <w:p w14:paraId="5C4337FB" w14:textId="77777777" w:rsidR="00394D86" w:rsidRDefault="00394D86" w:rsidP="00CC2E87">
            <w:pPr>
              <w:rPr>
                <w:rFonts w:ascii="Arial" w:hAnsi="Arial" w:cs="Arial"/>
                <w:color w:val="000000"/>
                <w:sz w:val="18"/>
                <w:szCs w:val="18"/>
              </w:rPr>
            </w:pPr>
          </w:p>
          <w:p w14:paraId="7F55844D" w14:textId="77777777" w:rsidR="00D47478" w:rsidRPr="00E34FE5" w:rsidRDefault="00D47478" w:rsidP="00D47478">
            <w:pPr>
              <w:rPr>
                <w:rFonts w:ascii="Verdana" w:hAnsi="Verdana" w:cs="Arial"/>
                <w:color w:val="000000"/>
                <w:sz w:val="20"/>
                <w:szCs w:val="20"/>
              </w:rPr>
            </w:pPr>
            <w:r w:rsidRPr="00E34FE5">
              <w:rPr>
                <w:rFonts w:ascii="Verdana" w:hAnsi="Verdana" w:cs="Arial"/>
                <w:color w:val="000000"/>
                <w:sz w:val="20"/>
                <w:szCs w:val="20"/>
              </w:rPr>
              <w:t>Study participation and ethnic group (grouped total responses) by age group and sex, for the census usually resident population count aged 15 years and over, 2006, 2013, and 2018 Censuses (RC, TA, SA2, DHB)</w:t>
            </w:r>
          </w:p>
          <w:p w14:paraId="3F90C4F5" w14:textId="77777777" w:rsidR="00D47478" w:rsidRPr="00E34FE5" w:rsidRDefault="00D47478" w:rsidP="00394D86">
            <w:pPr>
              <w:rPr>
                <w:rFonts w:ascii="Verdana" w:hAnsi="Verdana" w:cs="Arial"/>
                <w:color w:val="000000"/>
                <w:sz w:val="20"/>
                <w:szCs w:val="20"/>
              </w:rPr>
            </w:pPr>
          </w:p>
          <w:p w14:paraId="3AEB09AE" w14:textId="1E9E7239" w:rsidR="00394D86" w:rsidRPr="00E34FE5" w:rsidRDefault="00394D86" w:rsidP="00394D86">
            <w:pPr>
              <w:rPr>
                <w:rFonts w:ascii="Verdana" w:hAnsi="Verdana" w:cs="Arial"/>
                <w:color w:val="000000"/>
                <w:sz w:val="20"/>
                <w:szCs w:val="20"/>
              </w:rPr>
            </w:pPr>
            <w:r w:rsidRPr="00E34FE5">
              <w:rPr>
                <w:rFonts w:ascii="Verdana" w:hAnsi="Verdana" w:cs="Arial"/>
                <w:color w:val="000000"/>
                <w:sz w:val="20"/>
                <w:szCs w:val="20"/>
              </w:rPr>
              <w:t>Highest secondary school qualification and ethnic group (grouped total responses) by age group and sex, for the census usually resident population count aged 15 years and over, 2006, 2013, and 2018 Censuses (RC, TA, SA2, DHB) </w:t>
            </w:r>
          </w:p>
          <w:p w14:paraId="19EB1861" w14:textId="77777777" w:rsidR="00CD5FF9" w:rsidRPr="00E34FE5" w:rsidRDefault="00CD5FF9" w:rsidP="00394D86">
            <w:pPr>
              <w:rPr>
                <w:rFonts w:ascii="Verdana" w:hAnsi="Verdana" w:cs="Arial"/>
                <w:color w:val="000000"/>
                <w:sz w:val="20"/>
                <w:szCs w:val="20"/>
              </w:rPr>
            </w:pPr>
          </w:p>
          <w:p w14:paraId="207CE2D4" w14:textId="77777777" w:rsidR="00CD5FF9" w:rsidRPr="00E34FE5" w:rsidRDefault="00CD5FF9" w:rsidP="00CD5FF9">
            <w:pPr>
              <w:rPr>
                <w:rFonts w:ascii="Verdana" w:hAnsi="Verdana" w:cs="Arial"/>
                <w:color w:val="000000"/>
                <w:sz w:val="20"/>
                <w:szCs w:val="20"/>
              </w:rPr>
            </w:pPr>
            <w:r w:rsidRPr="00E34FE5">
              <w:rPr>
                <w:rFonts w:ascii="Verdana" w:hAnsi="Verdana" w:cs="Arial"/>
                <w:color w:val="000000"/>
                <w:sz w:val="20"/>
                <w:szCs w:val="20"/>
              </w:rPr>
              <w:t>Highest qualification and occupation (ANZSCO major group) by sex, for the employed census usually resident population count aged 15 years and over, 2006, 2013, and 2018 Censuses (RC, TA, SA2, DHB)</w:t>
            </w:r>
          </w:p>
          <w:p w14:paraId="509C29A7" w14:textId="77777777" w:rsidR="00CD5FF9" w:rsidRPr="00E34FE5" w:rsidRDefault="00CD5FF9" w:rsidP="00394D86">
            <w:pPr>
              <w:rPr>
                <w:rFonts w:ascii="Verdana" w:hAnsi="Verdana" w:cs="Arial"/>
                <w:color w:val="000000"/>
                <w:sz w:val="20"/>
                <w:szCs w:val="20"/>
              </w:rPr>
            </w:pPr>
          </w:p>
          <w:p w14:paraId="32021292" w14:textId="00C95AC8" w:rsidR="7A10CCB2" w:rsidRDefault="00CD17C2" w:rsidP="00E34FE5">
            <w:pPr>
              <w:rPr>
                <w:rFonts w:ascii="Verdana" w:hAnsi="Verdana"/>
              </w:rPr>
            </w:pPr>
            <w:r w:rsidRPr="00E34FE5">
              <w:rPr>
                <w:rFonts w:ascii="Verdana" w:hAnsi="Verdana" w:cs="Arial"/>
                <w:color w:val="000000"/>
                <w:sz w:val="20"/>
                <w:szCs w:val="20"/>
              </w:rPr>
              <w:t xml:space="preserve">Main means of travel to education by age group and sex, for the census usually resident population count attending, studying, or enrolled in education, 2018 Census (RC, TA, SA2, DHB) </w:t>
            </w:r>
          </w:p>
        </w:tc>
      </w:tr>
      <w:tr w:rsidR="7A10CCB2" w14:paraId="6BCADA24" w14:textId="77777777" w:rsidTr="7A10CCB2">
        <w:tc>
          <w:tcPr>
            <w:tcW w:w="3433" w:type="dxa"/>
          </w:tcPr>
          <w:p w14:paraId="6ADF350B" w14:textId="7C6E2D0D" w:rsidR="7A10CCB2" w:rsidRDefault="7A10CCB2" w:rsidP="7A10CCB2">
            <w:pPr>
              <w:rPr>
                <w:rFonts w:ascii="Verdana" w:hAnsi="Verdana"/>
              </w:rPr>
            </w:pPr>
            <w:r w:rsidRPr="7A10CCB2">
              <w:rPr>
                <w:rFonts w:ascii="Verdana" w:hAnsi="Verdana"/>
              </w:rPr>
              <w:t>Outcome 2: Employment and Economic Security</w:t>
            </w:r>
          </w:p>
        </w:tc>
        <w:tc>
          <w:tcPr>
            <w:tcW w:w="6769" w:type="dxa"/>
          </w:tcPr>
          <w:p w14:paraId="4712FA88" w14:textId="77777777" w:rsidR="00CD17C2" w:rsidRPr="002D6880" w:rsidRDefault="00CD17C2" w:rsidP="00CD17C2">
            <w:pPr>
              <w:rPr>
                <w:rFonts w:ascii="Verdana" w:hAnsi="Verdana" w:cs="Arial"/>
                <w:color w:val="000000"/>
                <w:sz w:val="20"/>
                <w:szCs w:val="20"/>
              </w:rPr>
            </w:pPr>
            <w:r w:rsidRPr="002D6880">
              <w:rPr>
                <w:rFonts w:ascii="Verdana" w:hAnsi="Verdana" w:cs="Arial"/>
                <w:color w:val="000000"/>
                <w:sz w:val="20"/>
                <w:szCs w:val="20"/>
              </w:rPr>
              <w:t>Hours worked in employment per week and status in employment by age group and sex, for the employed census usually resident population count aged 15 years and over, 2006, 2013, and 2018 Censuses (RC, TA, DHB)</w:t>
            </w:r>
          </w:p>
          <w:p w14:paraId="4771B693" w14:textId="77777777" w:rsidR="00CD17C2" w:rsidRPr="002D6880" w:rsidRDefault="00CD17C2" w:rsidP="00727C76">
            <w:pPr>
              <w:rPr>
                <w:rFonts w:ascii="Verdana" w:hAnsi="Verdana" w:cs="Arial"/>
                <w:color w:val="000000"/>
                <w:sz w:val="20"/>
                <w:szCs w:val="20"/>
              </w:rPr>
            </w:pPr>
          </w:p>
          <w:p w14:paraId="389F1060" w14:textId="77777777" w:rsidR="003F7077" w:rsidRPr="002D6880" w:rsidRDefault="003F7077" w:rsidP="003F7077">
            <w:pPr>
              <w:rPr>
                <w:rFonts w:ascii="Verdana" w:hAnsi="Verdana" w:cs="Arial"/>
                <w:color w:val="000000"/>
                <w:sz w:val="20"/>
                <w:szCs w:val="20"/>
              </w:rPr>
            </w:pPr>
            <w:r w:rsidRPr="002D6880">
              <w:rPr>
                <w:rFonts w:ascii="Verdana" w:hAnsi="Verdana" w:cs="Arial"/>
                <w:color w:val="000000"/>
                <w:sz w:val="20"/>
                <w:szCs w:val="20"/>
              </w:rPr>
              <w:t xml:space="preserve">Main means of travel to work and workplace address by age group and sex, for the employed census usually resident population count aged 15 years and over, 2018 Census (RC, TA, SA2) </w:t>
            </w:r>
          </w:p>
          <w:p w14:paraId="44D84A16" w14:textId="77777777" w:rsidR="003F7077" w:rsidRPr="002D6880" w:rsidRDefault="003F7077" w:rsidP="00727C76">
            <w:pPr>
              <w:rPr>
                <w:rFonts w:ascii="Verdana" w:hAnsi="Verdana" w:cs="Arial"/>
                <w:color w:val="000000"/>
                <w:sz w:val="20"/>
                <w:szCs w:val="20"/>
              </w:rPr>
            </w:pPr>
          </w:p>
          <w:p w14:paraId="2FD8706A" w14:textId="4AD34CC7" w:rsidR="00727C76" w:rsidRPr="002D6880" w:rsidRDefault="00727C76" w:rsidP="00727C76">
            <w:pPr>
              <w:rPr>
                <w:rFonts w:ascii="Verdana" w:hAnsi="Verdana" w:cs="Arial"/>
                <w:color w:val="000000"/>
                <w:sz w:val="20"/>
                <w:szCs w:val="20"/>
              </w:rPr>
            </w:pPr>
            <w:r w:rsidRPr="002D6880">
              <w:rPr>
                <w:rFonts w:ascii="Verdana" w:hAnsi="Verdana" w:cs="Arial"/>
                <w:color w:val="000000"/>
                <w:sz w:val="20"/>
                <w:szCs w:val="20"/>
              </w:rPr>
              <w:t>Birthplace (broad geographic areas) and work and labour force status by age and sex, for the census usually resident population count aged 15 years and over, 2006, 2013, and 2018 Censuses (RC, TA, SA2, DH)</w:t>
            </w:r>
          </w:p>
          <w:p w14:paraId="417EEF24" w14:textId="77777777" w:rsidR="00D31C95" w:rsidRPr="002D6880" w:rsidRDefault="00D31C95" w:rsidP="00727C76">
            <w:pPr>
              <w:rPr>
                <w:rFonts w:ascii="Verdana" w:hAnsi="Verdana" w:cs="Arial"/>
                <w:color w:val="000000"/>
                <w:sz w:val="20"/>
                <w:szCs w:val="20"/>
              </w:rPr>
            </w:pPr>
          </w:p>
          <w:p w14:paraId="7CAD46AF" w14:textId="69C02AFD" w:rsidR="00D31C95" w:rsidRPr="002D6880" w:rsidRDefault="00D31C95" w:rsidP="00D31C95">
            <w:pPr>
              <w:rPr>
                <w:rFonts w:ascii="Verdana" w:hAnsi="Verdana" w:cs="Arial"/>
                <w:color w:val="000000"/>
                <w:sz w:val="20"/>
                <w:szCs w:val="20"/>
              </w:rPr>
            </w:pPr>
            <w:r w:rsidRPr="002D6880">
              <w:rPr>
                <w:rFonts w:ascii="Verdana" w:hAnsi="Verdana" w:cs="Arial"/>
                <w:color w:val="000000"/>
                <w:sz w:val="20"/>
                <w:szCs w:val="20"/>
              </w:rPr>
              <w:t xml:space="preserve">Individual home ownership and total personal income (grouped) by age group and sex, for the usually resident population count </w:t>
            </w:r>
            <w:r w:rsidRPr="002D6880">
              <w:rPr>
                <w:rFonts w:ascii="Verdana" w:hAnsi="Verdana" w:cs="Arial"/>
                <w:color w:val="000000"/>
                <w:sz w:val="20"/>
                <w:szCs w:val="20"/>
              </w:rPr>
              <w:lastRenderedPageBreak/>
              <w:t>aged 15 years and over, 2006, 2013, and 2018 Censuses (RC, TA, SA2, DHB)</w:t>
            </w:r>
          </w:p>
          <w:p w14:paraId="18D6A4EB" w14:textId="77777777" w:rsidR="00D31C95" w:rsidRPr="002D6880" w:rsidRDefault="00D31C95" w:rsidP="00727C76">
            <w:pPr>
              <w:rPr>
                <w:rFonts w:ascii="Verdana" w:hAnsi="Verdana" w:cs="Arial"/>
                <w:color w:val="000000"/>
                <w:sz w:val="20"/>
                <w:szCs w:val="20"/>
              </w:rPr>
            </w:pPr>
          </w:p>
          <w:p w14:paraId="2ACD47A1" w14:textId="77777777" w:rsidR="003559BB" w:rsidRPr="002D6880" w:rsidRDefault="003559BB" w:rsidP="003559BB">
            <w:pPr>
              <w:rPr>
                <w:rFonts w:ascii="Verdana" w:hAnsi="Verdana" w:cs="Arial"/>
                <w:color w:val="000000"/>
                <w:sz w:val="20"/>
                <w:szCs w:val="20"/>
              </w:rPr>
            </w:pPr>
            <w:r w:rsidRPr="002D6880">
              <w:rPr>
                <w:rFonts w:ascii="Verdana" w:hAnsi="Verdana" w:cs="Arial"/>
                <w:color w:val="000000"/>
                <w:sz w:val="20"/>
                <w:szCs w:val="20"/>
              </w:rPr>
              <w:t>Occupation (major group) and industry (division) by age group and sex, for the employed census usually resident population count aged 15 years and over, 2006, 2013, and 2018 Censuses (RC, TA, DHB)</w:t>
            </w:r>
          </w:p>
          <w:p w14:paraId="27E58ADF" w14:textId="77777777" w:rsidR="006F6DCE" w:rsidRPr="002D6880" w:rsidRDefault="006F6DCE" w:rsidP="00727C76">
            <w:pPr>
              <w:rPr>
                <w:rFonts w:ascii="Verdana" w:hAnsi="Verdana" w:cs="Arial"/>
                <w:color w:val="000000"/>
                <w:sz w:val="20"/>
                <w:szCs w:val="20"/>
              </w:rPr>
            </w:pPr>
          </w:p>
          <w:p w14:paraId="74F9B063" w14:textId="77777777" w:rsidR="002923B0" w:rsidRPr="002D6880" w:rsidRDefault="002923B0" w:rsidP="002923B0">
            <w:pPr>
              <w:rPr>
                <w:rFonts w:ascii="Verdana" w:hAnsi="Verdana" w:cs="Arial"/>
                <w:color w:val="000000"/>
                <w:sz w:val="20"/>
                <w:szCs w:val="20"/>
              </w:rPr>
            </w:pPr>
            <w:r w:rsidRPr="002D6880">
              <w:rPr>
                <w:rFonts w:ascii="Verdana" w:hAnsi="Verdana" w:cs="Arial"/>
                <w:color w:val="000000"/>
                <w:sz w:val="20"/>
                <w:szCs w:val="20"/>
              </w:rPr>
              <w:t>Sources of personal income and work and labour force status by age group and sex, for the census usually resident population count aged 15 years and over, 2006, 2013, and 2018 Censuses (RC, TA, DHB)</w:t>
            </w:r>
          </w:p>
          <w:p w14:paraId="5E47B2B2" w14:textId="77777777" w:rsidR="00DD1364" w:rsidRDefault="00DD1364" w:rsidP="002923B0">
            <w:pPr>
              <w:rPr>
                <w:rFonts w:ascii="Arial" w:hAnsi="Arial" w:cs="Arial"/>
                <w:color w:val="000000"/>
                <w:sz w:val="18"/>
                <w:szCs w:val="18"/>
              </w:rPr>
            </w:pPr>
          </w:p>
          <w:p w14:paraId="6D50165A" w14:textId="77777777" w:rsidR="00DD1364" w:rsidRPr="002D6880" w:rsidRDefault="00DD1364" w:rsidP="00DD1364">
            <w:pPr>
              <w:rPr>
                <w:rFonts w:ascii="Verdana" w:hAnsi="Verdana" w:cs="Arial"/>
                <w:color w:val="000000"/>
                <w:sz w:val="20"/>
                <w:szCs w:val="20"/>
              </w:rPr>
            </w:pPr>
            <w:r w:rsidRPr="002D6880">
              <w:rPr>
                <w:rFonts w:ascii="Verdana" w:hAnsi="Verdana" w:cs="Arial"/>
                <w:color w:val="000000"/>
                <w:sz w:val="20"/>
                <w:szCs w:val="20"/>
              </w:rPr>
              <w:t>Total personal income and occupation (major group) by age group and sex, for the employed census usually resident population count aged 15 years and over, 2013 and 2018 Censuses (RC, TA, SA2, DHB)</w:t>
            </w:r>
          </w:p>
          <w:p w14:paraId="7B46FA27" w14:textId="77777777" w:rsidR="003C4632" w:rsidRPr="002D6880" w:rsidRDefault="003C4632" w:rsidP="00DD1364">
            <w:pPr>
              <w:rPr>
                <w:rFonts w:ascii="Verdana" w:hAnsi="Verdana" w:cs="Arial"/>
                <w:color w:val="000000"/>
                <w:sz w:val="20"/>
                <w:szCs w:val="20"/>
              </w:rPr>
            </w:pPr>
          </w:p>
          <w:p w14:paraId="2D1DE283" w14:textId="77777777" w:rsidR="003C4632" w:rsidRPr="002D6880" w:rsidRDefault="003C4632" w:rsidP="003C4632">
            <w:pPr>
              <w:rPr>
                <w:rFonts w:ascii="Verdana" w:hAnsi="Verdana" w:cs="Arial"/>
                <w:color w:val="000000"/>
                <w:sz w:val="20"/>
                <w:szCs w:val="20"/>
              </w:rPr>
            </w:pPr>
            <w:r w:rsidRPr="002D6880">
              <w:rPr>
                <w:rFonts w:ascii="Verdana" w:hAnsi="Verdana" w:cs="Arial"/>
                <w:color w:val="000000"/>
                <w:sz w:val="20"/>
                <w:szCs w:val="20"/>
              </w:rPr>
              <w:t>Total family income (grouped) by family type, for families in occupied private dwellings, 2013 and 2018 Censuses (RC, TA, DHB, SA2)</w:t>
            </w:r>
          </w:p>
          <w:p w14:paraId="7119B53E" w14:textId="77777777" w:rsidR="003C4632" w:rsidRPr="002D6880" w:rsidRDefault="003C4632" w:rsidP="00DD1364">
            <w:pPr>
              <w:rPr>
                <w:rFonts w:ascii="Verdana" w:hAnsi="Verdana" w:cs="Arial"/>
                <w:color w:val="000000"/>
                <w:sz w:val="20"/>
                <w:szCs w:val="20"/>
              </w:rPr>
            </w:pPr>
          </w:p>
          <w:p w14:paraId="1C369275" w14:textId="77777777" w:rsidR="00DD1364" w:rsidRPr="002D6880" w:rsidRDefault="00DD1364" w:rsidP="002923B0">
            <w:pPr>
              <w:rPr>
                <w:rFonts w:ascii="Verdana" w:hAnsi="Verdana" w:cs="Arial"/>
                <w:color w:val="000000"/>
                <w:sz w:val="20"/>
                <w:szCs w:val="20"/>
              </w:rPr>
            </w:pPr>
          </w:p>
          <w:p w14:paraId="07246D77" w14:textId="77777777" w:rsidR="00394D86" w:rsidRPr="002D6880" w:rsidRDefault="00394D86" w:rsidP="00394D86">
            <w:pPr>
              <w:rPr>
                <w:rFonts w:ascii="Verdana" w:hAnsi="Verdana" w:cs="Arial"/>
                <w:color w:val="000000"/>
                <w:sz w:val="20"/>
                <w:szCs w:val="20"/>
              </w:rPr>
            </w:pPr>
            <w:r w:rsidRPr="002D6880">
              <w:rPr>
                <w:rFonts w:ascii="Verdana" w:hAnsi="Verdana" w:cs="Arial"/>
                <w:color w:val="000000"/>
                <w:sz w:val="20"/>
                <w:szCs w:val="20"/>
              </w:rPr>
              <w:t>Unpaid activities (total responses) by age group and sex, for the census usually resident population count aged 15 years and over, 2006, 2013, and 2018 Censuses (RC, TA, SA2, DHB)</w:t>
            </w:r>
          </w:p>
          <w:p w14:paraId="2AE88520" w14:textId="29A39C51" w:rsidR="7A10CCB2" w:rsidRDefault="7A10CCB2" w:rsidP="7A10CCB2">
            <w:pPr>
              <w:rPr>
                <w:rFonts w:ascii="Verdana" w:hAnsi="Verdana"/>
              </w:rPr>
            </w:pPr>
          </w:p>
        </w:tc>
      </w:tr>
      <w:tr w:rsidR="7A10CCB2" w14:paraId="44AAF7D4" w14:textId="77777777" w:rsidTr="7A10CCB2">
        <w:tc>
          <w:tcPr>
            <w:tcW w:w="3433" w:type="dxa"/>
          </w:tcPr>
          <w:p w14:paraId="7C73BA61" w14:textId="79E1B5A2" w:rsidR="7A10CCB2" w:rsidRDefault="7A10CCB2" w:rsidP="7A10CCB2">
            <w:pPr>
              <w:rPr>
                <w:rFonts w:ascii="Verdana" w:hAnsi="Verdana"/>
              </w:rPr>
            </w:pPr>
            <w:r w:rsidRPr="7A10CCB2">
              <w:rPr>
                <w:rFonts w:ascii="Verdana" w:hAnsi="Verdana"/>
              </w:rPr>
              <w:lastRenderedPageBreak/>
              <w:t>Outcome 3: Health and Wellbeing</w:t>
            </w:r>
          </w:p>
        </w:tc>
        <w:tc>
          <w:tcPr>
            <w:tcW w:w="6769" w:type="dxa"/>
          </w:tcPr>
          <w:p w14:paraId="60B2142E" w14:textId="77777777" w:rsidR="00501D5E" w:rsidRPr="002D6880" w:rsidRDefault="00501D5E" w:rsidP="00501D5E">
            <w:pPr>
              <w:rPr>
                <w:rFonts w:ascii="Verdana" w:hAnsi="Verdana" w:cs="Arial"/>
                <w:color w:val="000000"/>
                <w:sz w:val="20"/>
                <w:szCs w:val="20"/>
              </w:rPr>
            </w:pPr>
            <w:r w:rsidRPr="002D6880">
              <w:rPr>
                <w:rFonts w:ascii="Verdana" w:hAnsi="Verdana" w:cs="Arial"/>
                <w:color w:val="000000"/>
                <w:sz w:val="20"/>
                <w:szCs w:val="20"/>
              </w:rPr>
              <w:t>Dwelling dampness indicator and dwelling mould indicator by total household income (grouped), for households in occupied private dwellings, 2018 Census (RC, TA, SA2, DHB)</w:t>
            </w:r>
          </w:p>
          <w:p w14:paraId="614B4E07" w14:textId="77777777" w:rsidR="00394CEB" w:rsidRPr="002D6880" w:rsidRDefault="00394CEB" w:rsidP="00501D5E">
            <w:pPr>
              <w:rPr>
                <w:rFonts w:ascii="Verdana" w:hAnsi="Verdana" w:cs="Arial"/>
                <w:color w:val="000000"/>
                <w:sz w:val="20"/>
                <w:szCs w:val="20"/>
              </w:rPr>
            </w:pPr>
          </w:p>
          <w:p w14:paraId="0C4FE43A" w14:textId="77777777" w:rsidR="00394CEB" w:rsidRPr="002D6880" w:rsidRDefault="00394CEB" w:rsidP="00394CEB">
            <w:pPr>
              <w:rPr>
                <w:rFonts w:ascii="Verdana" w:hAnsi="Verdana" w:cs="Arial"/>
                <w:color w:val="000000"/>
                <w:sz w:val="20"/>
                <w:szCs w:val="20"/>
              </w:rPr>
            </w:pPr>
            <w:r w:rsidRPr="002D6880">
              <w:rPr>
                <w:rFonts w:ascii="Verdana" w:hAnsi="Verdana" w:cs="Arial"/>
                <w:color w:val="000000"/>
                <w:sz w:val="20"/>
                <w:szCs w:val="20"/>
              </w:rPr>
              <w:t>Access to basic amenities (total responses) by tenure of household, for households in occupied private dwellings, 2018 Census (RC, TA, SA2, DHB)</w:t>
            </w:r>
          </w:p>
          <w:p w14:paraId="6CB80121" w14:textId="77777777" w:rsidR="00E866B7" w:rsidRPr="002D6880" w:rsidRDefault="00E866B7" w:rsidP="00394CEB">
            <w:pPr>
              <w:rPr>
                <w:rFonts w:ascii="Verdana" w:hAnsi="Verdana" w:cs="Arial"/>
                <w:color w:val="000000"/>
                <w:sz w:val="20"/>
                <w:szCs w:val="20"/>
              </w:rPr>
            </w:pPr>
          </w:p>
          <w:p w14:paraId="09A8C098" w14:textId="77777777" w:rsidR="00E866B7" w:rsidRPr="002D6880" w:rsidRDefault="00E866B7" w:rsidP="00E866B7">
            <w:pPr>
              <w:rPr>
                <w:rFonts w:ascii="Verdana" w:hAnsi="Verdana" w:cs="Arial"/>
                <w:color w:val="000000"/>
                <w:sz w:val="20"/>
                <w:szCs w:val="20"/>
              </w:rPr>
            </w:pPr>
            <w:r w:rsidRPr="002D6880">
              <w:rPr>
                <w:rFonts w:ascii="Verdana" w:hAnsi="Verdana" w:cs="Arial"/>
                <w:color w:val="000000"/>
                <w:sz w:val="20"/>
                <w:szCs w:val="20"/>
              </w:rPr>
              <w:t>Access to telecommunication systems (total responses) by total household income (grouped), for households in occupied private dwellings, 2013 and 2018 Censuses (RC, TA, DHB, SA2)</w:t>
            </w:r>
          </w:p>
          <w:p w14:paraId="1BF1A82A" w14:textId="77777777" w:rsidR="00551152" w:rsidRPr="002D6880" w:rsidRDefault="00551152" w:rsidP="00E866B7">
            <w:pPr>
              <w:rPr>
                <w:rFonts w:ascii="Verdana" w:hAnsi="Verdana" w:cs="Arial"/>
                <w:color w:val="000000"/>
                <w:sz w:val="20"/>
                <w:szCs w:val="20"/>
              </w:rPr>
            </w:pPr>
          </w:p>
          <w:p w14:paraId="31D36E15" w14:textId="77777777" w:rsidR="00551152" w:rsidRPr="002D6880" w:rsidRDefault="00551152" w:rsidP="00551152">
            <w:pPr>
              <w:rPr>
                <w:rFonts w:ascii="Verdana" w:hAnsi="Verdana" w:cs="Arial"/>
                <w:color w:val="000000"/>
                <w:sz w:val="20"/>
                <w:szCs w:val="20"/>
              </w:rPr>
            </w:pPr>
            <w:r w:rsidRPr="002D6880">
              <w:rPr>
                <w:rFonts w:ascii="Verdana" w:hAnsi="Verdana" w:cs="Arial"/>
                <w:color w:val="000000"/>
                <w:sz w:val="20"/>
                <w:szCs w:val="20"/>
              </w:rPr>
              <w:t>Main types of heating used (total responses) by tenure of household, for households in occupied private dwellings, 2018 Census (RC, TA, SA2, DHB)</w:t>
            </w:r>
          </w:p>
          <w:p w14:paraId="07F4693D" w14:textId="77777777" w:rsidR="00331C60" w:rsidRPr="002D6880" w:rsidRDefault="00331C60" w:rsidP="00E866B7">
            <w:pPr>
              <w:rPr>
                <w:rFonts w:ascii="Verdana" w:hAnsi="Verdana" w:cs="Arial"/>
                <w:color w:val="000000"/>
                <w:sz w:val="20"/>
                <w:szCs w:val="20"/>
              </w:rPr>
            </w:pPr>
          </w:p>
          <w:p w14:paraId="4FC701A1" w14:textId="77777777" w:rsidR="00331C60" w:rsidRPr="002D6880" w:rsidRDefault="00331C60" w:rsidP="00331C60">
            <w:pPr>
              <w:rPr>
                <w:rFonts w:ascii="Verdana" w:hAnsi="Verdana" w:cs="Arial"/>
                <w:color w:val="000000"/>
                <w:sz w:val="20"/>
                <w:szCs w:val="20"/>
              </w:rPr>
            </w:pPr>
            <w:r w:rsidRPr="002D6880">
              <w:rPr>
                <w:rFonts w:ascii="Verdana" w:hAnsi="Verdana" w:cs="Arial"/>
                <w:color w:val="000000"/>
                <w:sz w:val="20"/>
                <w:szCs w:val="20"/>
              </w:rPr>
              <w:t>Number of motor vehicles by tenure of household, for households in occupied private dwellings, 2006, 2013, and 2018 Censuses (RC, TA, DHB, SA2)</w:t>
            </w:r>
          </w:p>
          <w:p w14:paraId="7688621E" w14:textId="77777777" w:rsidR="00501D5E" w:rsidRPr="002D6880" w:rsidRDefault="00501D5E" w:rsidP="00954F68">
            <w:pPr>
              <w:rPr>
                <w:rFonts w:ascii="Verdana" w:hAnsi="Verdana" w:cs="Arial"/>
                <w:color w:val="000000"/>
                <w:sz w:val="20"/>
                <w:szCs w:val="20"/>
              </w:rPr>
            </w:pPr>
          </w:p>
          <w:p w14:paraId="55CB4CDB" w14:textId="77777777" w:rsidR="007228D9" w:rsidRPr="002D6880" w:rsidRDefault="007228D9" w:rsidP="007228D9">
            <w:pPr>
              <w:rPr>
                <w:rFonts w:ascii="Verdana" w:hAnsi="Verdana" w:cs="Arial"/>
                <w:color w:val="000000"/>
                <w:sz w:val="20"/>
                <w:szCs w:val="20"/>
              </w:rPr>
            </w:pPr>
            <w:r w:rsidRPr="002D6880">
              <w:rPr>
                <w:rFonts w:ascii="Verdana" w:hAnsi="Verdana" w:cs="Arial"/>
                <w:color w:val="000000"/>
                <w:sz w:val="20"/>
                <w:szCs w:val="20"/>
              </w:rPr>
              <w:t xml:space="preserve">Extended family type, for extended families in occupied private dwellings, 2006, 2013, and 2018 Censuses (RC, TA, DHB, SA2) </w:t>
            </w:r>
          </w:p>
          <w:p w14:paraId="608FAEBF" w14:textId="77777777" w:rsidR="007228D9" w:rsidRPr="002D6880" w:rsidRDefault="007228D9" w:rsidP="00954F68">
            <w:pPr>
              <w:rPr>
                <w:rFonts w:ascii="Verdana" w:hAnsi="Verdana" w:cs="Arial"/>
                <w:color w:val="000000"/>
                <w:sz w:val="20"/>
                <w:szCs w:val="20"/>
              </w:rPr>
            </w:pPr>
          </w:p>
          <w:p w14:paraId="5B2D9076" w14:textId="5C45A2EE" w:rsidR="00954F68" w:rsidRPr="002D6880" w:rsidRDefault="00954F68" w:rsidP="00954F68">
            <w:pPr>
              <w:rPr>
                <w:rFonts w:ascii="Verdana" w:hAnsi="Verdana" w:cs="Arial"/>
                <w:color w:val="000000"/>
                <w:sz w:val="20"/>
                <w:szCs w:val="20"/>
              </w:rPr>
            </w:pPr>
            <w:r w:rsidRPr="002D6880">
              <w:rPr>
                <w:rFonts w:ascii="Verdana" w:hAnsi="Verdana" w:cs="Arial"/>
                <w:color w:val="000000"/>
                <w:sz w:val="20"/>
                <w:szCs w:val="20"/>
              </w:rPr>
              <w:t>Cigarette smoking behaviour and ethnic group (grouped total responses) by age group and sex, for the census usually resident population count aged 15 years and over, 2006, 2013, and 2018 Censuses (RC, TA, SA2, DHB)</w:t>
            </w:r>
          </w:p>
          <w:p w14:paraId="5192E75A" w14:textId="77777777" w:rsidR="00E11344" w:rsidRPr="002D6880" w:rsidRDefault="00E11344" w:rsidP="00954F68">
            <w:pPr>
              <w:rPr>
                <w:rFonts w:ascii="Verdana" w:hAnsi="Verdana" w:cs="Arial"/>
                <w:color w:val="000000"/>
                <w:sz w:val="20"/>
                <w:szCs w:val="20"/>
              </w:rPr>
            </w:pPr>
          </w:p>
          <w:p w14:paraId="6C40DAD0" w14:textId="77777777" w:rsidR="00E11344" w:rsidRPr="002D6880" w:rsidRDefault="00E11344" w:rsidP="00E11344">
            <w:pPr>
              <w:rPr>
                <w:rFonts w:ascii="Verdana" w:hAnsi="Verdana" w:cs="Arial"/>
                <w:color w:val="000000"/>
                <w:sz w:val="20"/>
                <w:szCs w:val="20"/>
              </w:rPr>
            </w:pPr>
            <w:r w:rsidRPr="002D6880">
              <w:rPr>
                <w:rFonts w:ascii="Verdana" w:hAnsi="Verdana" w:cs="Arial"/>
                <w:color w:val="000000"/>
                <w:sz w:val="20"/>
                <w:szCs w:val="20"/>
              </w:rPr>
              <w:t>Māori descent indicator by age group and sex, for the census usually resident population count, 2006, 2013, and 2018 Censuses (RC, TA, SA2, DHB, urban rural indicator)</w:t>
            </w:r>
          </w:p>
          <w:p w14:paraId="37BD6668" w14:textId="77777777" w:rsidR="00E11344" w:rsidRPr="002D6880" w:rsidRDefault="00E11344" w:rsidP="00954F68">
            <w:pPr>
              <w:rPr>
                <w:rFonts w:ascii="Verdana" w:hAnsi="Verdana" w:cs="Arial"/>
                <w:color w:val="000000"/>
                <w:sz w:val="20"/>
                <w:szCs w:val="20"/>
              </w:rPr>
            </w:pPr>
          </w:p>
          <w:p w14:paraId="7EFDC45A" w14:textId="77777777" w:rsidR="00760131" w:rsidRPr="002D6880" w:rsidRDefault="00760131" w:rsidP="00760131">
            <w:pPr>
              <w:rPr>
                <w:rFonts w:ascii="Verdana" w:hAnsi="Verdana" w:cs="Arial"/>
                <w:color w:val="000000"/>
                <w:sz w:val="20"/>
                <w:szCs w:val="20"/>
              </w:rPr>
            </w:pPr>
            <w:r w:rsidRPr="002D6880">
              <w:rPr>
                <w:rFonts w:ascii="Verdana" w:hAnsi="Verdana" w:cs="Arial"/>
                <w:color w:val="000000"/>
                <w:sz w:val="20"/>
                <w:szCs w:val="20"/>
              </w:rPr>
              <w:t>Legally registered relationship status and partnership status in current relationship by age and sex, for the census usually resident population count aged 15 years and over, 2006, 2013, and 2018 Censuses (RC, TA, SA2, DHB)</w:t>
            </w:r>
          </w:p>
          <w:p w14:paraId="455397AD" w14:textId="04B09410" w:rsidR="7A10CCB2" w:rsidRDefault="7A10CCB2" w:rsidP="7A10CCB2">
            <w:pPr>
              <w:rPr>
                <w:rFonts w:ascii="Verdana" w:hAnsi="Verdana"/>
              </w:rPr>
            </w:pPr>
          </w:p>
        </w:tc>
      </w:tr>
      <w:tr w:rsidR="7A10CCB2" w14:paraId="4BA36BBD" w14:textId="77777777" w:rsidTr="7A10CCB2">
        <w:tc>
          <w:tcPr>
            <w:tcW w:w="3433" w:type="dxa"/>
          </w:tcPr>
          <w:p w14:paraId="5EE2D3BA" w14:textId="79D51DE1" w:rsidR="7A10CCB2" w:rsidRDefault="7A10CCB2" w:rsidP="7A10CCB2">
            <w:pPr>
              <w:rPr>
                <w:rFonts w:ascii="Verdana" w:hAnsi="Verdana"/>
              </w:rPr>
            </w:pPr>
            <w:r w:rsidRPr="7A10CCB2">
              <w:rPr>
                <w:rFonts w:ascii="Verdana" w:hAnsi="Verdana"/>
              </w:rPr>
              <w:lastRenderedPageBreak/>
              <w:t>Outcome 5: Accessibility</w:t>
            </w:r>
          </w:p>
        </w:tc>
        <w:tc>
          <w:tcPr>
            <w:tcW w:w="6769" w:type="dxa"/>
          </w:tcPr>
          <w:p w14:paraId="3ACDA258" w14:textId="77777777" w:rsidR="009346D2" w:rsidRPr="002D6880" w:rsidRDefault="009346D2" w:rsidP="009346D2">
            <w:pPr>
              <w:rPr>
                <w:rFonts w:ascii="Verdana" w:hAnsi="Verdana" w:cs="Arial"/>
                <w:color w:val="000000"/>
                <w:sz w:val="20"/>
                <w:szCs w:val="20"/>
              </w:rPr>
            </w:pPr>
            <w:r w:rsidRPr="002D6880">
              <w:rPr>
                <w:rFonts w:ascii="Verdana" w:hAnsi="Verdana" w:cs="Arial"/>
                <w:color w:val="000000"/>
                <w:sz w:val="20"/>
                <w:szCs w:val="20"/>
              </w:rPr>
              <w:t>Census night population count and change, by regional council areas 2006, 2013, and 2018 Censuses</w:t>
            </w:r>
          </w:p>
          <w:p w14:paraId="3E14CE93" w14:textId="77777777" w:rsidR="00283CB9" w:rsidRPr="002D6880" w:rsidRDefault="00283CB9" w:rsidP="00CF11AB">
            <w:pPr>
              <w:rPr>
                <w:rFonts w:ascii="Verdana" w:hAnsi="Verdana" w:cs="Arial"/>
                <w:color w:val="000000"/>
                <w:sz w:val="20"/>
                <w:szCs w:val="20"/>
              </w:rPr>
            </w:pPr>
          </w:p>
          <w:p w14:paraId="22F1011F" w14:textId="4C10DDAB" w:rsidR="00CF11AB" w:rsidRPr="002D6880" w:rsidRDefault="00CF11AB" w:rsidP="00CF11AB">
            <w:pPr>
              <w:rPr>
                <w:rFonts w:ascii="Verdana" w:hAnsi="Verdana" w:cs="Arial"/>
                <w:color w:val="000000"/>
                <w:sz w:val="20"/>
                <w:szCs w:val="20"/>
              </w:rPr>
            </w:pPr>
            <w:r w:rsidRPr="002D6880">
              <w:rPr>
                <w:rFonts w:ascii="Verdana" w:hAnsi="Verdana" w:cs="Arial"/>
                <w:color w:val="000000"/>
                <w:sz w:val="20"/>
                <w:szCs w:val="20"/>
              </w:rPr>
              <w:t>Census night population count and change by territorial authority and Auckland local board areas 2006, 2013, and 2018 Censuses</w:t>
            </w:r>
          </w:p>
          <w:p w14:paraId="703D5B13" w14:textId="77777777" w:rsidR="00283CB9" w:rsidRPr="002D6880" w:rsidRDefault="00283CB9" w:rsidP="00E221A2">
            <w:pPr>
              <w:rPr>
                <w:rFonts w:ascii="Verdana" w:hAnsi="Verdana" w:cs="Arial"/>
                <w:color w:val="000000"/>
                <w:sz w:val="20"/>
                <w:szCs w:val="20"/>
              </w:rPr>
            </w:pPr>
          </w:p>
          <w:p w14:paraId="5C07D354" w14:textId="77777777" w:rsidR="7A10CCB2" w:rsidRDefault="00E221A2" w:rsidP="002D6880">
            <w:pPr>
              <w:rPr>
                <w:rFonts w:ascii="Verdana" w:hAnsi="Verdana" w:cs="Arial"/>
                <w:color w:val="000000"/>
                <w:sz w:val="20"/>
                <w:szCs w:val="20"/>
              </w:rPr>
            </w:pPr>
            <w:r w:rsidRPr="002D6880">
              <w:rPr>
                <w:rFonts w:ascii="Verdana" w:hAnsi="Verdana" w:cs="Arial"/>
                <w:color w:val="000000"/>
                <w:sz w:val="20"/>
                <w:szCs w:val="20"/>
              </w:rPr>
              <w:t>Census night population count and change by age and sex 2006, 2013, and 2018 Censuses</w:t>
            </w:r>
          </w:p>
          <w:p w14:paraId="49B7031D" w14:textId="069D4FB7" w:rsidR="002D6880" w:rsidRDefault="002D6880" w:rsidP="002D6880">
            <w:pPr>
              <w:rPr>
                <w:rFonts w:ascii="Verdana" w:hAnsi="Verdana"/>
              </w:rPr>
            </w:pPr>
          </w:p>
        </w:tc>
      </w:tr>
      <w:tr w:rsidR="7A10CCB2" w14:paraId="55B6D3E0" w14:textId="77777777" w:rsidTr="7A10CCB2">
        <w:tc>
          <w:tcPr>
            <w:tcW w:w="3433" w:type="dxa"/>
          </w:tcPr>
          <w:p w14:paraId="0B1682FF" w14:textId="000EAD93" w:rsidR="7A10CCB2" w:rsidRDefault="7A10CCB2" w:rsidP="7A10CCB2">
            <w:pPr>
              <w:rPr>
                <w:rFonts w:ascii="Verdana" w:hAnsi="Verdana"/>
              </w:rPr>
            </w:pPr>
            <w:r w:rsidRPr="7A10CCB2">
              <w:rPr>
                <w:rFonts w:ascii="Verdana" w:hAnsi="Verdana"/>
              </w:rPr>
              <w:t>Outcome 8: Leadership</w:t>
            </w:r>
          </w:p>
        </w:tc>
        <w:tc>
          <w:tcPr>
            <w:tcW w:w="6769" w:type="dxa"/>
          </w:tcPr>
          <w:p w14:paraId="33E321B1" w14:textId="2B905367" w:rsidR="7A10CCB2" w:rsidRDefault="000C76E8" w:rsidP="7A10CCB2">
            <w:pPr>
              <w:rPr>
                <w:rFonts w:ascii="Verdana" w:hAnsi="Verdana" w:cs="Arial"/>
                <w:color w:val="000000"/>
                <w:sz w:val="20"/>
                <w:szCs w:val="20"/>
              </w:rPr>
            </w:pPr>
            <w:r w:rsidRPr="002D6880">
              <w:rPr>
                <w:rFonts w:ascii="Verdana" w:hAnsi="Verdana" w:cs="Arial"/>
                <w:color w:val="000000"/>
                <w:sz w:val="20"/>
                <w:szCs w:val="20"/>
              </w:rPr>
              <w:t xml:space="preserve">Similar tables to Outcome 2 </w:t>
            </w:r>
          </w:p>
          <w:p w14:paraId="4AF4262A" w14:textId="33433208" w:rsidR="002D6880" w:rsidRDefault="002D6880" w:rsidP="7A10CCB2">
            <w:pPr>
              <w:rPr>
                <w:rFonts w:ascii="Verdana" w:hAnsi="Verdana"/>
              </w:rPr>
            </w:pPr>
          </w:p>
        </w:tc>
      </w:tr>
    </w:tbl>
    <w:p w14:paraId="2ABBDD37" w14:textId="4578A784" w:rsidR="7A10CCB2" w:rsidRDefault="7A10CCB2" w:rsidP="7A10CCB2">
      <w:pPr>
        <w:spacing w:line="360" w:lineRule="auto"/>
      </w:pPr>
    </w:p>
    <w:sectPr w:rsidR="7A10CCB2" w:rsidSect="00A50666">
      <w:headerReference w:type="default" r:id="rId12"/>
      <w:footerReference w:type="default" r:id="rId13"/>
      <w:pgSz w:w="11900" w:h="16840"/>
      <w:pgMar w:top="1902" w:right="679" w:bottom="1440" w:left="1440" w:header="708" w:footer="7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9060" w14:textId="77777777" w:rsidR="00514E50" w:rsidRDefault="00514E50" w:rsidP="00116195">
      <w:r>
        <w:separator/>
      </w:r>
    </w:p>
  </w:endnote>
  <w:endnote w:type="continuationSeparator" w:id="0">
    <w:p w14:paraId="48D0D181" w14:textId="77777777" w:rsidR="00514E50" w:rsidRDefault="00514E50" w:rsidP="00116195">
      <w:r>
        <w:continuationSeparator/>
      </w:r>
    </w:p>
  </w:endnote>
  <w:endnote w:type="continuationNotice" w:id="1">
    <w:p w14:paraId="01B9DC65" w14:textId="77777777" w:rsidR="00514E50" w:rsidRDefault="005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B1E9" w14:textId="5003CEB3" w:rsidR="00A50666" w:rsidRDefault="00A50666">
    <w:pPr>
      <w:pStyle w:val="Footer"/>
    </w:pPr>
    <w:r>
      <w:rPr>
        <w:noProof/>
        <w:color w:val="FF0000"/>
      </w:rPr>
      <mc:AlternateContent>
        <mc:Choice Requires="wps">
          <w:drawing>
            <wp:anchor distT="0" distB="0" distL="114300" distR="114300" simplePos="0" relativeHeight="251658240" behindDoc="0" locked="0" layoutInCell="1" allowOverlap="1" wp14:anchorId="3D1D8125" wp14:editId="3A243C7D">
              <wp:simplePos x="0" y="0"/>
              <wp:positionH relativeFrom="column">
                <wp:posOffset>-1</wp:posOffset>
              </wp:positionH>
              <wp:positionV relativeFrom="paragraph">
                <wp:posOffset>90903</wp:posOffset>
              </wp:positionV>
              <wp:extent cx="6154615" cy="0"/>
              <wp:effectExtent l="0" t="0" r="17780" b="12700"/>
              <wp:wrapNone/>
              <wp:docPr id="5" name="Straight Connector 5"/>
              <wp:cNvGraphicFramePr/>
              <a:graphic xmlns:a="http://schemas.openxmlformats.org/drawingml/2006/main">
                <a:graphicData uri="http://schemas.microsoft.com/office/word/2010/wordprocessingShape">
                  <wps:wsp>
                    <wps:cNvCnPr/>
                    <wps:spPr>
                      <a:xfrm>
                        <a:off x="0" y="0"/>
                        <a:ext cx="6154615" cy="0"/>
                      </a:xfrm>
                      <a:prstGeom prst="line">
                        <a:avLst/>
                      </a:prstGeom>
                      <a:ln>
                        <a:solidFill>
                          <a:srgbClr val="4D2D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2E2E8"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7.15pt" to="48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" strokecolor="#4d2d79" strokeweight=".5pt">
              <v:stroke joinstyle="miter"/>
            </v:line>
          </w:pict>
        </mc:Fallback>
      </mc:AlternateContent>
    </w:r>
    <w:r>
      <w:rPr>
        <w:noProof/>
        <w:color w:val="FF0000"/>
      </w:rPr>
      <w:softHyphen/>
    </w:r>
  </w:p>
  <w:p w14:paraId="73A58514" w14:textId="2E9E192D" w:rsidR="00116195" w:rsidRDefault="00A50666">
    <w:pPr>
      <w:pStyle w:val="Footer"/>
    </w:pPr>
    <w:r>
      <w:rPr>
        <w:noProof/>
      </w:rPr>
      <w:drawing>
        <wp:inline distT="0" distB="0" distL="0" distR="0" wp14:anchorId="53474CFE" wp14:editId="4A72BBDE">
          <wp:extent cx="1758652" cy="401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3198" cy="406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3D8E" w14:textId="77777777" w:rsidR="00514E50" w:rsidRDefault="00514E50" w:rsidP="00116195">
      <w:r>
        <w:separator/>
      </w:r>
    </w:p>
  </w:footnote>
  <w:footnote w:type="continuationSeparator" w:id="0">
    <w:p w14:paraId="411D3C14" w14:textId="77777777" w:rsidR="00514E50" w:rsidRDefault="00514E50" w:rsidP="00116195">
      <w:r>
        <w:continuationSeparator/>
      </w:r>
    </w:p>
  </w:footnote>
  <w:footnote w:type="continuationNotice" w:id="1">
    <w:p w14:paraId="4376CC69" w14:textId="77777777" w:rsidR="00514E50" w:rsidRDefault="00514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5EF7" w14:textId="193BEA6F" w:rsidR="005F55CD" w:rsidRDefault="005F55CD" w:rsidP="00A50666">
    <w:pPr>
      <w:pStyle w:val="Header"/>
      <w:tabs>
        <w:tab w:val="clear" w:pos="4680"/>
        <w:tab w:val="clear" w:pos="9360"/>
      </w:tabs>
      <w:ind w:right="-761"/>
    </w:pPr>
    <w:r>
      <w:rPr>
        <w:noProof/>
      </w:rPr>
      <w:drawing>
        <wp:anchor distT="0" distB="0" distL="114300" distR="114300" simplePos="0" relativeHeight="251659264" behindDoc="1" locked="0" layoutInCell="1" allowOverlap="1" wp14:anchorId="20ED9F27" wp14:editId="4C28834C">
          <wp:simplePos x="0" y="0"/>
          <wp:positionH relativeFrom="page">
            <wp:posOffset>1424370</wp:posOffset>
          </wp:positionH>
          <wp:positionV relativeFrom="paragraph">
            <wp:posOffset>-378822</wp:posOffset>
          </wp:positionV>
          <wp:extent cx="6037315" cy="69008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037315" cy="690085"/>
                  </a:xfrm>
                  <a:prstGeom prst="rect">
                    <a:avLst/>
                  </a:prstGeom>
                </pic:spPr>
              </pic:pic>
            </a:graphicData>
          </a:graphic>
          <wp14:sizeRelH relativeFrom="page">
            <wp14:pctWidth>0</wp14:pctWidth>
          </wp14:sizeRelH>
          <wp14:sizeRelV relativeFrom="page">
            <wp14:pctHeight>0</wp14:pctHeight>
          </wp14:sizeRelV>
        </wp:anchor>
      </w:drawing>
    </w:r>
  </w:p>
  <w:p w14:paraId="50D25E00" w14:textId="42E354FD" w:rsidR="005F55CD" w:rsidRDefault="005F55CD" w:rsidP="00A50666">
    <w:pPr>
      <w:pStyle w:val="Header"/>
      <w:tabs>
        <w:tab w:val="clear" w:pos="4680"/>
        <w:tab w:val="clear" w:pos="9360"/>
      </w:tabs>
      <w:ind w:right="-761"/>
    </w:pPr>
  </w:p>
  <w:p w14:paraId="02A97970" w14:textId="204767EF" w:rsidR="005F55CD" w:rsidRPr="005F55CD" w:rsidRDefault="005F55CD" w:rsidP="005F55CD">
    <w:pPr>
      <w:tabs>
        <w:tab w:val="center" w:pos="4513"/>
        <w:tab w:val="right" w:pos="9026"/>
      </w:tabs>
      <w:rPr>
        <w:rFonts w:ascii="Verdana" w:eastAsia="Calibri" w:hAnsi="Verdana" w:cs="Arial"/>
        <w:sz w:val="20"/>
        <w:szCs w:val="22"/>
        <w:lang w:val="en-NZ"/>
      </w:rPr>
    </w:pPr>
    <w:r w:rsidRPr="005F55CD">
      <w:rPr>
        <w:rFonts w:ascii="Verdana" w:eastAsia="Calibri" w:hAnsi="Verdana" w:cs="Arial"/>
        <w:sz w:val="20"/>
        <w:szCs w:val="22"/>
        <w:lang w:val="en-NZ"/>
      </w:rPr>
      <w:t xml:space="preserve">DDEWG Meeting 06/10/22 - Paper </w:t>
    </w:r>
    <w:r>
      <w:rPr>
        <w:rFonts w:ascii="Verdana" w:eastAsia="Calibri" w:hAnsi="Verdana" w:cs="Arial"/>
        <w:sz w:val="20"/>
        <w:szCs w:val="22"/>
        <w:lang w:val="en-NZ"/>
      </w:rPr>
      <w:t>6</w:t>
    </w:r>
    <w:r w:rsidRPr="005F55CD">
      <w:rPr>
        <w:rFonts w:ascii="Verdana" w:eastAsia="Calibri" w:hAnsi="Verdana" w:cs="Arial"/>
        <w:sz w:val="20"/>
        <w:szCs w:val="22"/>
        <w:lang w:val="en-NZ"/>
      </w:rPr>
      <w:t xml:space="preserve"> </w:t>
    </w:r>
  </w:p>
  <w:p w14:paraId="317A2B71" w14:textId="5199ED92" w:rsidR="00116195" w:rsidRDefault="00116195" w:rsidP="00A50666">
    <w:pPr>
      <w:pStyle w:val="Header"/>
      <w:tabs>
        <w:tab w:val="clear" w:pos="4680"/>
        <w:tab w:val="clear" w:pos="9360"/>
      </w:tabs>
      <w:ind w:right="-7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12A"/>
    <w:multiLevelType w:val="hybridMultilevel"/>
    <w:tmpl w:val="11C4D2BA"/>
    <w:lvl w:ilvl="0" w:tplc="B6D6B164">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A3319A4"/>
    <w:multiLevelType w:val="hybridMultilevel"/>
    <w:tmpl w:val="B49A01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68728E"/>
    <w:multiLevelType w:val="hybridMultilevel"/>
    <w:tmpl w:val="0060A8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F20437"/>
    <w:multiLevelType w:val="hybridMultilevel"/>
    <w:tmpl w:val="B8DECF9C"/>
    <w:lvl w:ilvl="0" w:tplc="B6D6B164">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3717B56"/>
    <w:multiLevelType w:val="hybridMultilevel"/>
    <w:tmpl w:val="DCE28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6BE1892"/>
    <w:multiLevelType w:val="hybridMultilevel"/>
    <w:tmpl w:val="D026B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95"/>
    <w:rsid w:val="00001176"/>
    <w:rsid w:val="000028AC"/>
    <w:rsid w:val="00021EDB"/>
    <w:rsid w:val="00026DCA"/>
    <w:rsid w:val="00042FBA"/>
    <w:rsid w:val="00046932"/>
    <w:rsid w:val="000507A5"/>
    <w:rsid w:val="00066EDA"/>
    <w:rsid w:val="00071FCA"/>
    <w:rsid w:val="000726EC"/>
    <w:rsid w:val="00075ABD"/>
    <w:rsid w:val="00084EB8"/>
    <w:rsid w:val="000853B9"/>
    <w:rsid w:val="00095DE3"/>
    <w:rsid w:val="000B4FD2"/>
    <w:rsid w:val="000C76E8"/>
    <w:rsid w:val="000D00DB"/>
    <w:rsid w:val="000D08A3"/>
    <w:rsid w:val="000E018A"/>
    <w:rsid w:val="000E147E"/>
    <w:rsid w:val="000E23AB"/>
    <w:rsid w:val="000F25F6"/>
    <w:rsid w:val="000F471D"/>
    <w:rsid w:val="000F71A1"/>
    <w:rsid w:val="00103A07"/>
    <w:rsid w:val="0010432B"/>
    <w:rsid w:val="00107608"/>
    <w:rsid w:val="00116195"/>
    <w:rsid w:val="00120C21"/>
    <w:rsid w:val="00121140"/>
    <w:rsid w:val="00123BD4"/>
    <w:rsid w:val="00124088"/>
    <w:rsid w:val="00125B7B"/>
    <w:rsid w:val="00142CDD"/>
    <w:rsid w:val="00146469"/>
    <w:rsid w:val="001632EC"/>
    <w:rsid w:val="001715ED"/>
    <w:rsid w:val="00183949"/>
    <w:rsid w:val="00196450"/>
    <w:rsid w:val="001A42A8"/>
    <w:rsid w:val="001A4CDC"/>
    <w:rsid w:val="001B313B"/>
    <w:rsid w:val="001D30B1"/>
    <w:rsid w:val="001E3B78"/>
    <w:rsid w:val="00226649"/>
    <w:rsid w:val="00230EE4"/>
    <w:rsid w:val="00243BE7"/>
    <w:rsid w:val="00247C88"/>
    <w:rsid w:val="00251E01"/>
    <w:rsid w:val="0026641E"/>
    <w:rsid w:val="00274E22"/>
    <w:rsid w:val="00283A53"/>
    <w:rsid w:val="00283CB9"/>
    <w:rsid w:val="00285587"/>
    <w:rsid w:val="0028687D"/>
    <w:rsid w:val="002923B0"/>
    <w:rsid w:val="00292A30"/>
    <w:rsid w:val="002B3F90"/>
    <w:rsid w:val="002C646E"/>
    <w:rsid w:val="002D6880"/>
    <w:rsid w:val="002F7A4E"/>
    <w:rsid w:val="00302648"/>
    <w:rsid w:val="003117B6"/>
    <w:rsid w:val="003172A1"/>
    <w:rsid w:val="00320A2C"/>
    <w:rsid w:val="00322690"/>
    <w:rsid w:val="00331C60"/>
    <w:rsid w:val="00340374"/>
    <w:rsid w:val="003425DF"/>
    <w:rsid w:val="00352C44"/>
    <w:rsid w:val="003559BB"/>
    <w:rsid w:val="00363641"/>
    <w:rsid w:val="0036556B"/>
    <w:rsid w:val="00373C1F"/>
    <w:rsid w:val="00383EB8"/>
    <w:rsid w:val="00386786"/>
    <w:rsid w:val="00386F4B"/>
    <w:rsid w:val="00394CEB"/>
    <w:rsid w:val="00394D86"/>
    <w:rsid w:val="003A1F89"/>
    <w:rsid w:val="003A5C9D"/>
    <w:rsid w:val="003B4829"/>
    <w:rsid w:val="003B5CE3"/>
    <w:rsid w:val="003C1ABB"/>
    <w:rsid w:val="003C4632"/>
    <w:rsid w:val="003E6A56"/>
    <w:rsid w:val="003E73F8"/>
    <w:rsid w:val="003F7077"/>
    <w:rsid w:val="0040033D"/>
    <w:rsid w:val="004264FB"/>
    <w:rsid w:val="004560A4"/>
    <w:rsid w:val="00456512"/>
    <w:rsid w:val="004604F0"/>
    <w:rsid w:val="00464422"/>
    <w:rsid w:val="00466EC8"/>
    <w:rsid w:val="00482539"/>
    <w:rsid w:val="0048468F"/>
    <w:rsid w:val="00487D68"/>
    <w:rsid w:val="0049026C"/>
    <w:rsid w:val="00490DDC"/>
    <w:rsid w:val="004960EC"/>
    <w:rsid w:val="004A07D6"/>
    <w:rsid w:val="004A740C"/>
    <w:rsid w:val="004B1127"/>
    <w:rsid w:val="004B310C"/>
    <w:rsid w:val="004B35F5"/>
    <w:rsid w:val="004B591A"/>
    <w:rsid w:val="004D6183"/>
    <w:rsid w:val="004F3750"/>
    <w:rsid w:val="00501770"/>
    <w:rsid w:val="00501D5E"/>
    <w:rsid w:val="00514E50"/>
    <w:rsid w:val="00516FCF"/>
    <w:rsid w:val="00547838"/>
    <w:rsid w:val="00550861"/>
    <w:rsid w:val="005508E4"/>
    <w:rsid w:val="00551152"/>
    <w:rsid w:val="00561413"/>
    <w:rsid w:val="005717D8"/>
    <w:rsid w:val="005802B1"/>
    <w:rsid w:val="0059596E"/>
    <w:rsid w:val="005A0908"/>
    <w:rsid w:val="005B43A7"/>
    <w:rsid w:val="005B69E7"/>
    <w:rsid w:val="005C32C4"/>
    <w:rsid w:val="005D01D6"/>
    <w:rsid w:val="005E1D84"/>
    <w:rsid w:val="005E387A"/>
    <w:rsid w:val="005F2FA9"/>
    <w:rsid w:val="005F55CD"/>
    <w:rsid w:val="0061763E"/>
    <w:rsid w:val="00633B71"/>
    <w:rsid w:val="00635640"/>
    <w:rsid w:val="00694206"/>
    <w:rsid w:val="006B70C2"/>
    <w:rsid w:val="006E14C2"/>
    <w:rsid w:val="006F6DCE"/>
    <w:rsid w:val="00710BE4"/>
    <w:rsid w:val="007148CD"/>
    <w:rsid w:val="007228D9"/>
    <w:rsid w:val="00727C76"/>
    <w:rsid w:val="00760131"/>
    <w:rsid w:val="00766545"/>
    <w:rsid w:val="00774D62"/>
    <w:rsid w:val="007B1F8A"/>
    <w:rsid w:val="007B51C0"/>
    <w:rsid w:val="007B51E6"/>
    <w:rsid w:val="007C7FF9"/>
    <w:rsid w:val="007D06F4"/>
    <w:rsid w:val="007E0825"/>
    <w:rsid w:val="007F126D"/>
    <w:rsid w:val="00817409"/>
    <w:rsid w:val="00825B20"/>
    <w:rsid w:val="0083134F"/>
    <w:rsid w:val="008413A9"/>
    <w:rsid w:val="00860F8C"/>
    <w:rsid w:val="00864FD9"/>
    <w:rsid w:val="00875173"/>
    <w:rsid w:val="0087552D"/>
    <w:rsid w:val="0087581E"/>
    <w:rsid w:val="008864BB"/>
    <w:rsid w:val="008C28B7"/>
    <w:rsid w:val="008C5E70"/>
    <w:rsid w:val="008D1BD8"/>
    <w:rsid w:val="008D22CE"/>
    <w:rsid w:val="008D7CD3"/>
    <w:rsid w:val="008E05DF"/>
    <w:rsid w:val="008E2206"/>
    <w:rsid w:val="008F7081"/>
    <w:rsid w:val="009067CD"/>
    <w:rsid w:val="009270BE"/>
    <w:rsid w:val="00927464"/>
    <w:rsid w:val="009346D2"/>
    <w:rsid w:val="00954F68"/>
    <w:rsid w:val="00970F0E"/>
    <w:rsid w:val="00977578"/>
    <w:rsid w:val="00980192"/>
    <w:rsid w:val="009855AA"/>
    <w:rsid w:val="009856EA"/>
    <w:rsid w:val="00987B4F"/>
    <w:rsid w:val="00993349"/>
    <w:rsid w:val="00996612"/>
    <w:rsid w:val="009B34B0"/>
    <w:rsid w:val="009C4CEB"/>
    <w:rsid w:val="009F1A55"/>
    <w:rsid w:val="009F4F8C"/>
    <w:rsid w:val="009F727F"/>
    <w:rsid w:val="009F738C"/>
    <w:rsid w:val="00A03DF9"/>
    <w:rsid w:val="00A25C20"/>
    <w:rsid w:val="00A407FC"/>
    <w:rsid w:val="00A476F0"/>
    <w:rsid w:val="00A50666"/>
    <w:rsid w:val="00A522A2"/>
    <w:rsid w:val="00A57656"/>
    <w:rsid w:val="00A642E3"/>
    <w:rsid w:val="00A66739"/>
    <w:rsid w:val="00A67CFE"/>
    <w:rsid w:val="00A7272A"/>
    <w:rsid w:val="00A73F38"/>
    <w:rsid w:val="00A80BA0"/>
    <w:rsid w:val="00A83363"/>
    <w:rsid w:val="00A83A48"/>
    <w:rsid w:val="00A874E0"/>
    <w:rsid w:val="00A94297"/>
    <w:rsid w:val="00AA1E69"/>
    <w:rsid w:val="00AA752A"/>
    <w:rsid w:val="00AB711F"/>
    <w:rsid w:val="00AB7F26"/>
    <w:rsid w:val="00AC06D0"/>
    <w:rsid w:val="00AD62CE"/>
    <w:rsid w:val="00AD7308"/>
    <w:rsid w:val="00B14D1A"/>
    <w:rsid w:val="00B34DAA"/>
    <w:rsid w:val="00B4773F"/>
    <w:rsid w:val="00B614D3"/>
    <w:rsid w:val="00B87F80"/>
    <w:rsid w:val="00B95A25"/>
    <w:rsid w:val="00BB0228"/>
    <w:rsid w:val="00BD324D"/>
    <w:rsid w:val="00BD6267"/>
    <w:rsid w:val="00BD6CA2"/>
    <w:rsid w:val="00BF13A8"/>
    <w:rsid w:val="00C11DDA"/>
    <w:rsid w:val="00C51AB8"/>
    <w:rsid w:val="00C61BAC"/>
    <w:rsid w:val="00C6244B"/>
    <w:rsid w:val="00C73687"/>
    <w:rsid w:val="00C7491B"/>
    <w:rsid w:val="00C7724B"/>
    <w:rsid w:val="00C824E9"/>
    <w:rsid w:val="00C91B06"/>
    <w:rsid w:val="00C975E1"/>
    <w:rsid w:val="00CA5979"/>
    <w:rsid w:val="00CC2E87"/>
    <w:rsid w:val="00CC433E"/>
    <w:rsid w:val="00CD12B6"/>
    <w:rsid w:val="00CD17C2"/>
    <w:rsid w:val="00CD5FF9"/>
    <w:rsid w:val="00CE6451"/>
    <w:rsid w:val="00CF11AB"/>
    <w:rsid w:val="00CF7F0E"/>
    <w:rsid w:val="00D06B01"/>
    <w:rsid w:val="00D15649"/>
    <w:rsid w:val="00D163AC"/>
    <w:rsid w:val="00D22C71"/>
    <w:rsid w:val="00D31C95"/>
    <w:rsid w:val="00D3597D"/>
    <w:rsid w:val="00D47478"/>
    <w:rsid w:val="00D5692A"/>
    <w:rsid w:val="00D57F83"/>
    <w:rsid w:val="00D6387F"/>
    <w:rsid w:val="00D841FE"/>
    <w:rsid w:val="00D86BA7"/>
    <w:rsid w:val="00D91939"/>
    <w:rsid w:val="00DC18BF"/>
    <w:rsid w:val="00DD1364"/>
    <w:rsid w:val="00DD1D65"/>
    <w:rsid w:val="00DD7695"/>
    <w:rsid w:val="00E0387C"/>
    <w:rsid w:val="00E11344"/>
    <w:rsid w:val="00E221A2"/>
    <w:rsid w:val="00E34FE5"/>
    <w:rsid w:val="00E36F77"/>
    <w:rsid w:val="00E542F1"/>
    <w:rsid w:val="00E55DBB"/>
    <w:rsid w:val="00E65C86"/>
    <w:rsid w:val="00E66F01"/>
    <w:rsid w:val="00E76415"/>
    <w:rsid w:val="00E83920"/>
    <w:rsid w:val="00E866B7"/>
    <w:rsid w:val="00E90557"/>
    <w:rsid w:val="00EA172C"/>
    <w:rsid w:val="00EC32DD"/>
    <w:rsid w:val="00ED2B7C"/>
    <w:rsid w:val="00EE0641"/>
    <w:rsid w:val="00EE2AC8"/>
    <w:rsid w:val="00F03CD8"/>
    <w:rsid w:val="00F074C6"/>
    <w:rsid w:val="00F422B2"/>
    <w:rsid w:val="00F5119F"/>
    <w:rsid w:val="00F52E08"/>
    <w:rsid w:val="00F53C22"/>
    <w:rsid w:val="00F557B3"/>
    <w:rsid w:val="00F65D1B"/>
    <w:rsid w:val="00F724D8"/>
    <w:rsid w:val="00F83F9C"/>
    <w:rsid w:val="00F87545"/>
    <w:rsid w:val="00F944E3"/>
    <w:rsid w:val="00FA18DA"/>
    <w:rsid w:val="00FA30B3"/>
    <w:rsid w:val="00FA7379"/>
    <w:rsid w:val="00FB0C0F"/>
    <w:rsid w:val="00FB5738"/>
    <w:rsid w:val="00FC6689"/>
    <w:rsid w:val="00FD3C89"/>
    <w:rsid w:val="00FD6F66"/>
    <w:rsid w:val="00FE09B5"/>
    <w:rsid w:val="00FE5B63"/>
    <w:rsid w:val="00FF0226"/>
    <w:rsid w:val="00FF725E"/>
    <w:rsid w:val="4237D749"/>
    <w:rsid w:val="7A10C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6EEB9E"/>
  <w14:defaultImageDpi w14:val="32767"/>
  <w15:chartTrackingRefBased/>
  <w15:docId w15:val="{790E8874-F611-994C-92CF-383AF54F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195"/>
    <w:pPr>
      <w:tabs>
        <w:tab w:val="center" w:pos="4680"/>
        <w:tab w:val="right" w:pos="9360"/>
      </w:tabs>
    </w:pPr>
  </w:style>
  <w:style w:type="character" w:customStyle="1" w:styleId="HeaderChar">
    <w:name w:val="Header Char"/>
    <w:basedOn w:val="DefaultParagraphFont"/>
    <w:link w:val="Header"/>
    <w:uiPriority w:val="99"/>
    <w:rsid w:val="00116195"/>
  </w:style>
  <w:style w:type="paragraph" w:styleId="Footer">
    <w:name w:val="footer"/>
    <w:basedOn w:val="Normal"/>
    <w:link w:val="FooterChar"/>
    <w:uiPriority w:val="99"/>
    <w:unhideWhenUsed/>
    <w:rsid w:val="00116195"/>
    <w:pPr>
      <w:tabs>
        <w:tab w:val="center" w:pos="4680"/>
        <w:tab w:val="right" w:pos="9360"/>
      </w:tabs>
    </w:pPr>
  </w:style>
  <w:style w:type="character" w:customStyle="1" w:styleId="FooterChar">
    <w:name w:val="Footer Char"/>
    <w:basedOn w:val="DefaultParagraphFont"/>
    <w:link w:val="Footer"/>
    <w:uiPriority w:val="99"/>
    <w:rsid w:val="00116195"/>
  </w:style>
  <w:style w:type="paragraph" w:styleId="FootnoteText">
    <w:name w:val="footnote text"/>
    <w:basedOn w:val="Normal"/>
    <w:link w:val="FootnoteTextChar"/>
    <w:uiPriority w:val="99"/>
    <w:semiHidden/>
    <w:unhideWhenUsed/>
    <w:rsid w:val="000B4FD2"/>
    <w:rPr>
      <w:sz w:val="20"/>
      <w:szCs w:val="20"/>
    </w:rPr>
  </w:style>
  <w:style w:type="character" w:customStyle="1" w:styleId="FootnoteTextChar">
    <w:name w:val="Footnote Text Char"/>
    <w:basedOn w:val="DefaultParagraphFont"/>
    <w:link w:val="FootnoteText"/>
    <w:uiPriority w:val="99"/>
    <w:semiHidden/>
    <w:rsid w:val="000B4FD2"/>
    <w:rPr>
      <w:sz w:val="20"/>
      <w:szCs w:val="20"/>
    </w:rPr>
  </w:style>
  <w:style w:type="character" w:styleId="FootnoteReference">
    <w:name w:val="footnote reference"/>
    <w:basedOn w:val="DefaultParagraphFont"/>
    <w:uiPriority w:val="99"/>
    <w:semiHidden/>
    <w:unhideWhenUsed/>
    <w:rsid w:val="000B4FD2"/>
    <w:rPr>
      <w:vertAlign w:val="superscript"/>
    </w:rPr>
  </w:style>
  <w:style w:type="paragraph" w:styleId="ListParagraph">
    <w:name w:val="List Paragraph"/>
    <w:basedOn w:val="Normal"/>
    <w:uiPriority w:val="34"/>
    <w:rsid w:val="00A83363"/>
    <w:pPr>
      <w:spacing w:after="120" w:line="288" w:lineRule="auto"/>
      <w:ind w:left="720"/>
      <w:contextualSpacing/>
    </w:pPr>
    <w:rPr>
      <w:rFonts w:ascii="Verdana" w:eastAsia="Calibri" w:hAnsi="Verdana" w:cs="Arial"/>
      <w:sz w:val="20"/>
      <w:szCs w:val="22"/>
      <w:lang w:val="en-NZ"/>
    </w:rPr>
  </w:style>
  <w:style w:type="table" w:styleId="TableGrid">
    <w:name w:val="Table Grid"/>
    <w:basedOn w:val="TableNormal"/>
    <w:uiPriority w:val="39"/>
    <w:rsid w:val="005A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727F"/>
    <w:rPr>
      <w:sz w:val="16"/>
      <w:szCs w:val="16"/>
    </w:rPr>
  </w:style>
  <w:style w:type="paragraph" w:styleId="CommentText">
    <w:name w:val="annotation text"/>
    <w:basedOn w:val="Normal"/>
    <w:link w:val="CommentTextChar"/>
    <w:uiPriority w:val="99"/>
    <w:semiHidden/>
    <w:unhideWhenUsed/>
    <w:rsid w:val="009F727F"/>
    <w:rPr>
      <w:sz w:val="20"/>
      <w:szCs w:val="20"/>
    </w:rPr>
  </w:style>
  <w:style w:type="character" w:customStyle="1" w:styleId="CommentTextChar">
    <w:name w:val="Comment Text Char"/>
    <w:basedOn w:val="DefaultParagraphFont"/>
    <w:link w:val="CommentText"/>
    <w:uiPriority w:val="99"/>
    <w:semiHidden/>
    <w:rsid w:val="009F727F"/>
    <w:rPr>
      <w:sz w:val="20"/>
      <w:szCs w:val="20"/>
    </w:rPr>
  </w:style>
  <w:style w:type="paragraph" w:styleId="CommentSubject">
    <w:name w:val="annotation subject"/>
    <w:basedOn w:val="CommentText"/>
    <w:next w:val="CommentText"/>
    <w:link w:val="CommentSubjectChar"/>
    <w:uiPriority w:val="99"/>
    <w:semiHidden/>
    <w:unhideWhenUsed/>
    <w:rsid w:val="009F727F"/>
    <w:rPr>
      <w:b/>
      <w:bCs/>
    </w:rPr>
  </w:style>
  <w:style w:type="character" w:customStyle="1" w:styleId="CommentSubjectChar">
    <w:name w:val="Comment Subject Char"/>
    <w:basedOn w:val="CommentTextChar"/>
    <w:link w:val="CommentSubject"/>
    <w:uiPriority w:val="99"/>
    <w:semiHidden/>
    <w:rsid w:val="009F72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1659">
      <w:bodyDiv w:val="1"/>
      <w:marLeft w:val="0"/>
      <w:marRight w:val="0"/>
      <w:marTop w:val="0"/>
      <w:marBottom w:val="0"/>
      <w:divBdr>
        <w:top w:val="none" w:sz="0" w:space="0" w:color="auto"/>
        <w:left w:val="none" w:sz="0" w:space="0" w:color="auto"/>
        <w:bottom w:val="none" w:sz="0" w:space="0" w:color="auto"/>
        <w:right w:val="none" w:sz="0" w:space="0" w:color="auto"/>
      </w:divBdr>
    </w:div>
    <w:div w:id="263542493">
      <w:bodyDiv w:val="1"/>
      <w:marLeft w:val="0"/>
      <w:marRight w:val="0"/>
      <w:marTop w:val="0"/>
      <w:marBottom w:val="0"/>
      <w:divBdr>
        <w:top w:val="none" w:sz="0" w:space="0" w:color="auto"/>
        <w:left w:val="none" w:sz="0" w:space="0" w:color="auto"/>
        <w:bottom w:val="none" w:sz="0" w:space="0" w:color="auto"/>
        <w:right w:val="none" w:sz="0" w:space="0" w:color="auto"/>
      </w:divBdr>
    </w:div>
    <w:div w:id="267541182">
      <w:bodyDiv w:val="1"/>
      <w:marLeft w:val="0"/>
      <w:marRight w:val="0"/>
      <w:marTop w:val="0"/>
      <w:marBottom w:val="0"/>
      <w:divBdr>
        <w:top w:val="none" w:sz="0" w:space="0" w:color="auto"/>
        <w:left w:val="none" w:sz="0" w:space="0" w:color="auto"/>
        <w:bottom w:val="none" w:sz="0" w:space="0" w:color="auto"/>
        <w:right w:val="none" w:sz="0" w:space="0" w:color="auto"/>
      </w:divBdr>
    </w:div>
    <w:div w:id="272245830">
      <w:bodyDiv w:val="1"/>
      <w:marLeft w:val="0"/>
      <w:marRight w:val="0"/>
      <w:marTop w:val="0"/>
      <w:marBottom w:val="0"/>
      <w:divBdr>
        <w:top w:val="none" w:sz="0" w:space="0" w:color="auto"/>
        <w:left w:val="none" w:sz="0" w:space="0" w:color="auto"/>
        <w:bottom w:val="none" w:sz="0" w:space="0" w:color="auto"/>
        <w:right w:val="none" w:sz="0" w:space="0" w:color="auto"/>
      </w:divBdr>
    </w:div>
    <w:div w:id="467430501">
      <w:bodyDiv w:val="1"/>
      <w:marLeft w:val="0"/>
      <w:marRight w:val="0"/>
      <w:marTop w:val="0"/>
      <w:marBottom w:val="0"/>
      <w:divBdr>
        <w:top w:val="none" w:sz="0" w:space="0" w:color="auto"/>
        <w:left w:val="none" w:sz="0" w:space="0" w:color="auto"/>
        <w:bottom w:val="none" w:sz="0" w:space="0" w:color="auto"/>
        <w:right w:val="none" w:sz="0" w:space="0" w:color="auto"/>
      </w:divBdr>
    </w:div>
    <w:div w:id="558437986">
      <w:bodyDiv w:val="1"/>
      <w:marLeft w:val="0"/>
      <w:marRight w:val="0"/>
      <w:marTop w:val="0"/>
      <w:marBottom w:val="0"/>
      <w:divBdr>
        <w:top w:val="none" w:sz="0" w:space="0" w:color="auto"/>
        <w:left w:val="none" w:sz="0" w:space="0" w:color="auto"/>
        <w:bottom w:val="none" w:sz="0" w:space="0" w:color="auto"/>
        <w:right w:val="none" w:sz="0" w:space="0" w:color="auto"/>
      </w:divBdr>
    </w:div>
    <w:div w:id="703754460">
      <w:bodyDiv w:val="1"/>
      <w:marLeft w:val="0"/>
      <w:marRight w:val="0"/>
      <w:marTop w:val="0"/>
      <w:marBottom w:val="0"/>
      <w:divBdr>
        <w:top w:val="none" w:sz="0" w:space="0" w:color="auto"/>
        <w:left w:val="none" w:sz="0" w:space="0" w:color="auto"/>
        <w:bottom w:val="none" w:sz="0" w:space="0" w:color="auto"/>
        <w:right w:val="none" w:sz="0" w:space="0" w:color="auto"/>
      </w:divBdr>
    </w:div>
    <w:div w:id="738939869">
      <w:bodyDiv w:val="1"/>
      <w:marLeft w:val="0"/>
      <w:marRight w:val="0"/>
      <w:marTop w:val="0"/>
      <w:marBottom w:val="0"/>
      <w:divBdr>
        <w:top w:val="none" w:sz="0" w:space="0" w:color="auto"/>
        <w:left w:val="none" w:sz="0" w:space="0" w:color="auto"/>
        <w:bottom w:val="none" w:sz="0" w:space="0" w:color="auto"/>
        <w:right w:val="none" w:sz="0" w:space="0" w:color="auto"/>
      </w:divBdr>
    </w:div>
    <w:div w:id="800803360">
      <w:bodyDiv w:val="1"/>
      <w:marLeft w:val="0"/>
      <w:marRight w:val="0"/>
      <w:marTop w:val="0"/>
      <w:marBottom w:val="0"/>
      <w:divBdr>
        <w:top w:val="none" w:sz="0" w:space="0" w:color="auto"/>
        <w:left w:val="none" w:sz="0" w:space="0" w:color="auto"/>
        <w:bottom w:val="none" w:sz="0" w:space="0" w:color="auto"/>
        <w:right w:val="none" w:sz="0" w:space="0" w:color="auto"/>
      </w:divBdr>
    </w:div>
    <w:div w:id="832834799">
      <w:bodyDiv w:val="1"/>
      <w:marLeft w:val="0"/>
      <w:marRight w:val="0"/>
      <w:marTop w:val="0"/>
      <w:marBottom w:val="0"/>
      <w:divBdr>
        <w:top w:val="none" w:sz="0" w:space="0" w:color="auto"/>
        <w:left w:val="none" w:sz="0" w:space="0" w:color="auto"/>
        <w:bottom w:val="none" w:sz="0" w:space="0" w:color="auto"/>
        <w:right w:val="none" w:sz="0" w:space="0" w:color="auto"/>
      </w:divBdr>
    </w:div>
    <w:div w:id="839001961">
      <w:bodyDiv w:val="1"/>
      <w:marLeft w:val="0"/>
      <w:marRight w:val="0"/>
      <w:marTop w:val="0"/>
      <w:marBottom w:val="0"/>
      <w:divBdr>
        <w:top w:val="none" w:sz="0" w:space="0" w:color="auto"/>
        <w:left w:val="none" w:sz="0" w:space="0" w:color="auto"/>
        <w:bottom w:val="none" w:sz="0" w:space="0" w:color="auto"/>
        <w:right w:val="none" w:sz="0" w:space="0" w:color="auto"/>
      </w:divBdr>
    </w:div>
    <w:div w:id="953290191">
      <w:bodyDiv w:val="1"/>
      <w:marLeft w:val="0"/>
      <w:marRight w:val="0"/>
      <w:marTop w:val="0"/>
      <w:marBottom w:val="0"/>
      <w:divBdr>
        <w:top w:val="none" w:sz="0" w:space="0" w:color="auto"/>
        <w:left w:val="none" w:sz="0" w:space="0" w:color="auto"/>
        <w:bottom w:val="none" w:sz="0" w:space="0" w:color="auto"/>
        <w:right w:val="none" w:sz="0" w:space="0" w:color="auto"/>
      </w:divBdr>
    </w:div>
    <w:div w:id="1029725496">
      <w:bodyDiv w:val="1"/>
      <w:marLeft w:val="0"/>
      <w:marRight w:val="0"/>
      <w:marTop w:val="0"/>
      <w:marBottom w:val="0"/>
      <w:divBdr>
        <w:top w:val="none" w:sz="0" w:space="0" w:color="auto"/>
        <w:left w:val="none" w:sz="0" w:space="0" w:color="auto"/>
        <w:bottom w:val="none" w:sz="0" w:space="0" w:color="auto"/>
        <w:right w:val="none" w:sz="0" w:space="0" w:color="auto"/>
      </w:divBdr>
    </w:div>
    <w:div w:id="1083604121">
      <w:bodyDiv w:val="1"/>
      <w:marLeft w:val="0"/>
      <w:marRight w:val="0"/>
      <w:marTop w:val="0"/>
      <w:marBottom w:val="0"/>
      <w:divBdr>
        <w:top w:val="none" w:sz="0" w:space="0" w:color="auto"/>
        <w:left w:val="none" w:sz="0" w:space="0" w:color="auto"/>
        <w:bottom w:val="none" w:sz="0" w:space="0" w:color="auto"/>
        <w:right w:val="none" w:sz="0" w:space="0" w:color="auto"/>
      </w:divBdr>
    </w:div>
    <w:div w:id="1192263270">
      <w:bodyDiv w:val="1"/>
      <w:marLeft w:val="0"/>
      <w:marRight w:val="0"/>
      <w:marTop w:val="0"/>
      <w:marBottom w:val="0"/>
      <w:divBdr>
        <w:top w:val="none" w:sz="0" w:space="0" w:color="auto"/>
        <w:left w:val="none" w:sz="0" w:space="0" w:color="auto"/>
        <w:bottom w:val="none" w:sz="0" w:space="0" w:color="auto"/>
        <w:right w:val="none" w:sz="0" w:space="0" w:color="auto"/>
      </w:divBdr>
    </w:div>
    <w:div w:id="1209608190">
      <w:bodyDiv w:val="1"/>
      <w:marLeft w:val="0"/>
      <w:marRight w:val="0"/>
      <w:marTop w:val="0"/>
      <w:marBottom w:val="0"/>
      <w:divBdr>
        <w:top w:val="none" w:sz="0" w:space="0" w:color="auto"/>
        <w:left w:val="none" w:sz="0" w:space="0" w:color="auto"/>
        <w:bottom w:val="none" w:sz="0" w:space="0" w:color="auto"/>
        <w:right w:val="none" w:sz="0" w:space="0" w:color="auto"/>
      </w:divBdr>
    </w:div>
    <w:div w:id="1305811937">
      <w:bodyDiv w:val="1"/>
      <w:marLeft w:val="0"/>
      <w:marRight w:val="0"/>
      <w:marTop w:val="0"/>
      <w:marBottom w:val="0"/>
      <w:divBdr>
        <w:top w:val="none" w:sz="0" w:space="0" w:color="auto"/>
        <w:left w:val="none" w:sz="0" w:space="0" w:color="auto"/>
        <w:bottom w:val="none" w:sz="0" w:space="0" w:color="auto"/>
        <w:right w:val="none" w:sz="0" w:space="0" w:color="auto"/>
      </w:divBdr>
    </w:div>
    <w:div w:id="1308196164">
      <w:bodyDiv w:val="1"/>
      <w:marLeft w:val="0"/>
      <w:marRight w:val="0"/>
      <w:marTop w:val="0"/>
      <w:marBottom w:val="0"/>
      <w:divBdr>
        <w:top w:val="none" w:sz="0" w:space="0" w:color="auto"/>
        <w:left w:val="none" w:sz="0" w:space="0" w:color="auto"/>
        <w:bottom w:val="none" w:sz="0" w:space="0" w:color="auto"/>
        <w:right w:val="none" w:sz="0" w:space="0" w:color="auto"/>
      </w:divBdr>
    </w:div>
    <w:div w:id="1366833352">
      <w:bodyDiv w:val="1"/>
      <w:marLeft w:val="0"/>
      <w:marRight w:val="0"/>
      <w:marTop w:val="0"/>
      <w:marBottom w:val="0"/>
      <w:divBdr>
        <w:top w:val="none" w:sz="0" w:space="0" w:color="auto"/>
        <w:left w:val="none" w:sz="0" w:space="0" w:color="auto"/>
        <w:bottom w:val="none" w:sz="0" w:space="0" w:color="auto"/>
        <w:right w:val="none" w:sz="0" w:space="0" w:color="auto"/>
      </w:divBdr>
    </w:div>
    <w:div w:id="1394356004">
      <w:bodyDiv w:val="1"/>
      <w:marLeft w:val="0"/>
      <w:marRight w:val="0"/>
      <w:marTop w:val="0"/>
      <w:marBottom w:val="0"/>
      <w:divBdr>
        <w:top w:val="none" w:sz="0" w:space="0" w:color="auto"/>
        <w:left w:val="none" w:sz="0" w:space="0" w:color="auto"/>
        <w:bottom w:val="none" w:sz="0" w:space="0" w:color="auto"/>
        <w:right w:val="none" w:sz="0" w:space="0" w:color="auto"/>
      </w:divBdr>
    </w:div>
    <w:div w:id="1556551057">
      <w:bodyDiv w:val="1"/>
      <w:marLeft w:val="0"/>
      <w:marRight w:val="0"/>
      <w:marTop w:val="0"/>
      <w:marBottom w:val="0"/>
      <w:divBdr>
        <w:top w:val="none" w:sz="0" w:space="0" w:color="auto"/>
        <w:left w:val="none" w:sz="0" w:space="0" w:color="auto"/>
        <w:bottom w:val="none" w:sz="0" w:space="0" w:color="auto"/>
        <w:right w:val="none" w:sz="0" w:space="0" w:color="auto"/>
      </w:divBdr>
    </w:div>
    <w:div w:id="1650744804">
      <w:bodyDiv w:val="1"/>
      <w:marLeft w:val="0"/>
      <w:marRight w:val="0"/>
      <w:marTop w:val="0"/>
      <w:marBottom w:val="0"/>
      <w:divBdr>
        <w:top w:val="none" w:sz="0" w:space="0" w:color="auto"/>
        <w:left w:val="none" w:sz="0" w:space="0" w:color="auto"/>
        <w:bottom w:val="none" w:sz="0" w:space="0" w:color="auto"/>
        <w:right w:val="none" w:sz="0" w:space="0" w:color="auto"/>
      </w:divBdr>
    </w:div>
    <w:div w:id="1669599836">
      <w:bodyDiv w:val="1"/>
      <w:marLeft w:val="0"/>
      <w:marRight w:val="0"/>
      <w:marTop w:val="0"/>
      <w:marBottom w:val="0"/>
      <w:divBdr>
        <w:top w:val="none" w:sz="0" w:space="0" w:color="auto"/>
        <w:left w:val="none" w:sz="0" w:space="0" w:color="auto"/>
        <w:bottom w:val="none" w:sz="0" w:space="0" w:color="auto"/>
        <w:right w:val="none" w:sz="0" w:space="0" w:color="auto"/>
      </w:divBdr>
    </w:div>
    <w:div w:id="1716543927">
      <w:bodyDiv w:val="1"/>
      <w:marLeft w:val="0"/>
      <w:marRight w:val="0"/>
      <w:marTop w:val="0"/>
      <w:marBottom w:val="0"/>
      <w:divBdr>
        <w:top w:val="none" w:sz="0" w:space="0" w:color="auto"/>
        <w:left w:val="none" w:sz="0" w:space="0" w:color="auto"/>
        <w:bottom w:val="none" w:sz="0" w:space="0" w:color="auto"/>
        <w:right w:val="none" w:sz="0" w:space="0" w:color="auto"/>
      </w:divBdr>
    </w:div>
    <w:div w:id="1728141941">
      <w:bodyDiv w:val="1"/>
      <w:marLeft w:val="0"/>
      <w:marRight w:val="0"/>
      <w:marTop w:val="0"/>
      <w:marBottom w:val="0"/>
      <w:divBdr>
        <w:top w:val="none" w:sz="0" w:space="0" w:color="auto"/>
        <w:left w:val="none" w:sz="0" w:space="0" w:color="auto"/>
        <w:bottom w:val="none" w:sz="0" w:space="0" w:color="auto"/>
        <w:right w:val="none" w:sz="0" w:space="0" w:color="auto"/>
      </w:divBdr>
    </w:div>
    <w:div w:id="1837450339">
      <w:bodyDiv w:val="1"/>
      <w:marLeft w:val="0"/>
      <w:marRight w:val="0"/>
      <w:marTop w:val="0"/>
      <w:marBottom w:val="0"/>
      <w:divBdr>
        <w:top w:val="none" w:sz="0" w:space="0" w:color="auto"/>
        <w:left w:val="none" w:sz="0" w:space="0" w:color="auto"/>
        <w:bottom w:val="none" w:sz="0" w:space="0" w:color="auto"/>
        <w:right w:val="none" w:sz="0" w:space="0" w:color="auto"/>
      </w:divBdr>
    </w:div>
    <w:div w:id="18595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f17ac-3aa9-4118-aa0c-6f3fb024fe8b">INFO-952724834-518</_dlc_DocId>
    <_dlc_DocIdUrl xmlns="71cf17ac-3aa9-4118-aa0c-6f3fb024fe8b">
      <Url>https://msdgovtnz.sharepoint.com/sites/whaikaha-ORG-Data-and-Insights-Team/_layouts/15/DocIdRedir.aspx?ID=INFO-952724834-518</Url>
      <Description>INFO-952724834-518</Description>
    </_dlc_DocIdUrl>
    <lcf76f155ced4ddcb4097134ff3c332f xmlns="741b2568-daee-436e-a9d4-dd85aba4bf11">
      <Terms xmlns="http://schemas.microsoft.com/office/infopath/2007/PartnerControls"/>
    </lcf76f155ced4ddcb4097134ff3c332f>
    <TaxCatchAll xmlns="71cf17ac-3aa9-4118-aa0c-6f3fb024fe8b" xsi:nil="true"/>
    <SharedWithUsers xmlns="71cf17ac-3aa9-4118-aa0c-6f3fb024fe8b">
      <UserInfo>
        <DisplayName>Angela Sweeney</DisplayName>
        <AccountId>103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DAE7CE-4F0D-9C42-AD59-2BE73A512C2A}">
  <ds:schemaRefs>
    <ds:schemaRef ds:uri="http://schemas.openxmlformats.org/officeDocument/2006/bibliography"/>
  </ds:schemaRefs>
</ds:datastoreItem>
</file>

<file path=customXml/itemProps2.xml><?xml version="1.0" encoding="utf-8"?>
<ds:datastoreItem xmlns:ds="http://schemas.openxmlformats.org/officeDocument/2006/customXml" ds:itemID="{819B0389-5D8F-4975-BD43-9904FE051168}"/>
</file>

<file path=customXml/itemProps3.xml><?xml version="1.0" encoding="utf-8"?>
<ds:datastoreItem xmlns:ds="http://schemas.openxmlformats.org/officeDocument/2006/customXml" ds:itemID="{1069B1CD-B803-46E1-B0DA-18B3B247D17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aa0a295-546d-4951-9edb-649d9e5932e8"/>
    <ds:schemaRef ds:uri="http://schemas.microsoft.com/office/2006/documentManagement/types"/>
    <ds:schemaRef ds:uri="133f64aa-6ede-4b57-984d-7d4c77abff44"/>
    <ds:schemaRef ds:uri="http://www.w3.org/XML/1998/namespace"/>
    <ds:schemaRef ds:uri="http://purl.org/dc/dcmitype/"/>
  </ds:schemaRefs>
</ds:datastoreItem>
</file>

<file path=customXml/itemProps4.xml><?xml version="1.0" encoding="utf-8"?>
<ds:datastoreItem xmlns:ds="http://schemas.openxmlformats.org/officeDocument/2006/customXml" ds:itemID="{DF270B61-CC4F-4978-BA51-38459B3F86D6}">
  <ds:schemaRefs>
    <ds:schemaRef ds:uri="http://schemas.microsoft.com/sharepoint/v3/contenttype/forms"/>
  </ds:schemaRefs>
</ds:datastoreItem>
</file>

<file path=customXml/itemProps5.xml><?xml version="1.0" encoding="utf-8"?>
<ds:datastoreItem xmlns:ds="http://schemas.openxmlformats.org/officeDocument/2006/customXml" ds:itemID="{FDB1203C-61BF-4C51-A477-C646080462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Reid</dc:creator>
  <cp:keywords/>
  <dc:description/>
  <cp:lastModifiedBy>Sarah Fuhrer</cp:lastModifiedBy>
  <cp:revision>4</cp:revision>
  <dcterms:created xsi:type="dcterms:W3CDTF">2022-09-08T04:37:00Z</dcterms:created>
  <dcterms:modified xsi:type="dcterms:W3CDTF">2022-09-27T20:24:00Z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0x0101002EAEAAD890E3A14E9AE970EC1859A780</vt:lpwstr>
  </property>
  <property fmtid="{D5CDD505-2E9C-101B-9397-08002B2CF9AE}" pid="3" name="_dlc_DocIdItemGuid">
    <vt:lpwstr>d1f07f07-ac65-4f8a-acec-d528455add3a</vt:lpwstr>
  </property>
  <property fmtid="{D5CDD505-2E9C-101B-9397-08002B2CF9AE}" pid="4" name="SharedWithUsers">
    <vt:lpwstr>103;#Angela Sweeney</vt:lpwstr>
  </property>
</Properties>
</file>