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AF850" w14:textId="1E5C9BEF" w:rsidR="002966E9" w:rsidRPr="005E12E2" w:rsidRDefault="00D2179A" w:rsidP="00E704FE">
      <w:bookmarkStart w:id="0" w:name="_Hlk190949975"/>
      <w:r w:rsidRPr="00117442">
        <w:t>Visual description: A purple Whaikaha logo with a QR scan for the NZSL name.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337"/>
        <w:gridCol w:w="7112"/>
      </w:tblGrid>
      <w:tr w:rsidR="002966E9" w:rsidRPr="004F6036" w14:paraId="1B35C974" w14:textId="77777777" w:rsidTr="69CE403C">
        <w:trPr>
          <w:trHeight w:val="302"/>
        </w:trPr>
        <w:tc>
          <w:tcPr>
            <w:tcW w:w="2337" w:type="dxa"/>
          </w:tcPr>
          <w:p w14:paraId="76F519A7" w14:textId="01F96242" w:rsidR="002966E9" w:rsidRPr="000548FA" w:rsidRDefault="002966E9" w:rsidP="00B03806">
            <w:pPr>
              <w:rPr>
                <w:b/>
                <w:bCs/>
                <w:sz w:val="32"/>
                <w:szCs w:val="32"/>
              </w:rPr>
            </w:pPr>
            <w:r w:rsidRPr="000548FA">
              <w:rPr>
                <w:b/>
                <w:bCs/>
                <w:sz w:val="32"/>
                <w:szCs w:val="32"/>
              </w:rPr>
              <w:t>Date:</w:t>
            </w:r>
          </w:p>
        </w:tc>
        <w:tc>
          <w:tcPr>
            <w:tcW w:w="7112" w:type="dxa"/>
          </w:tcPr>
          <w:p w14:paraId="33E60AB6" w14:textId="013298EE" w:rsidR="002966E9" w:rsidRPr="000548FA" w:rsidRDefault="3E7D781C" w:rsidP="00B03806">
            <w:pPr>
              <w:rPr>
                <w:sz w:val="32"/>
                <w:szCs w:val="32"/>
              </w:rPr>
            </w:pPr>
            <w:r w:rsidRPr="000548FA">
              <w:rPr>
                <w:sz w:val="32"/>
                <w:szCs w:val="32"/>
              </w:rPr>
              <w:t>4 April 2025</w:t>
            </w:r>
          </w:p>
        </w:tc>
      </w:tr>
      <w:tr w:rsidR="002966E9" w:rsidRPr="004F6036" w14:paraId="7AC152ED" w14:textId="77777777" w:rsidTr="69CE403C">
        <w:trPr>
          <w:trHeight w:val="302"/>
        </w:trPr>
        <w:tc>
          <w:tcPr>
            <w:tcW w:w="2337" w:type="dxa"/>
          </w:tcPr>
          <w:p w14:paraId="41783199" w14:textId="573B3A11" w:rsidR="002966E9" w:rsidRPr="000548FA" w:rsidRDefault="002966E9" w:rsidP="00B03806">
            <w:pPr>
              <w:rPr>
                <w:b/>
                <w:bCs/>
                <w:sz w:val="32"/>
                <w:szCs w:val="32"/>
              </w:rPr>
            </w:pPr>
            <w:r w:rsidRPr="000548FA">
              <w:rPr>
                <w:b/>
                <w:bCs/>
                <w:sz w:val="32"/>
                <w:szCs w:val="32"/>
              </w:rPr>
              <w:t>For:</w:t>
            </w:r>
          </w:p>
        </w:tc>
        <w:tc>
          <w:tcPr>
            <w:tcW w:w="7112" w:type="dxa"/>
          </w:tcPr>
          <w:p w14:paraId="3B139ED6" w14:textId="1A275923" w:rsidR="002966E9" w:rsidRPr="000548FA" w:rsidRDefault="00683E74" w:rsidP="00B03806">
            <w:pPr>
              <w:rPr>
                <w:sz w:val="32"/>
                <w:szCs w:val="32"/>
              </w:rPr>
            </w:pPr>
            <w:r w:rsidRPr="000548FA">
              <w:rPr>
                <w:sz w:val="32"/>
                <w:szCs w:val="32"/>
              </w:rPr>
              <w:t>Housing Working Group</w:t>
            </w:r>
          </w:p>
        </w:tc>
      </w:tr>
      <w:tr w:rsidR="002966E9" w:rsidRPr="004F6036" w14:paraId="3E9DBCFC" w14:textId="77777777" w:rsidTr="69CE403C">
        <w:trPr>
          <w:trHeight w:val="302"/>
        </w:trPr>
        <w:tc>
          <w:tcPr>
            <w:tcW w:w="2337" w:type="dxa"/>
          </w:tcPr>
          <w:p w14:paraId="4C1E69AB" w14:textId="3C45D22C" w:rsidR="002966E9" w:rsidRPr="000548FA" w:rsidRDefault="002966E9" w:rsidP="00B03806">
            <w:pPr>
              <w:rPr>
                <w:b/>
                <w:bCs/>
                <w:sz w:val="32"/>
                <w:szCs w:val="32"/>
              </w:rPr>
            </w:pPr>
            <w:r w:rsidRPr="000548FA">
              <w:rPr>
                <w:b/>
                <w:bCs/>
                <w:sz w:val="32"/>
                <w:szCs w:val="32"/>
              </w:rPr>
              <w:t xml:space="preserve">Security </w:t>
            </w:r>
            <w:r w:rsidR="0BD817AF" w:rsidRPr="000548FA">
              <w:rPr>
                <w:b/>
                <w:bCs/>
                <w:sz w:val="32"/>
                <w:szCs w:val="32"/>
              </w:rPr>
              <w:t>l</w:t>
            </w:r>
            <w:r w:rsidRPr="000548FA">
              <w:rPr>
                <w:b/>
                <w:bCs/>
                <w:sz w:val="32"/>
                <w:szCs w:val="32"/>
              </w:rPr>
              <w:t>evel:</w:t>
            </w:r>
          </w:p>
        </w:tc>
        <w:tc>
          <w:tcPr>
            <w:tcW w:w="7112" w:type="dxa"/>
          </w:tcPr>
          <w:p w14:paraId="45C8ACE6" w14:textId="2F4C801F" w:rsidR="002966E9" w:rsidRPr="000548FA" w:rsidRDefault="368A1A71" w:rsidP="00B03806">
            <w:pPr>
              <w:rPr>
                <w:sz w:val="32"/>
                <w:szCs w:val="32"/>
              </w:rPr>
            </w:pPr>
            <w:r w:rsidRPr="000548FA">
              <w:rPr>
                <w:sz w:val="32"/>
                <w:szCs w:val="32"/>
              </w:rPr>
              <w:t>In-confidence</w:t>
            </w:r>
          </w:p>
        </w:tc>
      </w:tr>
    </w:tbl>
    <w:p w14:paraId="3AAB389C" w14:textId="529873AD" w:rsidR="27427DC7" w:rsidRPr="004F6036" w:rsidRDefault="27427DC7" w:rsidP="000548FA">
      <w:pPr>
        <w:pStyle w:val="Heading1"/>
        <w:spacing w:line="360" w:lineRule="auto"/>
      </w:pPr>
      <w:r w:rsidRPr="004F6036">
        <w:t>Key issues and opportunities for disabled people in housing</w:t>
      </w:r>
    </w:p>
    <w:p w14:paraId="60CFBE93" w14:textId="2FAB5A5A" w:rsidR="002966E9" w:rsidRPr="000548FA" w:rsidRDefault="002966E9" w:rsidP="000548FA">
      <w:pPr>
        <w:pStyle w:val="Heading2"/>
        <w:spacing w:line="360" w:lineRule="auto"/>
        <w:rPr>
          <w:sz w:val="36"/>
          <w:szCs w:val="36"/>
        </w:rPr>
      </w:pPr>
      <w:r w:rsidRPr="000548FA">
        <w:rPr>
          <w:sz w:val="36"/>
          <w:szCs w:val="36"/>
        </w:rPr>
        <w:t>Purpose</w:t>
      </w:r>
    </w:p>
    <w:p w14:paraId="0F191EA7" w14:textId="4FF6064C" w:rsidR="00B54281" w:rsidRPr="000548FA" w:rsidRDefault="697C5A06" w:rsidP="000548FA">
      <w:pPr>
        <w:pStyle w:val="ParaLevel1"/>
        <w:spacing w:line="360" w:lineRule="auto"/>
        <w:rPr>
          <w:sz w:val="32"/>
          <w:szCs w:val="32"/>
        </w:rPr>
      </w:pPr>
      <w:r w:rsidRPr="000548FA">
        <w:rPr>
          <w:sz w:val="32"/>
          <w:szCs w:val="32"/>
        </w:rPr>
        <w:t>This paper outlines key issues and opportunities for disabled people</w:t>
      </w:r>
      <w:r w:rsidR="41894B48" w:rsidRPr="000548FA">
        <w:rPr>
          <w:sz w:val="32"/>
          <w:szCs w:val="32"/>
        </w:rPr>
        <w:t>, tāngata whaikaha Māori and their whānau</w:t>
      </w:r>
      <w:r w:rsidRPr="000548FA">
        <w:rPr>
          <w:sz w:val="32"/>
          <w:szCs w:val="32"/>
        </w:rPr>
        <w:t xml:space="preserve"> in </w:t>
      </w:r>
      <w:r w:rsidR="7483C7FA" w:rsidRPr="000548FA">
        <w:rPr>
          <w:sz w:val="32"/>
          <w:szCs w:val="32"/>
        </w:rPr>
        <w:t>housing</w:t>
      </w:r>
      <w:r w:rsidRPr="000548FA">
        <w:rPr>
          <w:sz w:val="32"/>
          <w:szCs w:val="32"/>
        </w:rPr>
        <w:t>. It is part of a series of papers examining strategic issues and opportunities to steward better outcomes for disabled people across government.</w:t>
      </w:r>
      <w:r w:rsidR="00625076" w:rsidRPr="000548FA">
        <w:rPr>
          <w:sz w:val="32"/>
          <w:szCs w:val="32"/>
        </w:rPr>
        <w:t xml:space="preserve"> These papers are intended to provide a starting point for the working groups that will consider each outcome area in more detail</w:t>
      </w:r>
      <w:r w:rsidR="00B55A1D" w:rsidRPr="000548FA">
        <w:rPr>
          <w:sz w:val="32"/>
          <w:szCs w:val="32"/>
        </w:rPr>
        <w:t>. The working groups will then</w:t>
      </w:r>
      <w:r w:rsidR="00625076" w:rsidRPr="000548FA">
        <w:rPr>
          <w:sz w:val="32"/>
          <w:szCs w:val="32"/>
        </w:rPr>
        <w:t xml:space="preserve"> propose a prioritised set of well-defined, achievable actions for inclusion in the Strategy.</w:t>
      </w:r>
    </w:p>
    <w:p w14:paraId="2F23D6D9" w14:textId="141037BE" w:rsidR="00904D12" w:rsidRPr="000548FA" w:rsidRDefault="00904D12" w:rsidP="000548FA">
      <w:pPr>
        <w:pStyle w:val="Heading2"/>
        <w:spacing w:line="360" w:lineRule="auto"/>
        <w:rPr>
          <w:sz w:val="36"/>
          <w:szCs w:val="36"/>
        </w:rPr>
      </w:pPr>
      <w:r w:rsidRPr="000548FA">
        <w:rPr>
          <w:sz w:val="36"/>
          <w:szCs w:val="36"/>
        </w:rPr>
        <w:lastRenderedPageBreak/>
        <w:t>Executive summary</w:t>
      </w:r>
    </w:p>
    <w:p w14:paraId="37F11C5C" w14:textId="14438A45" w:rsidR="00B54281" w:rsidRPr="000548FA" w:rsidRDefault="00B54281" w:rsidP="000548FA">
      <w:pPr>
        <w:pStyle w:val="ParaLevel1"/>
        <w:spacing w:line="360" w:lineRule="auto"/>
        <w:rPr>
          <w:rStyle w:val="normaltextrun"/>
          <w:rFonts w:cs="Segoe UI"/>
          <w:sz w:val="32"/>
          <w:szCs w:val="32"/>
        </w:rPr>
      </w:pPr>
      <w:r w:rsidRPr="000548FA">
        <w:rPr>
          <w:rStyle w:val="normaltextrun"/>
          <w:rFonts w:cs="Segoe UI"/>
          <w:sz w:val="32"/>
          <w:szCs w:val="32"/>
        </w:rPr>
        <w:t>Having secure and suitable housing protects the health and wellbeing of disabled people. As well as being a basic human right, access to appropriate housing provides a sense of belonging and supports disabled people’s independence.</w:t>
      </w:r>
    </w:p>
    <w:p w14:paraId="729F2416" w14:textId="1B5B85D6" w:rsidR="00B54281" w:rsidRPr="000548FA" w:rsidRDefault="00B54281" w:rsidP="000548FA">
      <w:pPr>
        <w:pStyle w:val="ParaLevel1"/>
        <w:spacing w:line="360" w:lineRule="auto"/>
        <w:rPr>
          <w:rStyle w:val="normaltextrun"/>
          <w:rFonts w:cs="Segoe UI"/>
          <w:sz w:val="32"/>
          <w:szCs w:val="32"/>
        </w:rPr>
      </w:pPr>
      <w:r w:rsidRPr="000548FA">
        <w:rPr>
          <w:rStyle w:val="normaltextrun"/>
          <w:rFonts w:cs="Segoe UI"/>
          <w:sz w:val="32"/>
          <w:szCs w:val="32"/>
        </w:rPr>
        <w:t xml:space="preserve">Housing directly affects other areas of life, such as health, employment, and education. Improving access to suitable housing would reduce the amount of illness that disabled people experience, helping to support their education and employment outcomes. </w:t>
      </w:r>
      <w:r w:rsidR="00FD716F" w:rsidRPr="000548FA" w:rsidDel="00F12E65">
        <w:rPr>
          <w:rStyle w:val="normaltextrun"/>
          <w:rFonts w:cs="Segoe UI"/>
          <w:sz w:val="32"/>
          <w:szCs w:val="32"/>
        </w:rPr>
        <w:t xml:space="preserve">There is a complex and bi-directional relationship between health and housing. </w:t>
      </w:r>
      <w:r w:rsidRPr="000548FA">
        <w:rPr>
          <w:rStyle w:val="normaltextrun"/>
          <w:rFonts w:cs="Segoe UI"/>
          <w:sz w:val="32"/>
          <w:szCs w:val="32"/>
        </w:rPr>
        <w:t>Better wellbeing outcomes in turn reduce the risk of someone experiencing housing instability in future.</w:t>
      </w:r>
    </w:p>
    <w:p w14:paraId="5E7A2FC6" w14:textId="791C8946" w:rsidR="00FD716F" w:rsidRPr="000548FA" w:rsidRDefault="00B54281" w:rsidP="000548FA">
      <w:pPr>
        <w:pStyle w:val="ParaLevel1"/>
        <w:spacing w:line="360" w:lineRule="auto"/>
        <w:rPr>
          <w:rStyle w:val="normaltextrun"/>
          <w:rFonts w:cs="Segoe UI"/>
          <w:sz w:val="32"/>
          <w:szCs w:val="32"/>
        </w:rPr>
      </w:pPr>
      <w:r w:rsidRPr="000548FA">
        <w:rPr>
          <w:rStyle w:val="normaltextrun"/>
          <w:rFonts w:cs="Segoe UI"/>
          <w:sz w:val="32"/>
          <w:szCs w:val="32"/>
        </w:rPr>
        <w:t>Disabled people fare worse in housing than non-disabled people. There is</w:t>
      </w:r>
      <w:r w:rsidR="00894F4C" w:rsidRPr="000548FA">
        <w:rPr>
          <w:rStyle w:val="normaltextrun"/>
          <w:rFonts w:cs="Segoe UI"/>
          <w:sz w:val="32"/>
          <w:szCs w:val="32"/>
        </w:rPr>
        <w:t xml:space="preserve"> also</w:t>
      </w:r>
      <w:r w:rsidRPr="000548FA">
        <w:rPr>
          <w:rStyle w:val="normaltextrun"/>
          <w:rFonts w:cs="Segoe UI"/>
          <w:sz w:val="32"/>
          <w:szCs w:val="32"/>
        </w:rPr>
        <w:t xml:space="preserve"> a lack of affordable, accessible housing. This makes it more difficult for disabled people to live in suitable housing. </w:t>
      </w:r>
    </w:p>
    <w:p w14:paraId="24582553" w14:textId="1BB73508" w:rsidR="00B54281" w:rsidRPr="000548FA" w:rsidRDefault="00B54281" w:rsidP="000548FA">
      <w:pPr>
        <w:pStyle w:val="ParaLevel1"/>
        <w:spacing w:line="360" w:lineRule="auto"/>
        <w:rPr>
          <w:rFonts w:cs="Segoe UI"/>
          <w:sz w:val="32"/>
          <w:szCs w:val="32"/>
        </w:rPr>
      </w:pPr>
      <w:r w:rsidRPr="000548FA">
        <w:rPr>
          <w:rStyle w:val="normaltextrun"/>
          <w:rFonts w:cs="Segoe UI"/>
          <w:sz w:val="32"/>
          <w:szCs w:val="32"/>
        </w:rPr>
        <w:t>Compared to non-disabled people, disabled people are more likely to:</w:t>
      </w:r>
      <w:r w:rsidRPr="000548FA">
        <w:rPr>
          <w:rStyle w:val="eop"/>
          <w:rFonts w:cs="Segoe UI"/>
          <w:sz w:val="32"/>
          <w:szCs w:val="32"/>
        </w:rPr>
        <w:t> </w:t>
      </w:r>
    </w:p>
    <w:p w14:paraId="649CB213" w14:textId="64721A22" w:rsidR="00B54281" w:rsidRPr="000548FA" w:rsidRDefault="00B54281" w:rsidP="000548FA">
      <w:pPr>
        <w:pStyle w:val="ListParagraph"/>
        <w:numPr>
          <w:ilvl w:val="0"/>
          <w:numId w:val="40"/>
        </w:numPr>
        <w:spacing w:before="0" w:line="360" w:lineRule="auto"/>
        <w:rPr>
          <w:rStyle w:val="eop"/>
          <w:rFonts w:cs="Segoe UI"/>
          <w:sz w:val="32"/>
          <w:szCs w:val="32"/>
        </w:rPr>
      </w:pPr>
      <w:r w:rsidRPr="000548FA">
        <w:rPr>
          <w:rStyle w:val="normaltextrun"/>
          <w:rFonts w:cs="Segoe UI"/>
          <w:sz w:val="32"/>
          <w:szCs w:val="32"/>
        </w:rPr>
        <w:t xml:space="preserve">Live in </w:t>
      </w:r>
      <w:r w:rsidRPr="000548FA" w:rsidDel="0007237A">
        <w:rPr>
          <w:rStyle w:val="normaltextrun"/>
          <w:rFonts w:cs="Segoe UI"/>
          <w:sz w:val="32"/>
          <w:szCs w:val="32"/>
        </w:rPr>
        <w:t xml:space="preserve">housing which is </w:t>
      </w:r>
      <w:r w:rsidRPr="000548FA">
        <w:rPr>
          <w:rStyle w:val="normaltextrun"/>
          <w:rFonts w:cs="Segoe UI"/>
          <w:sz w:val="32"/>
          <w:szCs w:val="32"/>
        </w:rPr>
        <w:t>crowded, damp, and mouldy.</w:t>
      </w:r>
      <w:r w:rsidRPr="000548FA">
        <w:rPr>
          <w:rStyle w:val="eop"/>
          <w:rFonts w:cs="Segoe UI"/>
          <w:sz w:val="32"/>
          <w:szCs w:val="32"/>
        </w:rPr>
        <w:t> </w:t>
      </w:r>
    </w:p>
    <w:p w14:paraId="6A686355" w14:textId="44547759" w:rsidR="00B54281" w:rsidRPr="000548FA" w:rsidRDefault="00B54281" w:rsidP="000548FA">
      <w:pPr>
        <w:pStyle w:val="ListParagraph"/>
        <w:numPr>
          <w:ilvl w:val="0"/>
          <w:numId w:val="40"/>
        </w:numPr>
        <w:spacing w:before="0" w:line="360" w:lineRule="auto"/>
        <w:rPr>
          <w:rStyle w:val="eop"/>
          <w:rFonts w:cs="Segoe UI"/>
          <w:sz w:val="32"/>
          <w:szCs w:val="32"/>
        </w:rPr>
      </w:pPr>
      <w:r w:rsidRPr="000548FA">
        <w:rPr>
          <w:rStyle w:val="normaltextrun"/>
          <w:rFonts w:cs="Segoe UI"/>
          <w:sz w:val="32"/>
          <w:szCs w:val="32"/>
        </w:rPr>
        <w:t>Experience severe housing deprivation.</w:t>
      </w:r>
      <w:r w:rsidRPr="000548FA">
        <w:rPr>
          <w:rStyle w:val="eop"/>
          <w:rFonts w:cs="Segoe UI"/>
          <w:sz w:val="32"/>
          <w:szCs w:val="32"/>
        </w:rPr>
        <w:t> </w:t>
      </w:r>
    </w:p>
    <w:p w14:paraId="41B7AB51" w14:textId="4FAF97A6" w:rsidR="00B54281" w:rsidRPr="000548FA" w:rsidDel="005B19F4" w:rsidRDefault="00B54281" w:rsidP="000548FA">
      <w:pPr>
        <w:pStyle w:val="ListParagraph"/>
        <w:numPr>
          <w:ilvl w:val="0"/>
          <w:numId w:val="40"/>
        </w:numPr>
        <w:spacing w:before="0" w:line="360" w:lineRule="auto"/>
        <w:rPr>
          <w:sz w:val="32"/>
          <w:szCs w:val="32"/>
        </w:rPr>
      </w:pPr>
      <w:r w:rsidRPr="000548FA" w:rsidDel="005B19F4">
        <w:rPr>
          <w:rStyle w:val="normaltextrun"/>
          <w:rFonts w:cs="Segoe UI"/>
          <w:sz w:val="32"/>
          <w:szCs w:val="32"/>
        </w:rPr>
        <w:t>Earn less than non-disabled people.</w:t>
      </w:r>
      <w:r w:rsidRPr="000548FA" w:rsidDel="005B19F4">
        <w:rPr>
          <w:rStyle w:val="eop"/>
          <w:rFonts w:cs="Segoe UI"/>
          <w:sz w:val="32"/>
          <w:szCs w:val="32"/>
        </w:rPr>
        <w:t> </w:t>
      </w:r>
    </w:p>
    <w:p w14:paraId="3E340A6F" w14:textId="28188DCC" w:rsidR="00B54281" w:rsidRPr="000548FA" w:rsidDel="001C2B46" w:rsidRDefault="00B54281" w:rsidP="000548FA">
      <w:pPr>
        <w:pStyle w:val="ListParagraph"/>
        <w:numPr>
          <w:ilvl w:val="0"/>
          <w:numId w:val="40"/>
        </w:numPr>
        <w:spacing w:before="0" w:line="360" w:lineRule="auto"/>
        <w:rPr>
          <w:rStyle w:val="eop"/>
          <w:sz w:val="32"/>
          <w:szCs w:val="32"/>
        </w:rPr>
      </w:pPr>
      <w:r w:rsidRPr="000548FA" w:rsidDel="001C2B46">
        <w:rPr>
          <w:rStyle w:val="normaltextrun"/>
          <w:rFonts w:cs="Segoe UI"/>
          <w:sz w:val="32"/>
          <w:szCs w:val="32"/>
        </w:rPr>
        <w:lastRenderedPageBreak/>
        <w:t>Have additional accessibility requirements in housing.</w:t>
      </w:r>
      <w:r w:rsidRPr="000548FA" w:rsidDel="001C2B46">
        <w:rPr>
          <w:rStyle w:val="eop"/>
          <w:rFonts w:cs="Segoe UI"/>
          <w:sz w:val="32"/>
          <w:szCs w:val="32"/>
        </w:rPr>
        <w:t> </w:t>
      </w:r>
    </w:p>
    <w:p w14:paraId="25E3A989" w14:textId="1F93AA03" w:rsidR="00B54281" w:rsidRPr="000548FA" w:rsidDel="001C2B46" w:rsidRDefault="00B54281" w:rsidP="000548FA">
      <w:pPr>
        <w:pStyle w:val="ListParagraph"/>
        <w:numPr>
          <w:ilvl w:val="0"/>
          <w:numId w:val="40"/>
        </w:numPr>
        <w:spacing w:before="0" w:line="360" w:lineRule="auto"/>
        <w:rPr>
          <w:rStyle w:val="normaltextrun"/>
          <w:sz w:val="32"/>
          <w:szCs w:val="32"/>
        </w:rPr>
      </w:pPr>
      <w:r w:rsidRPr="000548FA" w:rsidDel="001C2B46">
        <w:rPr>
          <w:rStyle w:val="eop"/>
          <w:rFonts w:cs="Segoe UI"/>
          <w:sz w:val="32"/>
          <w:szCs w:val="32"/>
        </w:rPr>
        <w:t>Find their homes unsuitable to live in.</w:t>
      </w:r>
    </w:p>
    <w:p w14:paraId="78146786" w14:textId="4E5B9A4B" w:rsidR="00B54281" w:rsidRPr="000548FA" w:rsidRDefault="00B54281" w:rsidP="000548FA">
      <w:pPr>
        <w:pStyle w:val="ParaLevel1"/>
        <w:spacing w:line="360" w:lineRule="auto"/>
        <w:rPr>
          <w:rStyle w:val="normaltextrun"/>
          <w:rFonts w:cs="Segoe UI"/>
          <w:sz w:val="32"/>
          <w:szCs w:val="32"/>
        </w:rPr>
      </w:pPr>
      <w:r w:rsidRPr="000548FA">
        <w:rPr>
          <w:rStyle w:val="normaltextrun"/>
          <w:rFonts w:cs="Segoe UI"/>
          <w:sz w:val="32"/>
          <w:szCs w:val="32"/>
        </w:rPr>
        <w:t xml:space="preserve">Tāngata whaikaha Māori and Pacific disabled people often experience the above barriers to a greater extent due to compounded disadvantage. </w:t>
      </w:r>
    </w:p>
    <w:p w14:paraId="2F4BC889" w14:textId="22935036" w:rsidR="00FD716F" w:rsidRPr="000548FA" w:rsidRDefault="00B54281" w:rsidP="000548FA">
      <w:pPr>
        <w:pStyle w:val="ParaLevel1"/>
        <w:spacing w:line="360" w:lineRule="auto"/>
        <w:rPr>
          <w:rStyle w:val="eop"/>
          <w:rFonts w:cs="Segoe UI"/>
          <w:sz w:val="32"/>
          <w:szCs w:val="32"/>
        </w:rPr>
      </w:pPr>
      <w:r w:rsidRPr="000548FA" w:rsidDel="007C4A97">
        <w:rPr>
          <w:rStyle w:val="eop"/>
          <w:rFonts w:cs="Segoe UI"/>
          <w:sz w:val="32"/>
          <w:szCs w:val="32"/>
        </w:rPr>
        <w:t xml:space="preserve">As well as experiencing poorer housing outcomes than non-disabled people, </w:t>
      </w:r>
      <w:r w:rsidRPr="000548FA">
        <w:rPr>
          <w:rStyle w:val="eop"/>
          <w:rFonts w:cs="Segoe UI"/>
          <w:sz w:val="32"/>
          <w:szCs w:val="32"/>
        </w:rPr>
        <w:t xml:space="preserve">disabled people experience </w:t>
      </w:r>
      <w:r w:rsidR="00FD716F" w:rsidRPr="000548FA">
        <w:rPr>
          <w:rStyle w:val="eop"/>
          <w:rFonts w:cs="Segoe UI"/>
          <w:sz w:val="32"/>
          <w:szCs w:val="32"/>
        </w:rPr>
        <w:t>a range of barriers to accessing suitable housing. These include:</w:t>
      </w:r>
    </w:p>
    <w:p w14:paraId="6E44527D" w14:textId="612C4B2A" w:rsidR="00FD716F" w:rsidRPr="000548FA" w:rsidRDefault="00FD716F" w:rsidP="000548FA">
      <w:pPr>
        <w:pStyle w:val="ParaLevel2"/>
        <w:spacing w:line="360" w:lineRule="auto"/>
        <w:rPr>
          <w:rStyle w:val="eop"/>
          <w:rFonts w:cs="Segoe UI"/>
          <w:sz w:val="32"/>
          <w:szCs w:val="32"/>
        </w:rPr>
      </w:pPr>
      <w:r w:rsidRPr="000548FA" w:rsidDel="002C59A6">
        <w:rPr>
          <w:rStyle w:val="eop"/>
          <w:rFonts w:cs="Segoe UI"/>
          <w:sz w:val="32"/>
          <w:szCs w:val="32"/>
        </w:rPr>
        <w:t>Barriers</w:t>
      </w:r>
      <w:r w:rsidR="00B54281" w:rsidRPr="000548FA" w:rsidDel="002C59A6">
        <w:rPr>
          <w:rStyle w:val="eop"/>
          <w:rFonts w:cs="Segoe UI"/>
          <w:sz w:val="32"/>
          <w:szCs w:val="32"/>
        </w:rPr>
        <w:t xml:space="preserve"> </w:t>
      </w:r>
      <w:r w:rsidRPr="000548FA" w:rsidDel="002C59A6">
        <w:rPr>
          <w:rStyle w:val="eop"/>
          <w:rFonts w:cs="Segoe UI"/>
          <w:sz w:val="32"/>
          <w:szCs w:val="32"/>
        </w:rPr>
        <w:t xml:space="preserve">to </w:t>
      </w:r>
      <w:r w:rsidRPr="000548FA" w:rsidDel="009501BD">
        <w:rPr>
          <w:rStyle w:val="eop"/>
          <w:rFonts w:cs="Segoe UI"/>
          <w:sz w:val="32"/>
          <w:szCs w:val="32"/>
        </w:rPr>
        <w:t xml:space="preserve">accessing accessible housing </w:t>
      </w:r>
      <w:r w:rsidR="00B54281" w:rsidRPr="000548FA" w:rsidDel="009501BD">
        <w:rPr>
          <w:rStyle w:val="eop"/>
          <w:rFonts w:cs="Segoe UI"/>
          <w:sz w:val="32"/>
          <w:szCs w:val="32"/>
        </w:rPr>
        <w:t xml:space="preserve">in both the private and public housing markets. </w:t>
      </w:r>
      <w:r w:rsidR="003627FF" w:rsidRPr="000548FA" w:rsidDel="009501BD">
        <w:rPr>
          <w:rStyle w:val="eop"/>
          <w:rFonts w:cs="Segoe UI"/>
          <w:sz w:val="32"/>
          <w:szCs w:val="32"/>
        </w:rPr>
        <w:t xml:space="preserve">Accessibility barriers can be compounded by </w:t>
      </w:r>
      <w:r w:rsidR="003627FF" w:rsidRPr="000548FA" w:rsidDel="004D43A5">
        <w:rPr>
          <w:rStyle w:val="eop"/>
          <w:rFonts w:cs="Segoe UI"/>
          <w:sz w:val="32"/>
          <w:szCs w:val="32"/>
        </w:rPr>
        <w:t>affordability</w:t>
      </w:r>
      <w:r w:rsidR="003627FF" w:rsidRPr="000548FA">
        <w:rPr>
          <w:rStyle w:val="eop"/>
          <w:rFonts w:cs="Segoe UI"/>
          <w:sz w:val="32"/>
          <w:szCs w:val="32"/>
        </w:rPr>
        <w:t>, with disabled people experiencing barriers in employment and having lower average incomes than non-disabled people.</w:t>
      </w:r>
    </w:p>
    <w:p w14:paraId="71ABE329" w14:textId="2CCD1B2C" w:rsidR="003627FF" w:rsidRPr="000548FA" w:rsidRDefault="003627FF" w:rsidP="000548FA">
      <w:pPr>
        <w:pStyle w:val="ParaLevel2"/>
        <w:spacing w:line="360" w:lineRule="auto"/>
        <w:rPr>
          <w:rStyle w:val="eop"/>
          <w:rFonts w:cs="Segoe UI"/>
          <w:sz w:val="32"/>
          <w:szCs w:val="32"/>
        </w:rPr>
      </w:pPr>
      <w:r w:rsidRPr="000548FA">
        <w:rPr>
          <w:rStyle w:val="normaltextrun"/>
          <w:rFonts w:cs="Segoe UI"/>
          <w:sz w:val="32"/>
          <w:szCs w:val="32"/>
        </w:rPr>
        <w:t>S</w:t>
      </w:r>
      <w:r w:rsidR="00474FEA" w:rsidRPr="000548FA">
        <w:rPr>
          <w:rStyle w:val="normaltextrun"/>
          <w:rFonts w:cs="Segoe UI"/>
          <w:sz w:val="32"/>
          <w:szCs w:val="32"/>
        </w:rPr>
        <w:t>ystem-based barriers</w:t>
      </w:r>
      <w:r w:rsidRPr="000548FA">
        <w:rPr>
          <w:rStyle w:val="normaltextrun"/>
          <w:rFonts w:cs="Segoe UI"/>
          <w:sz w:val="32"/>
          <w:szCs w:val="32"/>
        </w:rPr>
        <w:t xml:space="preserve"> </w:t>
      </w:r>
      <w:r w:rsidRPr="000548FA" w:rsidDel="004D43A5">
        <w:rPr>
          <w:rStyle w:val="normaltextrun"/>
          <w:rFonts w:cs="Segoe UI"/>
          <w:sz w:val="32"/>
          <w:szCs w:val="32"/>
        </w:rPr>
        <w:t>mean that</w:t>
      </w:r>
      <w:r w:rsidRPr="000548FA">
        <w:rPr>
          <w:rStyle w:val="normaltextrun"/>
          <w:rFonts w:cs="Segoe UI"/>
          <w:sz w:val="32"/>
          <w:szCs w:val="32"/>
        </w:rPr>
        <w:t xml:space="preserve"> some </w:t>
      </w:r>
      <w:r w:rsidR="00474FEA" w:rsidRPr="000548FA">
        <w:rPr>
          <w:rStyle w:val="normaltextrun"/>
          <w:rFonts w:cs="Segoe UI"/>
          <w:sz w:val="32"/>
          <w:szCs w:val="32"/>
        </w:rPr>
        <w:t>d</w:t>
      </w:r>
      <w:r w:rsidR="00B54281" w:rsidRPr="000548FA">
        <w:rPr>
          <w:rStyle w:val="normaltextrun"/>
          <w:rFonts w:cs="Segoe UI"/>
          <w:sz w:val="32"/>
          <w:szCs w:val="32"/>
        </w:rPr>
        <w:t>isabled people in residential care find it difficult to leave care, for example, into social housing.</w:t>
      </w:r>
    </w:p>
    <w:p w14:paraId="0F334A6D" w14:textId="01FB3774" w:rsidR="00B54281" w:rsidRPr="000548FA" w:rsidRDefault="003627FF" w:rsidP="000548FA">
      <w:pPr>
        <w:pStyle w:val="ParaLevel2"/>
        <w:spacing w:line="360" w:lineRule="auto"/>
        <w:rPr>
          <w:rStyle w:val="eop"/>
          <w:rFonts w:cs="Segoe UI"/>
          <w:sz w:val="32"/>
          <w:szCs w:val="32"/>
        </w:rPr>
      </w:pPr>
      <w:r w:rsidRPr="000548FA" w:rsidDel="004D43A5">
        <w:rPr>
          <w:rStyle w:val="eop"/>
          <w:rFonts w:cs="Segoe UI"/>
          <w:sz w:val="32"/>
          <w:szCs w:val="32"/>
        </w:rPr>
        <w:t>D</w:t>
      </w:r>
      <w:r w:rsidR="00B54281" w:rsidRPr="000548FA" w:rsidDel="004D43A5">
        <w:rPr>
          <w:rStyle w:val="eop"/>
          <w:rFonts w:cs="Segoe UI"/>
          <w:sz w:val="32"/>
          <w:szCs w:val="32"/>
        </w:rPr>
        <w:t>isabled people report the a</w:t>
      </w:r>
      <w:r w:rsidR="00B54281" w:rsidRPr="000548FA">
        <w:rPr>
          <w:rStyle w:val="eop"/>
          <w:rFonts w:cs="Segoe UI"/>
          <w:sz w:val="32"/>
          <w:szCs w:val="32"/>
        </w:rPr>
        <w:t>ttitudes of others, such as landlords and government agency staff</w:t>
      </w:r>
      <w:r w:rsidR="004548FF" w:rsidRPr="000548FA">
        <w:rPr>
          <w:rStyle w:val="eop"/>
          <w:rFonts w:cs="Segoe UI"/>
          <w:sz w:val="32"/>
          <w:szCs w:val="32"/>
        </w:rPr>
        <w:t xml:space="preserve">, </w:t>
      </w:r>
      <w:r w:rsidR="00B54281" w:rsidRPr="000548FA" w:rsidDel="00A455E6">
        <w:rPr>
          <w:rStyle w:val="eop"/>
          <w:rFonts w:cs="Segoe UI"/>
          <w:sz w:val="32"/>
          <w:szCs w:val="32"/>
        </w:rPr>
        <w:t>as being a barrier to accessing housing</w:t>
      </w:r>
      <w:r w:rsidR="00B54281" w:rsidRPr="000548FA">
        <w:rPr>
          <w:rStyle w:val="eop"/>
          <w:rFonts w:cs="Segoe UI"/>
          <w:sz w:val="32"/>
          <w:szCs w:val="32"/>
        </w:rPr>
        <w:t>.</w:t>
      </w:r>
    </w:p>
    <w:p w14:paraId="0EEFA78E" w14:textId="01A71D6A" w:rsidR="00B54281" w:rsidRPr="000548FA" w:rsidRDefault="00B54281" w:rsidP="000548FA">
      <w:pPr>
        <w:pStyle w:val="ParaLevel1"/>
        <w:spacing w:line="360" w:lineRule="auto"/>
        <w:rPr>
          <w:rStyle w:val="eop"/>
          <w:rFonts w:cs="Segoe UI"/>
          <w:sz w:val="32"/>
          <w:szCs w:val="32"/>
        </w:rPr>
      </w:pPr>
      <w:r w:rsidRPr="000548FA">
        <w:rPr>
          <w:rStyle w:val="eop"/>
          <w:rFonts w:cs="Segoe UI"/>
          <w:sz w:val="32"/>
          <w:szCs w:val="32"/>
        </w:rPr>
        <w:t xml:space="preserve">There is a range of work underway across government agencies and non-government organisations related to disabled people and housing. The Ministry of Housing and Urban Development, Kāinga Ora, Te Puni Kōkiri, the </w:t>
      </w:r>
      <w:r w:rsidRPr="000548FA">
        <w:rPr>
          <w:rStyle w:val="eop"/>
          <w:rFonts w:cs="Segoe UI"/>
          <w:sz w:val="32"/>
          <w:szCs w:val="32"/>
        </w:rPr>
        <w:lastRenderedPageBreak/>
        <w:t>Ministry of Business, Innovation and Employment, and local governments all have initiatives underway to improve outcomes for disabled people in housing</w:t>
      </w:r>
      <w:r w:rsidR="00474FEA" w:rsidRPr="000548FA">
        <w:rPr>
          <w:rStyle w:val="eop"/>
          <w:rFonts w:cs="Segoe UI"/>
          <w:sz w:val="32"/>
          <w:szCs w:val="32"/>
        </w:rPr>
        <w:t xml:space="preserve"> within their respective portfolio areas.</w:t>
      </w:r>
    </w:p>
    <w:p w14:paraId="29D25FA6" w14:textId="339B3A96" w:rsidR="00C952F0" w:rsidRPr="000548FA" w:rsidRDefault="00C952F0" w:rsidP="000548FA">
      <w:pPr>
        <w:pStyle w:val="ParaLevel1"/>
        <w:spacing w:line="360" w:lineRule="auto"/>
        <w:rPr>
          <w:rStyle w:val="eop"/>
          <w:rFonts w:cs="Segoe UI"/>
          <w:sz w:val="32"/>
          <w:szCs w:val="32"/>
        </w:rPr>
      </w:pPr>
      <w:r w:rsidRPr="000548FA">
        <w:rPr>
          <w:rStyle w:val="eop"/>
          <w:rFonts w:cs="Segoe UI"/>
          <w:sz w:val="32"/>
          <w:szCs w:val="32"/>
        </w:rPr>
        <w:t xml:space="preserve">Countries overseas have also taken action to improve housing outcomes for disabled people. Whaikaha could analyse these </w:t>
      </w:r>
      <w:r w:rsidR="002C4C1E" w:rsidRPr="000548FA">
        <w:rPr>
          <w:rStyle w:val="eop"/>
          <w:rFonts w:cs="Segoe UI"/>
          <w:sz w:val="32"/>
          <w:szCs w:val="32"/>
        </w:rPr>
        <w:t>actions</w:t>
      </w:r>
      <w:r w:rsidRPr="000548FA">
        <w:rPr>
          <w:rStyle w:val="eop"/>
          <w:rFonts w:cs="Segoe UI"/>
          <w:sz w:val="32"/>
          <w:szCs w:val="32"/>
        </w:rPr>
        <w:t xml:space="preserve"> to </w:t>
      </w:r>
      <w:r w:rsidR="002C4C1E" w:rsidRPr="000548FA">
        <w:rPr>
          <w:rStyle w:val="eop"/>
          <w:rFonts w:cs="Segoe UI"/>
          <w:sz w:val="32"/>
          <w:szCs w:val="32"/>
        </w:rPr>
        <w:t>examine where similar initiatives could fit in the New Zealand context.</w:t>
      </w:r>
    </w:p>
    <w:p w14:paraId="067B83DA" w14:textId="2E114F1B" w:rsidR="00B54281" w:rsidRPr="000548FA" w:rsidRDefault="00B54281" w:rsidP="000548FA">
      <w:pPr>
        <w:pStyle w:val="ParaLevel1"/>
        <w:spacing w:line="360" w:lineRule="auto"/>
        <w:rPr>
          <w:rStyle w:val="eop"/>
          <w:rFonts w:cs="Segoe UI"/>
          <w:sz w:val="32"/>
          <w:szCs w:val="32"/>
        </w:rPr>
      </w:pPr>
      <w:r w:rsidRPr="000548FA">
        <w:rPr>
          <w:rStyle w:val="eop"/>
          <w:rFonts w:cs="Segoe UI"/>
          <w:sz w:val="32"/>
          <w:szCs w:val="32"/>
        </w:rPr>
        <w:t xml:space="preserve">There are also a range of existing housing-related supports, work programmes and strategies across government and non-government groups. These are described </w:t>
      </w:r>
      <w:r w:rsidRPr="000548FA" w:rsidDel="0037197C">
        <w:rPr>
          <w:rStyle w:val="eop"/>
          <w:rFonts w:cs="Segoe UI"/>
          <w:sz w:val="32"/>
          <w:szCs w:val="32"/>
        </w:rPr>
        <w:t xml:space="preserve">at </w:t>
      </w:r>
      <w:r w:rsidRPr="000548FA">
        <w:rPr>
          <w:rStyle w:val="eop"/>
          <w:rFonts w:cs="Segoe UI"/>
          <w:b/>
          <w:bCs/>
          <w:sz w:val="32"/>
          <w:szCs w:val="32"/>
        </w:rPr>
        <w:t>Appendix A</w:t>
      </w:r>
      <w:r w:rsidRPr="000548FA">
        <w:rPr>
          <w:rStyle w:val="eop"/>
          <w:rFonts w:cs="Segoe UI"/>
          <w:sz w:val="32"/>
          <w:szCs w:val="32"/>
        </w:rPr>
        <w:t>.</w:t>
      </w:r>
    </w:p>
    <w:p w14:paraId="5BE62151" w14:textId="7850EE16" w:rsidR="00474FEA" w:rsidRPr="000548FA" w:rsidRDefault="00B54281" w:rsidP="000548FA">
      <w:pPr>
        <w:pStyle w:val="ParaLevel1"/>
        <w:spacing w:line="360" w:lineRule="auto"/>
        <w:rPr>
          <w:rStyle w:val="eop"/>
          <w:rFonts w:cs="Segoe UI"/>
          <w:sz w:val="32"/>
          <w:szCs w:val="32"/>
        </w:rPr>
      </w:pPr>
      <w:r w:rsidRPr="000548FA">
        <w:rPr>
          <w:rStyle w:val="normaltextrun"/>
          <w:rFonts w:cs="Segoe UI"/>
          <w:sz w:val="32"/>
          <w:szCs w:val="32"/>
        </w:rPr>
        <w:t>Through the New Zealand Disability Strategy and with the disability community, Whaikaha will help to develop a vision and short- and long</w:t>
      </w:r>
      <w:r w:rsidRPr="000548FA" w:rsidDel="00E83680">
        <w:rPr>
          <w:rStyle w:val="normaltextrun"/>
          <w:rFonts w:cs="Segoe UI"/>
          <w:sz w:val="32"/>
          <w:szCs w:val="32"/>
        </w:rPr>
        <w:t>er</w:t>
      </w:r>
      <w:r w:rsidRPr="000548FA">
        <w:rPr>
          <w:rStyle w:val="normaltextrun"/>
          <w:rFonts w:cs="Segoe UI"/>
          <w:sz w:val="32"/>
          <w:szCs w:val="32"/>
        </w:rPr>
        <w:t>-term actions to support better outcomes for disabled people</w:t>
      </w:r>
      <w:r w:rsidRPr="000548FA" w:rsidDel="00430573">
        <w:rPr>
          <w:rStyle w:val="normaltextrun"/>
          <w:rFonts w:cs="Segoe UI"/>
          <w:sz w:val="32"/>
          <w:szCs w:val="32"/>
        </w:rPr>
        <w:t xml:space="preserve"> in housing</w:t>
      </w:r>
      <w:r w:rsidRPr="000548FA">
        <w:rPr>
          <w:rStyle w:val="normaltextrun"/>
          <w:rFonts w:cs="Segoe UI"/>
          <w:sz w:val="32"/>
          <w:szCs w:val="32"/>
        </w:rPr>
        <w:t xml:space="preserve">. Alongside core housing agencies and the community, </w:t>
      </w:r>
      <w:r w:rsidR="00474FEA" w:rsidRPr="000548FA">
        <w:rPr>
          <w:rStyle w:val="normaltextrun"/>
          <w:rFonts w:cs="Segoe UI"/>
          <w:sz w:val="32"/>
          <w:szCs w:val="32"/>
        </w:rPr>
        <w:t>Whaikaha</w:t>
      </w:r>
      <w:r w:rsidRPr="000548FA">
        <w:rPr>
          <w:rStyle w:val="normaltextrun"/>
          <w:rFonts w:cs="Segoe UI"/>
          <w:sz w:val="32"/>
          <w:szCs w:val="32"/>
        </w:rPr>
        <w:t xml:space="preserve"> will work to reduce systemic barriers for disabled people accessing </w:t>
      </w:r>
      <w:r w:rsidRPr="000548FA" w:rsidDel="00E92C5A">
        <w:rPr>
          <w:rStyle w:val="normaltextrun"/>
          <w:rFonts w:cs="Segoe UI"/>
          <w:sz w:val="32"/>
          <w:szCs w:val="32"/>
        </w:rPr>
        <w:t>housing, including</w:t>
      </w:r>
      <w:r w:rsidRPr="000548FA">
        <w:rPr>
          <w:rStyle w:val="normaltextrun"/>
          <w:rFonts w:cs="Segoe UI"/>
          <w:sz w:val="32"/>
          <w:szCs w:val="32"/>
        </w:rPr>
        <w:t xml:space="preserve"> social housing.</w:t>
      </w:r>
      <w:r w:rsidRPr="000548FA">
        <w:rPr>
          <w:rStyle w:val="eop"/>
          <w:rFonts w:cs="Segoe UI"/>
          <w:sz w:val="32"/>
          <w:szCs w:val="32"/>
        </w:rPr>
        <w:t> </w:t>
      </w:r>
    </w:p>
    <w:p w14:paraId="0B36B655" w14:textId="1A8BDACF" w:rsidR="00B54281" w:rsidRPr="000548FA" w:rsidRDefault="00B54281" w:rsidP="000548FA">
      <w:pPr>
        <w:pStyle w:val="ParaLevel1"/>
        <w:spacing w:line="360" w:lineRule="auto"/>
        <w:rPr>
          <w:rFonts w:cs="Segoe UI"/>
          <w:sz w:val="32"/>
          <w:szCs w:val="32"/>
        </w:rPr>
      </w:pPr>
      <w:r w:rsidRPr="000548FA">
        <w:rPr>
          <w:rStyle w:val="normaltextrun"/>
          <w:rFonts w:cs="Segoe UI"/>
          <w:sz w:val="32"/>
          <w:szCs w:val="32"/>
        </w:rPr>
        <w:t xml:space="preserve">Whaikaha </w:t>
      </w:r>
      <w:r w:rsidR="00584D01" w:rsidRPr="000548FA">
        <w:rPr>
          <w:rStyle w:val="normaltextrun"/>
          <w:rFonts w:cs="Segoe UI"/>
          <w:sz w:val="32"/>
          <w:szCs w:val="32"/>
        </w:rPr>
        <w:t xml:space="preserve">can </w:t>
      </w:r>
      <w:r w:rsidRPr="000548FA">
        <w:rPr>
          <w:rStyle w:val="normaltextrun"/>
          <w:rFonts w:cs="Segoe UI"/>
          <w:sz w:val="32"/>
          <w:szCs w:val="32"/>
        </w:rPr>
        <w:t>also work with housing agencies to support better housing outcomes for disabled people within their work programmes. </w:t>
      </w:r>
      <w:r w:rsidRPr="000548FA">
        <w:rPr>
          <w:rStyle w:val="eop"/>
          <w:rFonts w:cs="Segoe UI"/>
          <w:sz w:val="32"/>
          <w:szCs w:val="32"/>
        </w:rPr>
        <w:t> </w:t>
      </w:r>
    </w:p>
    <w:p w14:paraId="083891ED" w14:textId="3249BD5B" w:rsidR="00A103F1" w:rsidRPr="000548FA" w:rsidRDefault="00A103F1" w:rsidP="000548FA">
      <w:pPr>
        <w:pStyle w:val="Heading2"/>
        <w:keepLines/>
        <w:spacing w:line="360" w:lineRule="auto"/>
        <w:rPr>
          <w:sz w:val="36"/>
          <w:szCs w:val="36"/>
        </w:rPr>
      </w:pPr>
      <w:r w:rsidRPr="000548FA">
        <w:rPr>
          <w:sz w:val="36"/>
          <w:szCs w:val="36"/>
        </w:rPr>
        <w:lastRenderedPageBreak/>
        <w:t>Background</w:t>
      </w:r>
      <w:r w:rsidR="00200C5B" w:rsidRPr="000548FA">
        <w:rPr>
          <w:sz w:val="36"/>
          <w:szCs w:val="36"/>
        </w:rPr>
        <w:t xml:space="preserve"> </w:t>
      </w:r>
    </w:p>
    <w:p w14:paraId="55CA9625" w14:textId="3DEA8096" w:rsidR="489CB82A" w:rsidRPr="000548FA" w:rsidRDefault="1518BDDF" w:rsidP="000548FA">
      <w:pPr>
        <w:pStyle w:val="Heading3"/>
        <w:spacing w:line="360" w:lineRule="auto"/>
        <w:rPr>
          <w:sz w:val="32"/>
          <w:szCs w:val="32"/>
        </w:rPr>
      </w:pPr>
      <w:r w:rsidRPr="000548FA">
        <w:rPr>
          <w:sz w:val="32"/>
          <w:szCs w:val="32"/>
        </w:rPr>
        <w:t xml:space="preserve">Access to housing is </w:t>
      </w:r>
      <w:r w:rsidR="54A85DC7" w:rsidRPr="000548FA">
        <w:rPr>
          <w:sz w:val="32"/>
          <w:szCs w:val="32"/>
        </w:rPr>
        <w:t>a basic</w:t>
      </w:r>
      <w:r w:rsidR="000952B9" w:rsidRPr="000548FA">
        <w:rPr>
          <w:sz w:val="32"/>
          <w:szCs w:val="32"/>
        </w:rPr>
        <w:t xml:space="preserve"> and well-recognised human right</w:t>
      </w:r>
    </w:p>
    <w:p w14:paraId="529A7A97" w14:textId="01968046" w:rsidR="1B446BB4" w:rsidRPr="000548FA" w:rsidRDefault="12C41EF0" w:rsidP="000548FA">
      <w:pPr>
        <w:pStyle w:val="ParaLevel1"/>
        <w:spacing w:line="360" w:lineRule="auto"/>
        <w:rPr>
          <w:sz w:val="32"/>
          <w:szCs w:val="32"/>
        </w:rPr>
      </w:pPr>
      <w:r w:rsidRPr="000548FA">
        <w:rPr>
          <w:sz w:val="32"/>
          <w:szCs w:val="32"/>
        </w:rPr>
        <w:t xml:space="preserve">Living in </w:t>
      </w:r>
      <w:r w:rsidR="56F5E719" w:rsidRPr="000548FA">
        <w:rPr>
          <w:sz w:val="32"/>
          <w:szCs w:val="32"/>
        </w:rPr>
        <w:t xml:space="preserve">adequate </w:t>
      </w:r>
      <w:r w:rsidRPr="000548FA">
        <w:rPr>
          <w:sz w:val="32"/>
          <w:szCs w:val="32"/>
        </w:rPr>
        <w:t>housing is a recognised human right</w:t>
      </w:r>
      <w:r w:rsidR="4D15980C" w:rsidRPr="000548FA">
        <w:rPr>
          <w:sz w:val="32"/>
          <w:szCs w:val="32"/>
        </w:rPr>
        <w:t>.</w:t>
      </w:r>
      <w:r w:rsidR="1B446BB4" w:rsidRPr="000548FA">
        <w:rPr>
          <w:rStyle w:val="FootnoteReference"/>
          <w:sz w:val="32"/>
          <w:szCs w:val="32"/>
          <w:lang w:val="en-NZ"/>
        </w:rPr>
        <w:footnoteReference w:id="2"/>
      </w:r>
      <w:r w:rsidR="34D329C3" w:rsidRPr="000548FA">
        <w:rPr>
          <w:sz w:val="32"/>
          <w:szCs w:val="32"/>
        </w:rPr>
        <w:t xml:space="preserve"> Article 19 of the United Nations Convention on the Rights of Persons with Disabilities (UNCRPD) states that disabled people hav</w:t>
      </w:r>
      <w:r w:rsidR="5D66703E" w:rsidRPr="000548FA">
        <w:rPr>
          <w:sz w:val="32"/>
          <w:szCs w:val="32"/>
        </w:rPr>
        <w:t xml:space="preserve">e </w:t>
      </w:r>
      <w:r w:rsidR="34D329C3" w:rsidRPr="000548FA">
        <w:rPr>
          <w:sz w:val="32"/>
          <w:szCs w:val="32"/>
        </w:rPr>
        <w:t>the right to live independe</w:t>
      </w:r>
      <w:r w:rsidR="558D56BA" w:rsidRPr="000548FA">
        <w:rPr>
          <w:sz w:val="32"/>
          <w:szCs w:val="32"/>
        </w:rPr>
        <w:t>ntly</w:t>
      </w:r>
      <w:r w:rsidR="00EB5B15" w:rsidRPr="000548FA">
        <w:rPr>
          <w:sz w:val="32"/>
          <w:szCs w:val="32"/>
        </w:rPr>
        <w:t>,</w:t>
      </w:r>
      <w:r w:rsidR="558D56BA" w:rsidRPr="000548FA">
        <w:rPr>
          <w:sz w:val="32"/>
          <w:szCs w:val="32"/>
        </w:rPr>
        <w:t xml:space="preserve"> be fully included and participate in the community.</w:t>
      </w:r>
      <w:r w:rsidR="1B446BB4" w:rsidRPr="000548FA">
        <w:rPr>
          <w:rStyle w:val="FootnoteReference"/>
          <w:sz w:val="32"/>
          <w:szCs w:val="32"/>
          <w:lang w:val="en-NZ"/>
        </w:rPr>
        <w:footnoteReference w:id="3"/>
      </w:r>
      <w:r w:rsidR="61FB3052" w:rsidRPr="000548FA">
        <w:rPr>
          <w:sz w:val="32"/>
          <w:szCs w:val="32"/>
        </w:rPr>
        <w:t xml:space="preserve"> The </w:t>
      </w:r>
      <w:r w:rsidR="00AA00E7" w:rsidRPr="000548FA">
        <w:rPr>
          <w:sz w:val="32"/>
          <w:szCs w:val="32"/>
        </w:rPr>
        <w:t xml:space="preserve">New Zealand </w:t>
      </w:r>
      <w:r w:rsidR="61FB3052" w:rsidRPr="000548FA">
        <w:rPr>
          <w:sz w:val="32"/>
          <w:szCs w:val="32"/>
        </w:rPr>
        <w:t xml:space="preserve">Human Rights </w:t>
      </w:r>
      <w:r w:rsidR="16AFDF20" w:rsidRPr="000548FA">
        <w:rPr>
          <w:sz w:val="32"/>
          <w:szCs w:val="32"/>
        </w:rPr>
        <w:t xml:space="preserve">Commission also </w:t>
      </w:r>
      <w:r w:rsidR="243411F0" w:rsidRPr="000548FA">
        <w:rPr>
          <w:sz w:val="32"/>
          <w:szCs w:val="32"/>
        </w:rPr>
        <w:t>details the right to a decent home.</w:t>
      </w:r>
      <w:r w:rsidR="1B446BB4" w:rsidRPr="000548FA">
        <w:rPr>
          <w:rStyle w:val="FootnoteReference"/>
          <w:sz w:val="32"/>
          <w:szCs w:val="32"/>
          <w:lang w:val="en-NZ"/>
        </w:rPr>
        <w:footnoteReference w:id="4"/>
      </w:r>
      <w:r w:rsidR="243411F0" w:rsidRPr="000548FA">
        <w:rPr>
          <w:sz w:val="32"/>
          <w:szCs w:val="32"/>
        </w:rPr>
        <w:t xml:space="preserve"> </w:t>
      </w:r>
      <w:r w:rsidR="1E75DCB9" w:rsidRPr="000548FA">
        <w:rPr>
          <w:sz w:val="32"/>
          <w:szCs w:val="32"/>
        </w:rPr>
        <w:t>Successive New Zealand governments have committed to implementing these rights.</w:t>
      </w:r>
    </w:p>
    <w:p w14:paraId="3E49D093" w14:textId="07B481B4" w:rsidR="00C52803" w:rsidRPr="000548FA" w:rsidRDefault="00BE40B4" w:rsidP="000548FA">
      <w:pPr>
        <w:pStyle w:val="Heading3"/>
        <w:spacing w:line="360" w:lineRule="auto"/>
        <w:rPr>
          <w:sz w:val="32"/>
          <w:szCs w:val="32"/>
        </w:rPr>
      </w:pPr>
      <w:r w:rsidRPr="000548FA">
        <w:rPr>
          <w:sz w:val="32"/>
          <w:szCs w:val="32"/>
        </w:rPr>
        <w:t>There is a close relationship between housing and other life outcomes</w:t>
      </w:r>
    </w:p>
    <w:p w14:paraId="6F44FE10" w14:textId="31F2DD11" w:rsidR="6C755189" w:rsidRPr="000548FA" w:rsidRDefault="00AA00E7" w:rsidP="000548FA">
      <w:pPr>
        <w:pStyle w:val="ParaLevel1"/>
        <w:spacing w:line="360" w:lineRule="auto"/>
        <w:rPr>
          <w:rFonts w:eastAsia="Verdana" w:cs="Verdana"/>
          <w:color w:val="000000" w:themeColor="text1"/>
          <w:sz w:val="32"/>
          <w:szCs w:val="32"/>
        </w:rPr>
      </w:pPr>
      <w:r w:rsidRPr="000548FA">
        <w:rPr>
          <w:sz w:val="32"/>
          <w:szCs w:val="32"/>
        </w:rPr>
        <w:t>Housing</w:t>
      </w:r>
      <w:r w:rsidR="1E75DCB9" w:rsidRPr="000548FA">
        <w:rPr>
          <w:sz w:val="32"/>
          <w:szCs w:val="32"/>
        </w:rPr>
        <w:t xml:space="preserve"> is an important determinant of health and wellbeing outcomes</w:t>
      </w:r>
      <w:r w:rsidR="62C22909" w:rsidRPr="000548FA">
        <w:rPr>
          <w:sz w:val="32"/>
          <w:szCs w:val="32"/>
        </w:rPr>
        <w:t xml:space="preserve">. </w:t>
      </w:r>
      <w:r w:rsidRPr="000548FA">
        <w:rPr>
          <w:sz w:val="32"/>
          <w:szCs w:val="32"/>
        </w:rPr>
        <w:t>Living in c</w:t>
      </w:r>
      <w:r w:rsidR="7062F34D" w:rsidRPr="000548FA">
        <w:rPr>
          <w:rFonts w:eastAsia="Verdana" w:cs="Verdana"/>
          <w:color w:val="000000" w:themeColor="text1"/>
          <w:sz w:val="32"/>
          <w:szCs w:val="32"/>
        </w:rPr>
        <w:t>rowded, cold, damp, mouldy</w:t>
      </w:r>
      <w:r w:rsidR="3083E972" w:rsidRPr="000548FA">
        <w:rPr>
          <w:rFonts w:eastAsia="Verdana" w:cs="Verdana"/>
          <w:color w:val="000000" w:themeColor="text1"/>
          <w:sz w:val="32"/>
          <w:szCs w:val="32"/>
        </w:rPr>
        <w:t xml:space="preserve">, or </w:t>
      </w:r>
      <w:r w:rsidR="4E836840" w:rsidRPr="000548FA">
        <w:rPr>
          <w:rFonts w:eastAsia="Verdana" w:cs="Verdana"/>
          <w:color w:val="000000" w:themeColor="text1"/>
          <w:sz w:val="32"/>
          <w:szCs w:val="32"/>
        </w:rPr>
        <w:t>hazardous housing</w:t>
      </w:r>
      <w:r w:rsidR="7062F34D" w:rsidRPr="000548FA">
        <w:rPr>
          <w:rFonts w:eastAsia="Verdana" w:cs="Verdana"/>
          <w:color w:val="000000" w:themeColor="text1"/>
          <w:sz w:val="32"/>
          <w:szCs w:val="32"/>
        </w:rPr>
        <w:t xml:space="preserve"> </w:t>
      </w:r>
      <w:r w:rsidRPr="000548FA">
        <w:rPr>
          <w:rFonts w:eastAsia="Verdana" w:cs="Verdana"/>
          <w:color w:val="000000" w:themeColor="text1"/>
          <w:sz w:val="32"/>
          <w:szCs w:val="32"/>
        </w:rPr>
        <w:t>can lead to</w:t>
      </w:r>
      <w:r w:rsidR="7062F34D" w:rsidRPr="000548FA">
        <w:rPr>
          <w:rFonts w:eastAsia="Verdana" w:cs="Verdana"/>
          <w:color w:val="000000" w:themeColor="text1"/>
          <w:sz w:val="32"/>
          <w:szCs w:val="32"/>
        </w:rPr>
        <w:t xml:space="preserve"> illness, </w:t>
      </w:r>
      <w:r w:rsidR="7062F34D" w:rsidRPr="000548FA">
        <w:rPr>
          <w:rFonts w:eastAsia="Verdana" w:cs="Verdana"/>
          <w:color w:val="000000" w:themeColor="text1"/>
          <w:sz w:val="32"/>
          <w:szCs w:val="32"/>
        </w:rPr>
        <w:lastRenderedPageBreak/>
        <w:t>hospitalisation, a</w:t>
      </w:r>
      <w:r w:rsidR="60061D44" w:rsidRPr="000548FA">
        <w:rPr>
          <w:rFonts w:eastAsia="Verdana" w:cs="Verdana"/>
          <w:color w:val="000000" w:themeColor="text1"/>
          <w:sz w:val="32"/>
          <w:szCs w:val="32"/>
        </w:rPr>
        <w:t>ccident</w:t>
      </w:r>
      <w:r w:rsidR="7062F34D" w:rsidRPr="000548FA">
        <w:rPr>
          <w:rFonts w:eastAsia="Verdana" w:cs="Verdana"/>
          <w:color w:val="000000" w:themeColor="text1"/>
          <w:sz w:val="32"/>
          <w:szCs w:val="32"/>
        </w:rPr>
        <w:t xml:space="preserve"> </w:t>
      </w:r>
      <w:r w:rsidR="60061D44" w:rsidRPr="000548FA">
        <w:rPr>
          <w:rFonts w:eastAsia="Verdana" w:cs="Verdana"/>
          <w:color w:val="000000" w:themeColor="text1"/>
          <w:sz w:val="32"/>
          <w:szCs w:val="32"/>
        </w:rPr>
        <w:t xml:space="preserve">claims, and </w:t>
      </w:r>
      <w:r w:rsidR="7062F34D" w:rsidRPr="000548FA">
        <w:rPr>
          <w:rFonts w:eastAsia="Verdana" w:cs="Verdana"/>
          <w:color w:val="000000" w:themeColor="text1"/>
          <w:sz w:val="32"/>
          <w:szCs w:val="32"/>
        </w:rPr>
        <w:t>deaths.</w:t>
      </w:r>
      <w:r w:rsidR="6C755189" w:rsidRPr="000548FA">
        <w:rPr>
          <w:rStyle w:val="FootnoteReference"/>
          <w:rFonts w:eastAsia="Verdana" w:cs="Verdana"/>
          <w:color w:val="000000" w:themeColor="text1"/>
          <w:sz w:val="32"/>
          <w:szCs w:val="32"/>
          <w:lang w:val="en-NZ"/>
        </w:rPr>
        <w:footnoteReference w:id="5"/>
      </w:r>
      <w:r w:rsidR="7062F34D" w:rsidRPr="000548FA">
        <w:rPr>
          <w:rFonts w:eastAsia="Verdana" w:cs="Verdana"/>
          <w:color w:val="000000" w:themeColor="text1"/>
          <w:sz w:val="32"/>
          <w:szCs w:val="32"/>
        </w:rPr>
        <w:t xml:space="preserve"> </w:t>
      </w:r>
      <w:r w:rsidR="2B66B291" w:rsidRPr="000548FA">
        <w:rPr>
          <w:rFonts w:eastAsia="Verdana" w:cs="Verdana"/>
          <w:color w:val="000000" w:themeColor="text1"/>
          <w:sz w:val="32"/>
          <w:szCs w:val="32"/>
        </w:rPr>
        <w:t xml:space="preserve">Two of the </w:t>
      </w:r>
      <w:r w:rsidR="14ADBC5F" w:rsidRPr="000548FA">
        <w:rPr>
          <w:rFonts w:eastAsia="Verdana" w:cs="Verdana"/>
          <w:color w:val="000000" w:themeColor="text1"/>
          <w:sz w:val="32"/>
          <w:szCs w:val="32"/>
        </w:rPr>
        <w:t>G</w:t>
      </w:r>
      <w:r w:rsidR="2B66B291" w:rsidRPr="000548FA">
        <w:rPr>
          <w:rFonts w:eastAsia="Verdana" w:cs="Verdana"/>
          <w:color w:val="000000" w:themeColor="text1"/>
          <w:sz w:val="32"/>
          <w:szCs w:val="32"/>
        </w:rPr>
        <w:t>overnment</w:t>
      </w:r>
      <w:r w:rsidR="71050CA5" w:rsidRPr="000548FA">
        <w:rPr>
          <w:rFonts w:eastAsia="Verdana" w:cs="Verdana"/>
          <w:color w:val="000000" w:themeColor="text1"/>
          <w:sz w:val="32"/>
          <w:szCs w:val="32"/>
        </w:rPr>
        <w:t xml:space="preserve"> targets aim for shorter stays in emergency departments and shorter wait times for treatment. Improving housing outcomes </w:t>
      </w:r>
      <w:r w:rsidR="71050CA5" w:rsidRPr="000548FA" w:rsidDel="00BB2BE5">
        <w:rPr>
          <w:rFonts w:eastAsia="Verdana" w:cs="Verdana"/>
          <w:color w:val="000000" w:themeColor="text1"/>
          <w:sz w:val="32"/>
          <w:szCs w:val="32"/>
        </w:rPr>
        <w:t xml:space="preserve">would </w:t>
      </w:r>
      <w:r w:rsidR="71050CA5" w:rsidRPr="000548FA" w:rsidDel="00D2386E">
        <w:rPr>
          <w:rFonts w:eastAsia="Verdana" w:cs="Verdana"/>
          <w:color w:val="000000" w:themeColor="text1"/>
          <w:sz w:val="32"/>
          <w:szCs w:val="32"/>
        </w:rPr>
        <w:t xml:space="preserve">also </w:t>
      </w:r>
      <w:r w:rsidRPr="000548FA">
        <w:rPr>
          <w:rFonts w:eastAsia="Verdana" w:cs="Verdana"/>
          <w:color w:val="000000" w:themeColor="text1"/>
          <w:sz w:val="32"/>
          <w:szCs w:val="32"/>
        </w:rPr>
        <w:t xml:space="preserve">help </w:t>
      </w:r>
      <w:r w:rsidR="00780C54" w:rsidRPr="000548FA">
        <w:rPr>
          <w:rFonts w:eastAsia="Verdana" w:cs="Verdana"/>
          <w:color w:val="000000" w:themeColor="text1"/>
          <w:sz w:val="32"/>
          <w:szCs w:val="32"/>
        </w:rPr>
        <w:t xml:space="preserve">with </w:t>
      </w:r>
      <w:r w:rsidR="006038C1" w:rsidRPr="000548FA">
        <w:rPr>
          <w:rFonts w:eastAsia="Verdana" w:cs="Verdana"/>
          <w:color w:val="000000" w:themeColor="text1"/>
          <w:sz w:val="32"/>
          <w:szCs w:val="32"/>
        </w:rPr>
        <w:t>health-related targets.</w:t>
      </w:r>
    </w:p>
    <w:p w14:paraId="1A03C090" w14:textId="4F923778" w:rsidR="001F4EB0" w:rsidRPr="000548FA" w:rsidRDefault="001F4EB0"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There is a complex and bi-directional relationship between housing and health.</w:t>
      </w:r>
      <w:r w:rsidRPr="000548FA">
        <w:rPr>
          <w:rStyle w:val="FootnoteReference"/>
          <w:rFonts w:eastAsia="Verdana" w:cs="Verdana"/>
          <w:color w:val="000000" w:themeColor="text1"/>
          <w:sz w:val="32"/>
          <w:szCs w:val="32"/>
          <w:lang w:val="en-NZ"/>
        </w:rPr>
        <w:footnoteReference w:id="6"/>
      </w:r>
      <w:r w:rsidRPr="000548FA">
        <w:rPr>
          <w:rFonts w:eastAsia="Verdana" w:cs="Verdana"/>
          <w:color w:val="000000" w:themeColor="text1"/>
          <w:sz w:val="32"/>
          <w:szCs w:val="32"/>
        </w:rPr>
        <w:t xml:space="preserve"> While inadequate housing can cause poor health outcomes, health is also a key determinant of housing instability. Unmet health needs can be a contributing factor in someone experiencing housing instability and requiring emergency housing.</w:t>
      </w:r>
    </w:p>
    <w:p w14:paraId="22882828" w14:textId="3F720E4F" w:rsidR="5C6FD28D" w:rsidRPr="000548FA" w:rsidRDefault="00F13BDA"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P</w:t>
      </w:r>
      <w:r w:rsidR="521F9E60" w:rsidRPr="000548FA">
        <w:rPr>
          <w:rFonts w:eastAsia="Verdana" w:cs="Verdana"/>
          <w:color w:val="000000" w:themeColor="text1"/>
          <w:sz w:val="32"/>
          <w:szCs w:val="32"/>
        </w:rPr>
        <w:t xml:space="preserve">oorer health and wellbeing outcomes </w:t>
      </w:r>
      <w:r w:rsidR="26696F1D" w:rsidRPr="000548FA">
        <w:rPr>
          <w:rFonts w:eastAsia="Verdana" w:cs="Verdana"/>
          <w:color w:val="000000" w:themeColor="text1"/>
          <w:sz w:val="32"/>
          <w:szCs w:val="32"/>
        </w:rPr>
        <w:t>due to</w:t>
      </w:r>
      <w:r w:rsidR="521F9E60" w:rsidRPr="000548FA">
        <w:rPr>
          <w:rFonts w:eastAsia="Verdana" w:cs="Verdana"/>
          <w:color w:val="000000" w:themeColor="text1"/>
          <w:sz w:val="32"/>
          <w:szCs w:val="32"/>
        </w:rPr>
        <w:t xml:space="preserve"> </w:t>
      </w:r>
      <w:r w:rsidR="262D0D56" w:rsidRPr="000548FA">
        <w:rPr>
          <w:rFonts w:eastAsia="Verdana" w:cs="Verdana"/>
          <w:color w:val="000000" w:themeColor="text1"/>
          <w:sz w:val="32"/>
          <w:szCs w:val="32"/>
        </w:rPr>
        <w:t xml:space="preserve">inadequate </w:t>
      </w:r>
      <w:r w:rsidR="521F9E60" w:rsidRPr="000548FA">
        <w:rPr>
          <w:rFonts w:eastAsia="Verdana" w:cs="Verdana"/>
          <w:color w:val="000000" w:themeColor="text1"/>
          <w:sz w:val="32"/>
          <w:szCs w:val="32"/>
        </w:rPr>
        <w:t>housing ha</w:t>
      </w:r>
      <w:r w:rsidRPr="000548FA">
        <w:rPr>
          <w:rFonts w:eastAsia="Verdana" w:cs="Verdana"/>
          <w:color w:val="000000" w:themeColor="text1"/>
          <w:sz w:val="32"/>
          <w:szCs w:val="32"/>
        </w:rPr>
        <w:t>ve</w:t>
      </w:r>
      <w:r w:rsidR="521F9E60" w:rsidRPr="000548FA">
        <w:rPr>
          <w:rFonts w:eastAsia="Verdana" w:cs="Verdana"/>
          <w:color w:val="000000" w:themeColor="text1"/>
          <w:sz w:val="32"/>
          <w:szCs w:val="32"/>
        </w:rPr>
        <w:t xml:space="preserve"> flow on effects </w:t>
      </w:r>
      <w:r w:rsidR="00AA00E7" w:rsidRPr="000548FA">
        <w:rPr>
          <w:rFonts w:eastAsia="Verdana" w:cs="Verdana"/>
          <w:color w:val="000000" w:themeColor="text1"/>
          <w:sz w:val="32"/>
          <w:szCs w:val="32"/>
        </w:rPr>
        <w:t xml:space="preserve">on </w:t>
      </w:r>
      <w:r w:rsidR="521F9E60" w:rsidRPr="000548FA">
        <w:rPr>
          <w:rFonts w:eastAsia="Verdana" w:cs="Verdana"/>
          <w:color w:val="000000" w:themeColor="text1"/>
          <w:sz w:val="32"/>
          <w:szCs w:val="32"/>
        </w:rPr>
        <w:t xml:space="preserve">other </w:t>
      </w:r>
      <w:r w:rsidR="00087391" w:rsidRPr="000548FA">
        <w:rPr>
          <w:rFonts w:eastAsia="Verdana" w:cs="Verdana"/>
          <w:color w:val="000000" w:themeColor="text1"/>
          <w:sz w:val="32"/>
          <w:szCs w:val="32"/>
        </w:rPr>
        <w:t xml:space="preserve">aspects </w:t>
      </w:r>
      <w:r w:rsidR="521F9E60" w:rsidRPr="000548FA">
        <w:rPr>
          <w:rFonts w:eastAsia="Verdana" w:cs="Verdana"/>
          <w:color w:val="000000" w:themeColor="text1"/>
          <w:sz w:val="32"/>
          <w:szCs w:val="32"/>
        </w:rPr>
        <w:t>of life.</w:t>
      </w:r>
      <w:r w:rsidR="15D0B485" w:rsidRPr="000548FA">
        <w:rPr>
          <w:rFonts w:eastAsia="Verdana" w:cs="Verdana"/>
          <w:color w:val="000000" w:themeColor="text1"/>
          <w:sz w:val="32"/>
          <w:szCs w:val="32"/>
        </w:rPr>
        <w:t xml:space="preserve"> Experiencing more </w:t>
      </w:r>
      <w:r w:rsidR="338E724E" w:rsidRPr="000548FA">
        <w:rPr>
          <w:rFonts w:eastAsia="Verdana" w:cs="Verdana"/>
          <w:color w:val="000000" w:themeColor="text1"/>
          <w:sz w:val="32"/>
          <w:szCs w:val="32"/>
        </w:rPr>
        <w:t xml:space="preserve">illness and hospitalisations </w:t>
      </w:r>
      <w:r w:rsidR="0773D84B" w:rsidRPr="000548FA">
        <w:rPr>
          <w:rFonts w:eastAsia="Verdana" w:cs="Verdana"/>
          <w:color w:val="000000" w:themeColor="text1"/>
          <w:sz w:val="32"/>
          <w:szCs w:val="32"/>
        </w:rPr>
        <w:t>reduce</w:t>
      </w:r>
      <w:r w:rsidR="0D3608B5" w:rsidRPr="000548FA">
        <w:rPr>
          <w:rFonts w:eastAsia="Verdana" w:cs="Verdana"/>
          <w:color w:val="000000" w:themeColor="text1"/>
          <w:sz w:val="32"/>
          <w:szCs w:val="32"/>
        </w:rPr>
        <w:t>s</w:t>
      </w:r>
      <w:r w:rsidR="6AAE1EB6" w:rsidRPr="000548FA">
        <w:rPr>
          <w:rFonts w:eastAsia="Verdana" w:cs="Verdana"/>
          <w:color w:val="000000" w:themeColor="text1"/>
          <w:sz w:val="32"/>
          <w:szCs w:val="32"/>
        </w:rPr>
        <w:t xml:space="preserve"> the number of days that children </w:t>
      </w:r>
      <w:r w:rsidR="6AAE1EB6" w:rsidRPr="000548FA" w:rsidDel="00FC5842">
        <w:rPr>
          <w:rFonts w:eastAsia="Verdana" w:cs="Verdana"/>
          <w:color w:val="000000" w:themeColor="text1"/>
          <w:sz w:val="32"/>
          <w:szCs w:val="32"/>
        </w:rPr>
        <w:t>spend at</w:t>
      </w:r>
      <w:r w:rsidR="6AAE1EB6" w:rsidRPr="000548FA">
        <w:rPr>
          <w:rFonts w:eastAsia="Verdana" w:cs="Verdana"/>
          <w:color w:val="000000" w:themeColor="text1"/>
          <w:sz w:val="32"/>
          <w:szCs w:val="32"/>
        </w:rPr>
        <w:t xml:space="preserve"> school</w:t>
      </w:r>
      <w:r w:rsidR="4A855CE8" w:rsidRPr="000548FA">
        <w:rPr>
          <w:rFonts w:eastAsia="Verdana" w:cs="Verdana"/>
          <w:color w:val="000000" w:themeColor="text1"/>
          <w:sz w:val="32"/>
          <w:szCs w:val="32"/>
        </w:rPr>
        <w:t xml:space="preserve"> and actively engage in education</w:t>
      </w:r>
      <w:r w:rsidR="074316FB" w:rsidRPr="000548FA">
        <w:rPr>
          <w:rFonts w:eastAsia="Verdana" w:cs="Verdana"/>
          <w:color w:val="000000" w:themeColor="text1"/>
          <w:sz w:val="32"/>
          <w:szCs w:val="32"/>
        </w:rPr>
        <w:t xml:space="preserve"> </w:t>
      </w:r>
      <w:r w:rsidR="074316FB" w:rsidRPr="000548FA" w:rsidDel="00FC5842">
        <w:rPr>
          <w:rFonts w:eastAsia="Verdana" w:cs="Verdana"/>
          <w:color w:val="000000" w:themeColor="text1"/>
          <w:sz w:val="32"/>
          <w:szCs w:val="32"/>
        </w:rPr>
        <w:t>– relevant to</w:t>
      </w:r>
      <w:r w:rsidR="074316FB" w:rsidRPr="000548FA">
        <w:rPr>
          <w:rFonts w:eastAsia="Verdana" w:cs="Verdana"/>
          <w:color w:val="000000" w:themeColor="text1"/>
          <w:sz w:val="32"/>
          <w:szCs w:val="32"/>
        </w:rPr>
        <w:t xml:space="preserve"> another </w:t>
      </w:r>
      <w:r w:rsidR="2B34FA5C" w:rsidRPr="000548FA">
        <w:rPr>
          <w:rFonts w:eastAsia="Verdana" w:cs="Verdana"/>
          <w:color w:val="000000" w:themeColor="text1"/>
          <w:sz w:val="32"/>
          <w:szCs w:val="32"/>
        </w:rPr>
        <w:t>G</w:t>
      </w:r>
      <w:r w:rsidR="074316FB" w:rsidRPr="000548FA">
        <w:rPr>
          <w:rFonts w:eastAsia="Verdana" w:cs="Verdana"/>
          <w:color w:val="000000" w:themeColor="text1"/>
          <w:sz w:val="32"/>
          <w:szCs w:val="32"/>
        </w:rPr>
        <w:t>overnment target</w:t>
      </w:r>
      <w:r w:rsidR="074316FB" w:rsidRPr="000548FA" w:rsidDel="00FC5842">
        <w:rPr>
          <w:rFonts w:eastAsia="Verdana" w:cs="Verdana"/>
          <w:color w:val="000000" w:themeColor="text1"/>
          <w:sz w:val="32"/>
          <w:szCs w:val="32"/>
        </w:rPr>
        <w:t xml:space="preserve"> of increasing student </w:t>
      </w:r>
      <w:r w:rsidR="73AB8A4E" w:rsidRPr="000548FA" w:rsidDel="00FC5842">
        <w:rPr>
          <w:rFonts w:eastAsia="Verdana" w:cs="Verdana"/>
          <w:color w:val="000000" w:themeColor="text1"/>
          <w:sz w:val="32"/>
          <w:szCs w:val="32"/>
        </w:rPr>
        <w:t>attendance</w:t>
      </w:r>
      <w:r w:rsidR="4A855CE8" w:rsidRPr="000548FA">
        <w:rPr>
          <w:rFonts w:eastAsia="Verdana" w:cs="Verdana"/>
          <w:color w:val="000000" w:themeColor="text1"/>
          <w:sz w:val="32"/>
          <w:szCs w:val="32"/>
        </w:rPr>
        <w:t>.</w:t>
      </w:r>
      <w:r w:rsidR="18CEAC66" w:rsidRPr="000548FA">
        <w:rPr>
          <w:rFonts w:eastAsia="Verdana" w:cs="Verdana"/>
          <w:color w:val="000000" w:themeColor="text1"/>
          <w:sz w:val="32"/>
          <w:szCs w:val="32"/>
        </w:rPr>
        <w:t xml:space="preserve"> It</w:t>
      </w:r>
      <w:r w:rsidR="00FA6AD7" w:rsidRPr="000548FA">
        <w:rPr>
          <w:rFonts w:eastAsia="Verdana" w:cs="Verdana"/>
          <w:color w:val="000000" w:themeColor="text1"/>
          <w:sz w:val="32"/>
          <w:szCs w:val="32"/>
        </w:rPr>
        <w:t xml:space="preserve"> </w:t>
      </w:r>
      <w:r w:rsidR="18CEAC66" w:rsidRPr="000548FA">
        <w:rPr>
          <w:rFonts w:eastAsia="Verdana" w:cs="Verdana"/>
          <w:color w:val="000000" w:themeColor="text1"/>
          <w:sz w:val="32"/>
          <w:szCs w:val="32"/>
        </w:rPr>
        <w:t xml:space="preserve">also affects </w:t>
      </w:r>
      <w:r w:rsidR="12500289" w:rsidRPr="000548FA">
        <w:rPr>
          <w:rFonts w:eastAsia="Verdana" w:cs="Verdana"/>
          <w:color w:val="000000" w:themeColor="text1"/>
          <w:sz w:val="32"/>
          <w:szCs w:val="32"/>
        </w:rPr>
        <w:t xml:space="preserve">the ability of adults to </w:t>
      </w:r>
      <w:r w:rsidR="12500289" w:rsidRPr="000548FA">
        <w:rPr>
          <w:rFonts w:eastAsia="Verdana" w:cs="Verdana"/>
          <w:color w:val="000000" w:themeColor="text1"/>
          <w:sz w:val="32"/>
          <w:szCs w:val="32"/>
        </w:rPr>
        <w:lastRenderedPageBreak/>
        <w:t>gain and stay in employment</w:t>
      </w:r>
      <w:r w:rsidR="00B74AC3" w:rsidRPr="000548FA">
        <w:rPr>
          <w:rFonts w:eastAsia="Verdana" w:cs="Verdana"/>
          <w:color w:val="000000" w:themeColor="text1"/>
          <w:sz w:val="32"/>
          <w:szCs w:val="32"/>
        </w:rPr>
        <w:t xml:space="preserve">, </w:t>
      </w:r>
      <w:r w:rsidR="00AA00E7" w:rsidRPr="000548FA">
        <w:rPr>
          <w:rFonts w:eastAsia="Verdana" w:cs="Verdana"/>
          <w:color w:val="000000" w:themeColor="text1"/>
          <w:sz w:val="32"/>
          <w:szCs w:val="32"/>
        </w:rPr>
        <w:t>which in</w:t>
      </w:r>
      <w:r w:rsidR="00B74AC3" w:rsidRPr="000548FA">
        <w:rPr>
          <w:rFonts w:eastAsia="Verdana" w:cs="Verdana"/>
          <w:color w:val="000000" w:themeColor="text1"/>
          <w:sz w:val="32"/>
          <w:szCs w:val="32"/>
        </w:rPr>
        <w:t xml:space="preserve"> turn affect</w:t>
      </w:r>
      <w:r w:rsidR="00087391" w:rsidRPr="000548FA">
        <w:rPr>
          <w:rFonts w:eastAsia="Verdana" w:cs="Verdana"/>
          <w:color w:val="000000" w:themeColor="text1"/>
          <w:sz w:val="32"/>
          <w:szCs w:val="32"/>
        </w:rPr>
        <w:t>s</w:t>
      </w:r>
      <w:r w:rsidR="00B74AC3" w:rsidRPr="000548FA">
        <w:rPr>
          <w:rFonts w:eastAsia="Verdana" w:cs="Verdana"/>
          <w:color w:val="000000" w:themeColor="text1"/>
          <w:sz w:val="32"/>
          <w:szCs w:val="32"/>
        </w:rPr>
        <w:t xml:space="preserve"> people’s ability to afford </w:t>
      </w:r>
      <w:r w:rsidR="00C0464B" w:rsidRPr="000548FA">
        <w:rPr>
          <w:rFonts w:eastAsia="Verdana" w:cs="Verdana"/>
          <w:color w:val="000000" w:themeColor="text1"/>
          <w:sz w:val="32"/>
          <w:szCs w:val="32"/>
        </w:rPr>
        <w:t>housing.</w:t>
      </w:r>
    </w:p>
    <w:p w14:paraId="7D805F65" w14:textId="0E9643B7" w:rsidR="00D87149" w:rsidRPr="000548FA" w:rsidRDefault="00D87149"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 xml:space="preserve">Disabled people can also face barriers </w:t>
      </w:r>
      <w:r w:rsidR="00695929" w:rsidRPr="000548FA">
        <w:rPr>
          <w:rFonts w:eastAsia="Verdana" w:cs="Verdana"/>
          <w:color w:val="000000" w:themeColor="text1"/>
          <w:sz w:val="32"/>
          <w:szCs w:val="32"/>
        </w:rPr>
        <w:t xml:space="preserve">which </w:t>
      </w:r>
      <w:r w:rsidR="005C125E" w:rsidRPr="000548FA">
        <w:rPr>
          <w:rFonts w:eastAsia="Verdana" w:cs="Verdana"/>
          <w:color w:val="000000" w:themeColor="text1"/>
          <w:sz w:val="32"/>
          <w:szCs w:val="32"/>
        </w:rPr>
        <w:t>straddle</w:t>
      </w:r>
      <w:r w:rsidR="00695929" w:rsidRPr="000548FA">
        <w:rPr>
          <w:rFonts w:eastAsia="Verdana" w:cs="Verdana"/>
          <w:color w:val="000000" w:themeColor="text1"/>
          <w:sz w:val="32"/>
          <w:szCs w:val="32"/>
        </w:rPr>
        <w:t xml:space="preserve"> the area</w:t>
      </w:r>
      <w:r w:rsidR="005C125E" w:rsidRPr="000548FA">
        <w:rPr>
          <w:rFonts w:eastAsia="Verdana" w:cs="Verdana"/>
          <w:color w:val="000000" w:themeColor="text1"/>
          <w:sz w:val="32"/>
          <w:szCs w:val="32"/>
        </w:rPr>
        <w:t>s</w:t>
      </w:r>
      <w:r w:rsidR="00695929" w:rsidRPr="000548FA">
        <w:rPr>
          <w:rFonts w:eastAsia="Verdana" w:cs="Verdana"/>
          <w:color w:val="000000" w:themeColor="text1"/>
          <w:sz w:val="32"/>
          <w:szCs w:val="32"/>
        </w:rPr>
        <w:t xml:space="preserve"> of justice and housing</w:t>
      </w:r>
      <w:r w:rsidR="00061C2E" w:rsidRPr="000548FA">
        <w:rPr>
          <w:rFonts w:eastAsia="Verdana" w:cs="Verdana"/>
          <w:color w:val="000000" w:themeColor="text1"/>
          <w:sz w:val="32"/>
          <w:szCs w:val="32"/>
        </w:rPr>
        <w:t xml:space="preserve">. </w:t>
      </w:r>
      <w:r w:rsidR="000C2F05" w:rsidRPr="000548FA">
        <w:rPr>
          <w:rFonts w:eastAsia="Verdana" w:cs="Verdana"/>
          <w:color w:val="000000" w:themeColor="text1"/>
          <w:sz w:val="32"/>
          <w:szCs w:val="32"/>
        </w:rPr>
        <w:t xml:space="preserve">For example, disabled people report feeling restricted in their ability to </w:t>
      </w:r>
      <w:r w:rsidR="005B4ABE" w:rsidRPr="000548FA">
        <w:rPr>
          <w:rFonts w:eastAsia="Verdana" w:cs="Verdana"/>
          <w:color w:val="000000" w:themeColor="text1"/>
          <w:sz w:val="32"/>
          <w:szCs w:val="32"/>
        </w:rPr>
        <w:t xml:space="preserve">make complaints regarding landlords </w:t>
      </w:r>
      <w:r w:rsidR="00146CB2" w:rsidRPr="000548FA">
        <w:rPr>
          <w:rFonts w:eastAsia="Verdana" w:cs="Verdana"/>
          <w:color w:val="000000" w:themeColor="text1"/>
          <w:sz w:val="32"/>
          <w:szCs w:val="32"/>
        </w:rPr>
        <w:t>refusing to allow housing modifications or delaying responding to maintenance requests.</w:t>
      </w:r>
      <w:r w:rsidR="00146CB2" w:rsidRPr="000548FA">
        <w:rPr>
          <w:rStyle w:val="FootnoteReference"/>
          <w:rFonts w:eastAsia="Verdana" w:cs="Verdana"/>
          <w:color w:val="000000" w:themeColor="text1"/>
          <w:sz w:val="32"/>
          <w:szCs w:val="32"/>
        </w:rPr>
        <w:footnoteReference w:id="7"/>
      </w:r>
      <w:r w:rsidR="00B17AA8" w:rsidRPr="000548FA">
        <w:rPr>
          <w:rFonts w:eastAsia="Verdana" w:cs="Verdana"/>
          <w:color w:val="000000" w:themeColor="text1"/>
          <w:sz w:val="32"/>
          <w:szCs w:val="32"/>
        </w:rPr>
        <w:t xml:space="preserve"> Disabled </w:t>
      </w:r>
      <w:r w:rsidR="009B11EF" w:rsidRPr="000548FA">
        <w:rPr>
          <w:rFonts w:eastAsia="Verdana" w:cs="Verdana"/>
          <w:color w:val="000000" w:themeColor="text1"/>
          <w:sz w:val="32"/>
          <w:szCs w:val="32"/>
        </w:rPr>
        <w:t>people</w:t>
      </w:r>
      <w:r w:rsidR="00BE389B" w:rsidRPr="000548FA">
        <w:rPr>
          <w:rFonts w:eastAsia="Verdana" w:cs="Verdana"/>
          <w:color w:val="000000" w:themeColor="text1"/>
          <w:sz w:val="32"/>
          <w:szCs w:val="32"/>
        </w:rPr>
        <w:t xml:space="preserve"> </w:t>
      </w:r>
      <w:r w:rsidR="00341D26" w:rsidRPr="000548FA">
        <w:rPr>
          <w:rFonts w:eastAsia="Verdana" w:cs="Verdana"/>
          <w:color w:val="000000" w:themeColor="text1"/>
          <w:sz w:val="32"/>
          <w:szCs w:val="32"/>
        </w:rPr>
        <w:t xml:space="preserve">may fear </w:t>
      </w:r>
      <w:r w:rsidR="00BF4105" w:rsidRPr="000548FA">
        <w:rPr>
          <w:rFonts w:eastAsia="Verdana" w:cs="Verdana"/>
          <w:color w:val="000000" w:themeColor="text1"/>
          <w:sz w:val="32"/>
          <w:szCs w:val="32"/>
        </w:rPr>
        <w:t>retaliatory action</w:t>
      </w:r>
      <w:r w:rsidR="006D7C87" w:rsidRPr="000548FA">
        <w:rPr>
          <w:rFonts w:eastAsia="Verdana" w:cs="Verdana"/>
          <w:color w:val="000000" w:themeColor="text1"/>
          <w:sz w:val="32"/>
          <w:szCs w:val="32"/>
        </w:rPr>
        <w:t xml:space="preserve"> and the possibility of losing their home, or find legal processes inaccessible</w:t>
      </w:r>
      <w:r w:rsidR="006F0681" w:rsidRPr="000548FA">
        <w:rPr>
          <w:rFonts w:eastAsia="Verdana" w:cs="Verdana"/>
          <w:color w:val="000000" w:themeColor="text1"/>
          <w:sz w:val="32"/>
          <w:szCs w:val="32"/>
        </w:rPr>
        <w:t>.</w:t>
      </w:r>
    </w:p>
    <w:p w14:paraId="1691F4CD" w14:textId="40669B59" w:rsidR="35A7E819" w:rsidRPr="000548FA" w:rsidRDefault="001F4EB0"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O</w:t>
      </w:r>
      <w:r w:rsidR="35A7E819" w:rsidRPr="000548FA">
        <w:rPr>
          <w:rFonts w:eastAsia="Verdana" w:cs="Verdana"/>
          <w:color w:val="000000" w:themeColor="text1"/>
          <w:sz w:val="32"/>
          <w:szCs w:val="32"/>
        </w:rPr>
        <w:t xml:space="preserve">ne of the Government targets </w:t>
      </w:r>
      <w:r w:rsidR="000353B7" w:rsidRPr="000548FA">
        <w:rPr>
          <w:rFonts w:eastAsia="Verdana" w:cs="Verdana"/>
          <w:color w:val="000000" w:themeColor="text1"/>
          <w:sz w:val="32"/>
          <w:szCs w:val="32"/>
        </w:rPr>
        <w:t>is to have</w:t>
      </w:r>
      <w:r w:rsidR="35A7E819" w:rsidRPr="000548FA">
        <w:rPr>
          <w:rFonts w:eastAsia="Verdana" w:cs="Verdana"/>
          <w:color w:val="000000" w:themeColor="text1"/>
          <w:sz w:val="32"/>
          <w:szCs w:val="32"/>
        </w:rPr>
        <w:t xml:space="preserve"> 75% fewer households in emergency housing</w:t>
      </w:r>
      <w:r w:rsidR="00B15C15" w:rsidRPr="000548FA">
        <w:rPr>
          <w:rFonts w:eastAsia="Verdana" w:cs="Verdana"/>
          <w:color w:val="000000" w:themeColor="text1"/>
          <w:sz w:val="32"/>
          <w:szCs w:val="32"/>
        </w:rPr>
        <w:t xml:space="preserve"> </w:t>
      </w:r>
      <w:r w:rsidR="1E6A92F2" w:rsidRPr="000548FA">
        <w:rPr>
          <w:rFonts w:eastAsia="Verdana" w:cs="Verdana"/>
          <w:color w:val="000000" w:themeColor="text1"/>
          <w:sz w:val="32"/>
          <w:szCs w:val="32"/>
        </w:rPr>
        <w:t>compared to December 2023</w:t>
      </w:r>
      <w:r w:rsidR="00B15C15" w:rsidRPr="000548FA">
        <w:rPr>
          <w:rFonts w:eastAsia="Verdana" w:cs="Verdana"/>
          <w:color w:val="000000" w:themeColor="text1"/>
          <w:sz w:val="32"/>
          <w:szCs w:val="32"/>
        </w:rPr>
        <w:t xml:space="preserve"> by 2030</w:t>
      </w:r>
      <w:r w:rsidR="35A7E819" w:rsidRPr="000548FA">
        <w:rPr>
          <w:rFonts w:eastAsia="Verdana" w:cs="Verdana"/>
          <w:color w:val="000000" w:themeColor="text1"/>
          <w:sz w:val="32"/>
          <w:szCs w:val="32"/>
        </w:rPr>
        <w:t>.</w:t>
      </w:r>
      <w:r w:rsidR="00311C82" w:rsidRPr="000548FA">
        <w:rPr>
          <w:rFonts w:eastAsia="Verdana" w:cs="Verdana"/>
          <w:color w:val="000000" w:themeColor="text1"/>
          <w:sz w:val="32"/>
          <w:szCs w:val="32"/>
        </w:rPr>
        <w:t xml:space="preserve"> While this </w:t>
      </w:r>
      <w:r w:rsidR="00CB2EB0" w:rsidRPr="000548FA">
        <w:rPr>
          <w:rFonts w:eastAsia="Verdana" w:cs="Verdana"/>
          <w:color w:val="000000" w:themeColor="text1"/>
          <w:sz w:val="32"/>
          <w:szCs w:val="32"/>
        </w:rPr>
        <w:t xml:space="preserve">has now been achieved, ongoing </w:t>
      </w:r>
      <w:r w:rsidR="00C955C2" w:rsidRPr="000548FA">
        <w:rPr>
          <w:rFonts w:eastAsia="Verdana" w:cs="Verdana"/>
          <w:color w:val="000000" w:themeColor="text1"/>
          <w:sz w:val="32"/>
          <w:szCs w:val="32"/>
        </w:rPr>
        <w:t xml:space="preserve">efforts </w:t>
      </w:r>
      <w:r w:rsidR="00671C63" w:rsidRPr="000548FA">
        <w:rPr>
          <w:rFonts w:eastAsia="Verdana" w:cs="Verdana"/>
          <w:color w:val="000000" w:themeColor="text1"/>
          <w:sz w:val="32"/>
          <w:szCs w:val="32"/>
        </w:rPr>
        <w:t>are</w:t>
      </w:r>
      <w:r w:rsidR="00C955C2" w:rsidRPr="000548FA">
        <w:rPr>
          <w:rFonts w:eastAsia="Verdana" w:cs="Verdana"/>
          <w:color w:val="000000" w:themeColor="text1"/>
          <w:sz w:val="32"/>
          <w:szCs w:val="32"/>
        </w:rPr>
        <w:t xml:space="preserve"> needed to ensure </w:t>
      </w:r>
      <w:r w:rsidR="00671C63" w:rsidRPr="000548FA">
        <w:rPr>
          <w:rFonts w:eastAsia="Verdana" w:cs="Verdana"/>
          <w:color w:val="000000" w:themeColor="text1"/>
          <w:sz w:val="32"/>
          <w:szCs w:val="32"/>
        </w:rPr>
        <w:t>the target continues to be met</w:t>
      </w:r>
      <w:r w:rsidR="00077942" w:rsidRPr="000548FA">
        <w:rPr>
          <w:rFonts w:eastAsia="Verdana" w:cs="Verdana"/>
          <w:color w:val="000000" w:themeColor="text1"/>
          <w:sz w:val="32"/>
          <w:szCs w:val="32"/>
        </w:rPr>
        <w:t xml:space="preserve">, and that </w:t>
      </w:r>
      <w:r w:rsidR="0038789B" w:rsidRPr="000548FA">
        <w:rPr>
          <w:rFonts w:eastAsia="Verdana" w:cs="Verdana"/>
          <w:color w:val="000000" w:themeColor="text1"/>
          <w:sz w:val="32"/>
          <w:szCs w:val="32"/>
        </w:rPr>
        <w:t>people are housed in adequate alternative accommodation</w:t>
      </w:r>
      <w:r w:rsidR="00671C63" w:rsidRPr="000548FA">
        <w:rPr>
          <w:rFonts w:eastAsia="Verdana" w:cs="Verdana"/>
          <w:color w:val="000000" w:themeColor="text1"/>
          <w:sz w:val="32"/>
          <w:szCs w:val="32"/>
        </w:rPr>
        <w:t>.</w:t>
      </w:r>
      <w:r w:rsidR="5D55999E" w:rsidRPr="000548FA">
        <w:rPr>
          <w:rFonts w:eastAsia="Verdana" w:cs="Verdana"/>
          <w:color w:val="000000" w:themeColor="text1"/>
          <w:sz w:val="32"/>
          <w:szCs w:val="32"/>
        </w:rPr>
        <w:t xml:space="preserve"> Improving outcomes for disabled people in housing would reduce the risk that disabled people require emergency housing due to a lack of suitable alternatives.</w:t>
      </w:r>
    </w:p>
    <w:p w14:paraId="0F4CE3EE" w14:textId="7F3C5B33" w:rsidR="5C6FD28D" w:rsidRPr="000548FA" w:rsidRDefault="2DB75AAE" w:rsidP="000548FA">
      <w:pPr>
        <w:pStyle w:val="Heading3"/>
        <w:spacing w:line="360" w:lineRule="auto"/>
        <w:rPr>
          <w:sz w:val="32"/>
          <w:szCs w:val="32"/>
        </w:rPr>
      </w:pPr>
      <w:r w:rsidRPr="000548FA">
        <w:rPr>
          <w:sz w:val="32"/>
          <w:szCs w:val="32"/>
        </w:rPr>
        <w:lastRenderedPageBreak/>
        <w:t>Disabled people experience poorer housing outcomes</w:t>
      </w:r>
    </w:p>
    <w:p w14:paraId="348CB89D" w14:textId="1A818E55" w:rsidR="000F227A" w:rsidRPr="000548FA" w:rsidRDefault="000F227A" w:rsidP="000548FA">
      <w:pPr>
        <w:pStyle w:val="ParaLevel1"/>
        <w:spacing w:line="360" w:lineRule="auto"/>
        <w:rPr>
          <w:sz w:val="32"/>
          <w:szCs w:val="32"/>
        </w:rPr>
      </w:pPr>
      <w:r w:rsidRPr="000548FA">
        <w:rPr>
          <w:sz w:val="32"/>
          <w:szCs w:val="32"/>
        </w:rPr>
        <w:t>Many of the housing issues experienced by disabled people and tāngata whaikaha Māori are shared by all New Zealanders. However, disabled people and tāngata whaikaha Māori can experience significant and unique difficulties, especially relating to accessibility.</w:t>
      </w:r>
    </w:p>
    <w:p w14:paraId="00E3D24F" w14:textId="21460017" w:rsidR="00D17D2E" w:rsidRPr="000548FA" w:rsidRDefault="00377B44" w:rsidP="000548FA">
      <w:pPr>
        <w:pStyle w:val="ParaLevel1"/>
        <w:spacing w:line="360" w:lineRule="auto"/>
        <w:rPr>
          <w:sz w:val="32"/>
          <w:szCs w:val="32"/>
        </w:rPr>
      </w:pPr>
      <w:r w:rsidRPr="000548FA">
        <w:rPr>
          <w:sz w:val="32"/>
          <w:szCs w:val="32"/>
        </w:rPr>
        <w:t xml:space="preserve">Data </w:t>
      </w:r>
      <w:r w:rsidR="001D79A0" w:rsidRPr="000548FA">
        <w:rPr>
          <w:sz w:val="32"/>
          <w:szCs w:val="32"/>
        </w:rPr>
        <w:t>shows</w:t>
      </w:r>
      <w:r w:rsidRPr="000548FA">
        <w:rPr>
          <w:sz w:val="32"/>
          <w:szCs w:val="32"/>
        </w:rPr>
        <w:t xml:space="preserve"> that </w:t>
      </w:r>
      <w:r w:rsidR="001F4EB0" w:rsidRPr="000548FA">
        <w:rPr>
          <w:rFonts w:eastAsia="Verdana" w:cs="Verdana"/>
          <w:color w:val="000000" w:themeColor="text1"/>
          <w:sz w:val="32"/>
          <w:szCs w:val="32"/>
        </w:rPr>
        <w:t>t</w:t>
      </w:r>
      <w:r w:rsidRPr="000548FA">
        <w:rPr>
          <w:rFonts w:eastAsia="Verdana" w:cs="Verdana"/>
          <w:color w:val="000000" w:themeColor="text1"/>
          <w:sz w:val="32"/>
          <w:szCs w:val="32"/>
        </w:rPr>
        <w:t xml:space="preserve">āngata whaikaha Māori </w:t>
      </w:r>
      <w:r w:rsidR="000C71F3" w:rsidRPr="000548FA">
        <w:rPr>
          <w:rFonts w:eastAsia="Verdana" w:cs="Verdana"/>
          <w:color w:val="000000" w:themeColor="text1"/>
          <w:sz w:val="32"/>
          <w:szCs w:val="32"/>
        </w:rPr>
        <w:t xml:space="preserve">frequently </w:t>
      </w:r>
      <w:r w:rsidRPr="000548FA">
        <w:rPr>
          <w:rFonts w:eastAsia="Verdana" w:cs="Verdana"/>
          <w:color w:val="000000" w:themeColor="text1"/>
          <w:sz w:val="32"/>
          <w:szCs w:val="32"/>
        </w:rPr>
        <w:t xml:space="preserve">face poorer </w:t>
      </w:r>
      <w:r w:rsidR="000C71F3" w:rsidRPr="000548FA">
        <w:rPr>
          <w:rFonts w:eastAsia="Verdana" w:cs="Verdana"/>
          <w:color w:val="000000" w:themeColor="text1"/>
          <w:sz w:val="32"/>
          <w:szCs w:val="32"/>
        </w:rPr>
        <w:t xml:space="preserve">housing </w:t>
      </w:r>
      <w:r w:rsidRPr="000548FA">
        <w:rPr>
          <w:rFonts w:eastAsia="Verdana" w:cs="Verdana"/>
          <w:color w:val="000000" w:themeColor="text1"/>
          <w:sz w:val="32"/>
          <w:szCs w:val="32"/>
        </w:rPr>
        <w:t>outcomes than non-Māori disabled people, and significantly poorer outcomes than non-Māori, non-disabled people</w:t>
      </w:r>
      <w:r w:rsidR="0057107C" w:rsidRPr="000548FA">
        <w:rPr>
          <w:rFonts w:eastAsia="Verdana" w:cs="Verdana"/>
          <w:color w:val="000000" w:themeColor="text1"/>
          <w:sz w:val="32"/>
          <w:szCs w:val="32"/>
        </w:rPr>
        <w:t>. T</w:t>
      </w:r>
      <w:r w:rsidR="00D17D2E" w:rsidRPr="000548FA">
        <w:rPr>
          <w:rFonts w:eastAsia="Verdana" w:cs="Verdana"/>
          <w:color w:val="000000" w:themeColor="text1"/>
          <w:sz w:val="32"/>
          <w:szCs w:val="32"/>
        </w:rPr>
        <w:t xml:space="preserve">he same </w:t>
      </w:r>
      <w:r w:rsidR="0057107C" w:rsidRPr="000548FA">
        <w:rPr>
          <w:rFonts w:eastAsia="Verdana" w:cs="Verdana"/>
          <w:color w:val="000000" w:themeColor="text1"/>
          <w:sz w:val="32"/>
          <w:szCs w:val="32"/>
        </w:rPr>
        <w:t xml:space="preserve">is </w:t>
      </w:r>
      <w:r w:rsidR="00D17D2E" w:rsidRPr="000548FA">
        <w:rPr>
          <w:rFonts w:eastAsia="Verdana" w:cs="Verdana"/>
          <w:color w:val="000000" w:themeColor="text1"/>
          <w:sz w:val="32"/>
          <w:szCs w:val="32"/>
        </w:rPr>
        <w:t>true for Pacific disabled people.</w:t>
      </w:r>
      <w:r w:rsidR="00D17D2E" w:rsidRPr="000548FA">
        <w:rPr>
          <w:sz w:val="32"/>
          <w:szCs w:val="32"/>
        </w:rPr>
        <w:t xml:space="preserve"> </w:t>
      </w:r>
      <w:r w:rsidR="00D17D2E" w:rsidRPr="000548FA">
        <w:rPr>
          <w:rFonts w:eastAsia="Verdana" w:cs="Verdana"/>
          <w:color w:val="000000" w:themeColor="text1"/>
          <w:sz w:val="32"/>
          <w:szCs w:val="32"/>
        </w:rPr>
        <w:t>The below statistics show that targeted and effective interventions from Te Ao Māori and Pacific lenses may be needed to improve outcomes for both groups.</w:t>
      </w:r>
    </w:p>
    <w:p w14:paraId="15473D7E" w14:textId="49222AF5" w:rsidR="00B33CAF" w:rsidRPr="000548FA" w:rsidRDefault="00DF2CFF" w:rsidP="000548FA">
      <w:pPr>
        <w:pStyle w:val="Heading4"/>
        <w:spacing w:line="360" w:lineRule="auto"/>
        <w:rPr>
          <w:iCs w:val="0"/>
          <w:sz w:val="32"/>
          <w:szCs w:val="32"/>
        </w:rPr>
      </w:pPr>
      <w:r w:rsidRPr="000548FA">
        <w:rPr>
          <w:iCs w:val="0"/>
          <w:sz w:val="32"/>
          <w:szCs w:val="32"/>
        </w:rPr>
        <w:t>Disabled people are more likely to live in housing which is crowded, damp, and mouldy</w:t>
      </w:r>
    </w:p>
    <w:p w14:paraId="228666A6" w14:textId="4CC9CD07" w:rsidR="5C6FD28D" w:rsidRPr="000548FA" w:rsidRDefault="00A5179E"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O</w:t>
      </w:r>
      <w:r w:rsidR="0E2BAE41" w:rsidRPr="000548FA">
        <w:rPr>
          <w:rFonts w:eastAsia="Verdana" w:cs="Verdana"/>
          <w:color w:val="000000" w:themeColor="text1"/>
          <w:sz w:val="32"/>
          <w:szCs w:val="32"/>
        </w:rPr>
        <w:t>wner-occupied houses are generally less crowded, newer, higher quality</w:t>
      </w:r>
      <w:r w:rsidR="00387781" w:rsidRPr="000548FA">
        <w:rPr>
          <w:rFonts w:eastAsia="Verdana" w:cs="Verdana"/>
          <w:color w:val="000000" w:themeColor="text1"/>
          <w:sz w:val="32"/>
          <w:szCs w:val="32"/>
        </w:rPr>
        <w:t>,</w:t>
      </w:r>
      <w:r w:rsidR="0E2BAE41" w:rsidRPr="000548FA">
        <w:rPr>
          <w:rFonts w:eastAsia="Verdana" w:cs="Verdana"/>
          <w:color w:val="000000" w:themeColor="text1"/>
          <w:sz w:val="32"/>
          <w:szCs w:val="32"/>
        </w:rPr>
        <w:t xml:space="preserve"> and better maintained than non-owner-occupied houses.</w:t>
      </w:r>
      <w:r w:rsidR="5C6FD28D" w:rsidRPr="000548FA">
        <w:rPr>
          <w:rStyle w:val="FootnoteReference"/>
          <w:rFonts w:eastAsia="Verdana" w:cs="Verdana"/>
          <w:color w:val="000000" w:themeColor="text1"/>
          <w:sz w:val="32"/>
          <w:szCs w:val="32"/>
          <w:lang w:val="en-NZ"/>
        </w:rPr>
        <w:footnoteReference w:id="8"/>
      </w:r>
      <w:r w:rsidR="0E2BAE41" w:rsidRPr="000548FA">
        <w:rPr>
          <w:rFonts w:eastAsia="Verdana" w:cs="Verdana"/>
          <w:color w:val="000000" w:themeColor="text1"/>
          <w:sz w:val="32"/>
          <w:szCs w:val="32"/>
        </w:rPr>
        <w:t xml:space="preserve"> Disabled people have lower rates of home ownership than other groups. In 202</w:t>
      </w:r>
      <w:r w:rsidR="00DB747A" w:rsidRPr="000548FA">
        <w:rPr>
          <w:rFonts w:eastAsia="Verdana" w:cs="Verdana"/>
          <w:color w:val="000000" w:themeColor="text1"/>
          <w:sz w:val="32"/>
          <w:szCs w:val="32"/>
        </w:rPr>
        <w:t>2</w:t>
      </w:r>
      <w:r w:rsidR="0E2BAE41" w:rsidRPr="000548FA">
        <w:rPr>
          <w:rFonts w:eastAsia="Verdana" w:cs="Verdana"/>
          <w:color w:val="000000" w:themeColor="text1"/>
          <w:sz w:val="32"/>
          <w:szCs w:val="32"/>
        </w:rPr>
        <w:t xml:space="preserve">, </w:t>
      </w:r>
      <w:r w:rsidR="0E2BAE41" w:rsidRPr="000548FA">
        <w:rPr>
          <w:rFonts w:eastAsia="Verdana" w:cs="Verdana"/>
          <w:color w:val="000000" w:themeColor="text1"/>
          <w:sz w:val="32"/>
          <w:szCs w:val="32"/>
        </w:rPr>
        <w:lastRenderedPageBreak/>
        <w:t>5</w:t>
      </w:r>
      <w:r w:rsidR="00DB747A" w:rsidRPr="000548FA">
        <w:rPr>
          <w:rFonts w:eastAsia="Verdana" w:cs="Verdana"/>
          <w:color w:val="000000" w:themeColor="text1"/>
          <w:sz w:val="32"/>
          <w:szCs w:val="32"/>
        </w:rPr>
        <w:t>6.5</w:t>
      </w:r>
      <w:r w:rsidR="0E2BAE41" w:rsidRPr="000548FA">
        <w:rPr>
          <w:rFonts w:eastAsia="Verdana" w:cs="Verdana"/>
          <w:color w:val="000000" w:themeColor="text1"/>
          <w:sz w:val="32"/>
          <w:szCs w:val="32"/>
        </w:rPr>
        <w:t>% of disabled people lived in an owner-occupie</w:t>
      </w:r>
      <w:r w:rsidR="7117FAEA" w:rsidRPr="000548FA">
        <w:rPr>
          <w:rFonts w:eastAsia="Verdana" w:cs="Verdana"/>
          <w:color w:val="000000" w:themeColor="text1"/>
          <w:sz w:val="32"/>
          <w:szCs w:val="32"/>
        </w:rPr>
        <w:t>d dwelling compared to 6</w:t>
      </w:r>
      <w:r w:rsidR="00DB747A" w:rsidRPr="000548FA">
        <w:rPr>
          <w:rFonts w:eastAsia="Verdana" w:cs="Verdana"/>
          <w:color w:val="000000" w:themeColor="text1"/>
          <w:sz w:val="32"/>
          <w:szCs w:val="32"/>
        </w:rPr>
        <w:t>4.2</w:t>
      </w:r>
      <w:r w:rsidR="7117FAEA" w:rsidRPr="000548FA">
        <w:rPr>
          <w:rFonts w:eastAsia="Verdana" w:cs="Verdana"/>
          <w:color w:val="000000" w:themeColor="text1"/>
          <w:sz w:val="32"/>
          <w:szCs w:val="32"/>
        </w:rPr>
        <w:t>% of the total population.</w:t>
      </w:r>
      <w:r w:rsidR="5C6FD28D" w:rsidRPr="000548FA">
        <w:rPr>
          <w:rStyle w:val="FootnoteReference"/>
          <w:rFonts w:eastAsia="Verdana" w:cs="Verdana"/>
          <w:color w:val="000000" w:themeColor="text1"/>
          <w:sz w:val="32"/>
          <w:szCs w:val="32"/>
          <w:lang w:val="en-NZ"/>
        </w:rPr>
        <w:footnoteReference w:id="9"/>
      </w:r>
      <w:r w:rsidR="79D7DCEF" w:rsidRPr="000548FA">
        <w:rPr>
          <w:rFonts w:eastAsia="Verdana" w:cs="Verdana"/>
          <w:color w:val="000000" w:themeColor="text1"/>
          <w:sz w:val="32"/>
          <w:szCs w:val="32"/>
        </w:rPr>
        <w:t xml:space="preserve"> </w:t>
      </w:r>
    </w:p>
    <w:p w14:paraId="300DB4FC" w14:textId="5D0B8270" w:rsidR="00A5179E" w:rsidRPr="000548FA" w:rsidRDefault="57FAFC6A"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 xml:space="preserve">Disabled people are more likely to live in houses </w:t>
      </w:r>
      <w:r w:rsidR="4BBCAE99" w:rsidRPr="000548FA">
        <w:rPr>
          <w:rFonts w:eastAsia="Verdana" w:cs="Verdana"/>
          <w:color w:val="000000" w:themeColor="text1"/>
          <w:sz w:val="32"/>
          <w:szCs w:val="32"/>
        </w:rPr>
        <w:t xml:space="preserve">which are </w:t>
      </w:r>
      <w:r w:rsidR="6E7AA7B1" w:rsidRPr="000548FA">
        <w:rPr>
          <w:rFonts w:eastAsia="Verdana" w:cs="Verdana"/>
          <w:color w:val="000000" w:themeColor="text1"/>
          <w:sz w:val="32"/>
          <w:szCs w:val="32"/>
        </w:rPr>
        <w:t xml:space="preserve">damp or </w:t>
      </w:r>
      <w:r w:rsidR="4BBCAE99" w:rsidRPr="000548FA">
        <w:rPr>
          <w:rFonts w:eastAsia="Verdana" w:cs="Verdana"/>
          <w:color w:val="000000" w:themeColor="text1"/>
          <w:sz w:val="32"/>
          <w:szCs w:val="32"/>
        </w:rPr>
        <w:t>mouldy</w:t>
      </w:r>
      <w:r w:rsidRPr="000548FA">
        <w:rPr>
          <w:rFonts w:eastAsia="Verdana" w:cs="Verdana"/>
          <w:color w:val="000000" w:themeColor="text1"/>
          <w:sz w:val="32"/>
          <w:szCs w:val="32"/>
        </w:rPr>
        <w:t>.</w:t>
      </w:r>
      <w:r w:rsidR="4E082547" w:rsidRPr="000548FA">
        <w:rPr>
          <w:rFonts w:eastAsia="Verdana" w:cs="Verdana"/>
          <w:color w:val="000000" w:themeColor="text1"/>
          <w:sz w:val="32"/>
          <w:szCs w:val="32"/>
        </w:rPr>
        <w:t xml:space="preserve"> </w:t>
      </w:r>
      <w:r w:rsidR="63CBAA92" w:rsidRPr="000548FA">
        <w:rPr>
          <w:rFonts w:eastAsia="Verdana" w:cs="Verdana"/>
          <w:color w:val="000000" w:themeColor="text1"/>
          <w:sz w:val="32"/>
          <w:szCs w:val="32"/>
        </w:rPr>
        <w:t>The 2023 General Social Survey showed that</w:t>
      </w:r>
      <w:r w:rsidR="7592EC0B" w:rsidRPr="000548FA">
        <w:rPr>
          <w:rFonts w:eastAsia="Verdana" w:cs="Verdana"/>
          <w:color w:val="000000" w:themeColor="text1"/>
          <w:sz w:val="32"/>
          <w:szCs w:val="32"/>
        </w:rPr>
        <w:t>:</w:t>
      </w:r>
      <w:r w:rsidR="63CBAA92" w:rsidRPr="000548FA">
        <w:rPr>
          <w:rFonts w:eastAsia="Verdana" w:cs="Verdana"/>
          <w:color w:val="000000" w:themeColor="text1"/>
          <w:sz w:val="32"/>
          <w:szCs w:val="32"/>
        </w:rPr>
        <w:t xml:space="preserve"> </w:t>
      </w:r>
    </w:p>
    <w:p w14:paraId="4A0CA9D7" w14:textId="589184F7" w:rsidR="35831FAB" w:rsidRPr="000548FA" w:rsidRDefault="66855E82" w:rsidP="000548FA">
      <w:pPr>
        <w:pStyle w:val="ParaLevel2"/>
        <w:spacing w:line="360" w:lineRule="auto"/>
        <w:rPr>
          <w:rFonts w:eastAsia="Verdana"/>
          <w:sz w:val="32"/>
          <w:szCs w:val="32"/>
        </w:rPr>
      </w:pPr>
      <w:r w:rsidRPr="000548FA">
        <w:rPr>
          <w:rFonts w:eastAsia="Verdana"/>
          <w:sz w:val="32"/>
          <w:szCs w:val="32"/>
        </w:rPr>
        <w:t>45.6% of disabled people aged 15-64 lived in houses which are sometimes or always damp, compared with 37.5% of non-disabled people aged 15-64.</w:t>
      </w:r>
      <w:r w:rsidR="35831FAB" w:rsidRPr="000548FA">
        <w:rPr>
          <w:rStyle w:val="FootnoteReference"/>
          <w:rFonts w:eastAsia="Verdana" w:cs="Verdana"/>
          <w:color w:val="000000" w:themeColor="text1"/>
          <w:sz w:val="32"/>
          <w:szCs w:val="32"/>
          <w:lang w:val="en-NZ"/>
        </w:rPr>
        <w:footnoteReference w:id="10"/>
      </w:r>
    </w:p>
    <w:p w14:paraId="399DB22A" w14:textId="4317E996" w:rsidR="006105BA" w:rsidRPr="000548FA" w:rsidRDefault="009A7D54" w:rsidP="000548FA">
      <w:pPr>
        <w:pStyle w:val="ParaLevel2"/>
        <w:spacing w:line="360" w:lineRule="auto"/>
        <w:rPr>
          <w:rFonts w:eastAsia="Verdana"/>
          <w:sz w:val="32"/>
          <w:szCs w:val="32"/>
        </w:rPr>
      </w:pPr>
      <w:r w:rsidRPr="000548FA">
        <w:rPr>
          <w:rFonts w:eastAsia="Verdana"/>
          <w:sz w:val="32"/>
          <w:szCs w:val="32"/>
        </w:rPr>
        <w:t>47.</w:t>
      </w:r>
      <w:r w:rsidR="00241BAC" w:rsidRPr="000548FA">
        <w:rPr>
          <w:rFonts w:eastAsia="Verdana"/>
          <w:sz w:val="32"/>
          <w:szCs w:val="32"/>
        </w:rPr>
        <w:t>9</w:t>
      </w:r>
      <w:r w:rsidRPr="000548FA">
        <w:rPr>
          <w:rFonts w:eastAsia="Verdana"/>
          <w:sz w:val="32"/>
          <w:szCs w:val="32"/>
        </w:rPr>
        <w:t>% of disabled people aged 15-64 live</w:t>
      </w:r>
      <w:r w:rsidR="00AB0F64" w:rsidRPr="000548FA">
        <w:rPr>
          <w:rFonts w:eastAsia="Verdana"/>
          <w:sz w:val="32"/>
          <w:szCs w:val="32"/>
        </w:rPr>
        <w:t>d</w:t>
      </w:r>
      <w:r w:rsidRPr="000548FA">
        <w:rPr>
          <w:rFonts w:eastAsia="Verdana"/>
          <w:sz w:val="32"/>
          <w:szCs w:val="32"/>
        </w:rPr>
        <w:t xml:space="preserve"> in </w:t>
      </w:r>
      <w:r w:rsidR="004D5C6C" w:rsidRPr="000548FA">
        <w:rPr>
          <w:rFonts w:eastAsia="Verdana"/>
          <w:sz w:val="32"/>
          <w:szCs w:val="32"/>
        </w:rPr>
        <w:t xml:space="preserve">mouldy houses or flats, compared </w:t>
      </w:r>
      <w:r w:rsidR="00AB0F64" w:rsidRPr="000548FA">
        <w:rPr>
          <w:rFonts w:eastAsia="Verdana"/>
          <w:sz w:val="32"/>
          <w:szCs w:val="32"/>
        </w:rPr>
        <w:t>with</w:t>
      </w:r>
      <w:r w:rsidR="004D5C6C" w:rsidRPr="000548FA">
        <w:rPr>
          <w:rFonts w:eastAsia="Verdana"/>
          <w:sz w:val="32"/>
          <w:szCs w:val="32"/>
        </w:rPr>
        <w:t xml:space="preserve"> 38.8% of non-disabled people aged 15-64.</w:t>
      </w:r>
      <w:r w:rsidR="004D5C6C" w:rsidRPr="000548FA">
        <w:rPr>
          <w:rStyle w:val="FootnoteReference"/>
          <w:rFonts w:eastAsia="Verdana" w:cs="Verdana"/>
          <w:color w:val="000000" w:themeColor="text1"/>
          <w:sz w:val="32"/>
          <w:szCs w:val="32"/>
          <w:lang w:val="en-NZ"/>
        </w:rPr>
        <w:footnoteReference w:id="11"/>
      </w:r>
      <w:r w:rsidR="00182796" w:rsidRPr="000548FA">
        <w:rPr>
          <w:rFonts w:eastAsia="Verdana"/>
          <w:sz w:val="32"/>
          <w:szCs w:val="32"/>
        </w:rPr>
        <w:t xml:space="preserve"> </w:t>
      </w:r>
    </w:p>
    <w:p w14:paraId="3D512DDC" w14:textId="7485D30B" w:rsidR="00A5179E" w:rsidRPr="000548FA" w:rsidRDefault="00AB0F64"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Additional data provided to Whaikaha showed that</w:t>
      </w:r>
      <w:r w:rsidR="00111CEB" w:rsidRPr="000548FA">
        <w:rPr>
          <w:rFonts w:eastAsia="Verdana" w:cs="Verdana"/>
          <w:color w:val="000000" w:themeColor="text1"/>
          <w:sz w:val="32"/>
          <w:szCs w:val="32"/>
        </w:rPr>
        <w:t xml:space="preserve"> </w:t>
      </w:r>
      <w:r w:rsidR="00624C8B" w:rsidRPr="000548FA">
        <w:rPr>
          <w:rFonts w:eastAsia="Verdana" w:cs="Verdana"/>
          <w:color w:val="000000" w:themeColor="text1"/>
          <w:sz w:val="32"/>
          <w:szCs w:val="32"/>
        </w:rPr>
        <w:t xml:space="preserve">in the </w:t>
      </w:r>
      <w:r w:rsidR="009B5425" w:rsidRPr="000548FA">
        <w:rPr>
          <w:rFonts w:eastAsia="Verdana" w:cs="Verdana"/>
          <w:color w:val="000000" w:themeColor="text1"/>
          <w:sz w:val="32"/>
          <w:szCs w:val="32"/>
        </w:rPr>
        <w:t>2023 General Social Survey</w:t>
      </w:r>
      <w:r w:rsidR="00A5179E" w:rsidRPr="000548FA">
        <w:rPr>
          <w:rFonts w:eastAsia="Verdana" w:cs="Verdana"/>
          <w:color w:val="000000" w:themeColor="text1"/>
          <w:sz w:val="32"/>
          <w:szCs w:val="32"/>
        </w:rPr>
        <w:t>:</w:t>
      </w:r>
    </w:p>
    <w:p w14:paraId="16ECF1B7" w14:textId="22261857" w:rsidR="518C70EC" w:rsidRPr="000548FA" w:rsidRDefault="518C70EC" w:rsidP="000548FA">
      <w:pPr>
        <w:pStyle w:val="ParaLevel2"/>
        <w:tabs>
          <w:tab w:val="clear" w:pos="567"/>
        </w:tabs>
        <w:spacing w:line="360" w:lineRule="auto"/>
        <w:rPr>
          <w:rFonts w:eastAsia="Verdana" w:cs="Verdana"/>
          <w:sz w:val="32"/>
          <w:szCs w:val="32"/>
        </w:rPr>
      </w:pPr>
      <w:r w:rsidRPr="000548FA">
        <w:rPr>
          <w:rFonts w:eastAsia="Verdana" w:cs="Verdana"/>
          <w:color w:val="333333"/>
          <w:sz w:val="32"/>
          <w:szCs w:val="32"/>
        </w:rPr>
        <w:t xml:space="preserve">62.3% of tāngata whaikaha Māori aged 15-64 lived in houses or flats which were sometimes or always damp, compared with 40.4% of non-Māori disabled </w:t>
      </w:r>
      <w:r w:rsidRPr="000548FA">
        <w:rPr>
          <w:rFonts w:eastAsia="Verdana" w:cs="Verdana"/>
          <w:color w:val="333333"/>
          <w:sz w:val="32"/>
          <w:szCs w:val="32"/>
        </w:rPr>
        <w:lastRenderedPageBreak/>
        <w:t>people (and 36.4% of non-Māori, non-disabled people).</w:t>
      </w:r>
    </w:p>
    <w:p w14:paraId="17E94EB7" w14:textId="26B95FB0" w:rsidR="00111CEB" w:rsidRPr="000548FA" w:rsidRDefault="00116371" w:rsidP="000548FA">
      <w:pPr>
        <w:pStyle w:val="ParaLevel2"/>
        <w:tabs>
          <w:tab w:val="clear" w:pos="567"/>
        </w:tabs>
        <w:spacing w:line="360" w:lineRule="auto"/>
        <w:rPr>
          <w:rFonts w:eastAsia="Verdana"/>
          <w:sz w:val="32"/>
          <w:szCs w:val="32"/>
        </w:rPr>
      </w:pPr>
      <w:r w:rsidRPr="000548FA">
        <w:rPr>
          <w:rFonts w:eastAsia="Verdana"/>
          <w:sz w:val="32"/>
          <w:szCs w:val="32"/>
        </w:rPr>
        <w:t xml:space="preserve">59.3% of tāngata whaikaha Māori lived in mouldy houses or flats, </w:t>
      </w:r>
      <w:r w:rsidR="00642678" w:rsidRPr="000548FA">
        <w:rPr>
          <w:rFonts w:eastAsia="Verdana"/>
          <w:sz w:val="32"/>
          <w:szCs w:val="32"/>
        </w:rPr>
        <w:t>compared with 44.3% of non-Māori disabled people (and 37.6% of non-Māori, non-disabled people).</w:t>
      </w:r>
    </w:p>
    <w:p w14:paraId="4DA9DA50" w14:textId="66E9DC41" w:rsidR="00447B06" w:rsidRPr="000548FA" w:rsidRDefault="001A65EC" w:rsidP="000548FA">
      <w:pPr>
        <w:pStyle w:val="Heading4"/>
        <w:spacing w:line="360" w:lineRule="auto"/>
        <w:rPr>
          <w:iCs w:val="0"/>
          <w:sz w:val="32"/>
          <w:szCs w:val="32"/>
        </w:rPr>
      </w:pPr>
      <w:r w:rsidRPr="000548FA">
        <w:rPr>
          <w:iCs w:val="0"/>
          <w:sz w:val="32"/>
          <w:szCs w:val="32"/>
        </w:rPr>
        <w:t>Disabled people are more likely to experience s</w:t>
      </w:r>
      <w:r w:rsidR="00447B06" w:rsidRPr="000548FA">
        <w:rPr>
          <w:iCs w:val="0"/>
          <w:sz w:val="32"/>
          <w:szCs w:val="32"/>
        </w:rPr>
        <w:t>evere housing deprivation</w:t>
      </w:r>
    </w:p>
    <w:p w14:paraId="2D0AD3A2" w14:textId="68E13A6F" w:rsidR="00543D0D" w:rsidRPr="000548FA" w:rsidRDefault="00AB0F64" w:rsidP="000548FA">
      <w:pPr>
        <w:pStyle w:val="ParaLevel1"/>
        <w:spacing w:line="360" w:lineRule="auto"/>
        <w:rPr>
          <w:rFonts w:eastAsia="Verdana"/>
          <w:sz w:val="32"/>
          <w:szCs w:val="32"/>
        </w:rPr>
      </w:pPr>
      <w:r w:rsidRPr="000548FA">
        <w:rPr>
          <w:rFonts w:eastAsia="Verdana" w:cs="Verdana"/>
          <w:color w:val="000000" w:themeColor="text1"/>
          <w:sz w:val="32"/>
          <w:szCs w:val="32"/>
        </w:rPr>
        <w:t>Data from the 2023 Census shows that d</w:t>
      </w:r>
      <w:r w:rsidR="5FE19473" w:rsidRPr="000548FA">
        <w:rPr>
          <w:rFonts w:eastAsia="Verdana" w:cs="Verdana"/>
          <w:color w:val="000000" w:themeColor="text1"/>
          <w:sz w:val="32"/>
          <w:szCs w:val="32"/>
        </w:rPr>
        <w:t xml:space="preserve">isabled people </w:t>
      </w:r>
      <w:r w:rsidRPr="000548FA">
        <w:rPr>
          <w:rFonts w:eastAsia="Verdana" w:cs="Verdana"/>
          <w:color w:val="000000" w:themeColor="text1"/>
          <w:sz w:val="32"/>
          <w:szCs w:val="32"/>
        </w:rPr>
        <w:t>were</w:t>
      </w:r>
      <w:r w:rsidR="5FE19473" w:rsidRPr="000548FA">
        <w:rPr>
          <w:rFonts w:eastAsia="Verdana" w:cs="Verdana"/>
          <w:color w:val="000000" w:themeColor="text1"/>
          <w:sz w:val="32"/>
          <w:szCs w:val="32"/>
        </w:rPr>
        <w:t xml:space="preserve"> much more likely to be severely housing deprived </w:t>
      </w:r>
      <w:r w:rsidRPr="000548FA">
        <w:rPr>
          <w:rFonts w:eastAsia="Verdana" w:cs="Verdana"/>
          <w:color w:val="000000" w:themeColor="text1"/>
          <w:sz w:val="32"/>
          <w:szCs w:val="32"/>
        </w:rPr>
        <w:t>than</w:t>
      </w:r>
      <w:r w:rsidR="5FE19473" w:rsidRPr="000548FA">
        <w:rPr>
          <w:rFonts w:eastAsia="Verdana" w:cs="Verdana"/>
          <w:color w:val="000000" w:themeColor="text1"/>
          <w:sz w:val="32"/>
          <w:szCs w:val="32"/>
        </w:rPr>
        <w:t xml:space="preserve"> non-disabled people across all </w:t>
      </w:r>
      <w:r w:rsidR="00704AC7" w:rsidRPr="000548FA">
        <w:rPr>
          <w:rFonts w:eastAsia="Verdana" w:cs="Verdana"/>
          <w:color w:val="000000" w:themeColor="text1"/>
          <w:sz w:val="32"/>
          <w:szCs w:val="32"/>
        </w:rPr>
        <w:t>categories of housing deprivation (without shelter; in temporary accommodation; sharing someone else’s private dwelling; and in uninhabitable housing).</w:t>
      </w:r>
      <w:r w:rsidR="00704AC7" w:rsidRPr="000548FA">
        <w:rPr>
          <w:rStyle w:val="FootnoteReference"/>
          <w:rFonts w:eastAsia="Verdana" w:cs="Verdana"/>
          <w:color w:val="000000" w:themeColor="text1"/>
          <w:sz w:val="32"/>
          <w:szCs w:val="32"/>
          <w:lang w:val="en-NZ"/>
        </w:rPr>
        <w:footnoteReference w:id="12"/>
      </w:r>
    </w:p>
    <w:p w14:paraId="2F97BB07" w14:textId="1F54C0CC" w:rsidR="00D17D2E" w:rsidRPr="000548FA" w:rsidRDefault="44ED6F38" w:rsidP="000548FA">
      <w:pPr>
        <w:pStyle w:val="ParaLevel1"/>
        <w:spacing w:line="360" w:lineRule="auto"/>
        <w:rPr>
          <w:rStyle w:val="normaltextrun"/>
          <w:rFonts w:eastAsia="Verdana" w:cs="Verdana"/>
          <w:color w:val="000000" w:themeColor="text1"/>
          <w:sz w:val="32"/>
          <w:szCs w:val="32"/>
        </w:rPr>
      </w:pPr>
      <w:r w:rsidRPr="000548FA">
        <w:rPr>
          <w:rFonts w:eastAsia="Verdana" w:cs="Verdana"/>
          <w:color w:val="000000" w:themeColor="text1"/>
          <w:sz w:val="32"/>
          <w:szCs w:val="32"/>
        </w:rPr>
        <w:t>The 2023 Census showed that 4</w:t>
      </w:r>
      <w:r w:rsidR="35E4466B" w:rsidRPr="000548FA">
        <w:rPr>
          <w:rFonts w:eastAsia="Verdana" w:cs="Verdana"/>
          <w:color w:val="000000" w:themeColor="text1"/>
          <w:sz w:val="32"/>
          <w:szCs w:val="32"/>
        </w:rPr>
        <w:t>.1% of</w:t>
      </w:r>
      <w:r w:rsidRPr="000548FA">
        <w:rPr>
          <w:rFonts w:eastAsia="Verdana" w:cs="Verdana"/>
          <w:color w:val="000000" w:themeColor="text1"/>
          <w:sz w:val="32"/>
          <w:szCs w:val="32"/>
        </w:rPr>
        <w:t xml:space="preserve"> disabled people aged 5 years and over were estimated to be severely housing deprived – double the </w:t>
      </w:r>
      <w:r w:rsidR="56F8ED30" w:rsidRPr="000548FA">
        <w:rPr>
          <w:rFonts w:eastAsia="Verdana" w:cs="Verdana"/>
          <w:color w:val="000000" w:themeColor="text1"/>
          <w:sz w:val="32"/>
          <w:szCs w:val="32"/>
        </w:rPr>
        <w:t>2.</w:t>
      </w:r>
      <w:r w:rsidR="0D0CCC1C" w:rsidRPr="000548FA">
        <w:rPr>
          <w:rFonts w:eastAsia="Verdana" w:cs="Verdana"/>
          <w:color w:val="000000" w:themeColor="text1"/>
          <w:sz w:val="32"/>
          <w:szCs w:val="32"/>
        </w:rPr>
        <w:t>0</w:t>
      </w:r>
      <w:r w:rsidR="56F8ED30" w:rsidRPr="000548FA">
        <w:rPr>
          <w:rFonts w:eastAsia="Verdana" w:cs="Verdana"/>
          <w:color w:val="000000" w:themeColor="text1"/>
          <w:sz w:val="32"/>
          <w:szCs w:val="32"/>
        </w:rPr>
        <w:t>% of</w:t>
      </w:r>
      <w:r w:rsidR="001B0E94" w:rsidRPr="000548FA">
        <w:rPr>
          <w:rFonts w:eastAsia="Verdana" w:cs="Verdana"/>
          <w:color w:val="000000" w:themeColor="text1"/>
          <w:sz w:val="32"/>
          <w:szCs w:val="32"/>
        </w:rPr>
        <w:t xml:space="preserve"> non-disabled people.</w:t>
      </w:r>
      <w:r w:rsidR="235943BB" w:rsidRPr="000548FA">
        <w:rPr>
          <w:rStyle w:val="FootnoteReference"/>
          <w:rFonts w:eastAsia="Verdana" w:cs="Verdana"/>
          <w:color w:val="000000" w:themeColor="text1"/>
          <w:sz w:val="32"/>
          <w:szCs w:val="32"/>
          <w:lang w:val="en-NZ"/>
        </w:rPr>
        <w:footnoteReference w:id="13"/>
      </w:r>
      <w:r w:rsidR="614ED341" w:rsidRPr="000548FA">
        <w:rPr>
          <w:rFonts w:eastAsia="Verdana" w:cs="Verdana"/>
          <w:color w:val="000000" w:themeColor="text1"/>
          <w:sz w:val="32"/>
          <w:szCs w:val="32"/>
        </w:rPr>
        <w:t xml:space="preserve"> </w:t>
      </w:r>
      <w:r w:rsidR="008106A2" w:rsidRPr="000548FA">
        <w:rPr>
          <w:rFonts w:eastAsia="Verdana" w:cs="Verdana"/>
          <w:color w:val="000000" w:themeColor="text1"/>
          <w:sz w:val="32"/>
          <w:szCs w:val="32"/>
        </w:rPr>
        <w:t>This figure has not changed since 2018.</w:t>
      </w:r>
      <w:r w:rsidR="008106A2" w:rsidRPr="000548FA">
        <w:rPr>
          <w:rStyle w:val="FootnoteReference"/>
          <w:rFonts w:eastAsia="Verdana" w:cs="Verdana"/>
          <w:color w:val="000000" w:themeColor="text1"/>
          <w:sz w:val="32"/>
          <w:szCs w:val="32"/>
        </w:rPr>
        <w:footnoteReference w:id="14"/>
      </w:r>
      <w:r w:rsidR="008106A2" w:rsidRPr="000548FA">
        <w:rPr>
          <w:rFonts w:eastAsia="Verdana" w:cs="Verdana"/>
          <w:color w:val="000000" w:themeColor="text1"/>
          <w:sz w:val="32"/>
          <w:szCs w:val="32"/>
        </w:rPr>
        <w:t xml:space="preserve"> </w:t>
      </w:r>
      <w:r w:rsidR="00D1438A" w:rsidRPr="000548FA">
        <w:rPr>
          <w:rStyle w:val="normaltextrun"/>
          <w:color w:val="000000"/>
          <w:sz w:val="32"/>
          <w:szCs w:val="32"/>
          <w:shd w:val="clear" w:color="auto" w:fill="FFFFFF"/>
        </w:rPr>
        <w:lastRenderedPageBreak/>
        <w:t>Disabled people in 2023 were more than twice as likely as non-disabled people to live in temporary accommodation or without shelter, and more than twice as likely to live in uninhabitable housing.</w:t>
      </w:r>
      <w:r w:rsidR="235943BB" w:rsidRPr="000548FA">
        <w:rPr>
          <w:rStyle w:val="FootnoteReference"/>
          <w:sz w:val="32"/>
          <w:szCs w:val="32"/>
          <w:lang w:val="en-NZ"/>
        </w:rPr>
        <w:footnoteReference w:id="15"/>
      </w:r>
      <w:r w:rsidR="00FB2667" w:rsidRPr="000548FA">
        <w:rPr>
          <w:rStyle w:val="normaltextrun"/>
          <w:color w:val="000000"/>
          <w:sz w:val="32"/>
          <w:szCs w:val="32"/>
          <w:shd w:val="clear" w:color="auto" w:fill="FFFFFF"/>
        </w:rPr>
        <w:t xml:space="preserve"> </w:t>
      </w:r>
    </w:p>
    <w:p w14:paraId="179D6C25" w14:textId="66D6A9C9" w:rsidR="00D17D2E" w:rsidRPr="000548FA" w:rsidRDefault="28C80D74" w:rsidP="000548FA">
      <w:pPr>
        <w:pStyle w:val="ParaLevel1"/>
        <w:spacing w:line="360" w:lineRule="auto"/>
        <w:rPr>
          <w:rFonts w:eastAsia="Verdana" w:cs="Verdana"/>
          <w:color w:val="000000" w:themeColor="text1"/>
          <w:sz w:val="32"/>
          <w:szCs w:val="32"/>
        </w:rPr>
      </w:pPr>
      <w:r w:rsidRPr="000548FA">
        <w:rPr>
          <w:sz w:val="32"/>
          <w:szCs w:val="32"/>
        </w:rPr>
        <w:t>6.</w:t>
      </w:r>
      <w:r w:rsidR="008225E2" w:rsidRPr="000548FA">
        <w:rPr>
          <w:sz w:val="32"/>
          <w:szCs w:val="32"/>
        </w:rPr>
        <w:t>5</w:t>
      </w:r>
      <w:r w:rsidRPr="000548FA">
        <w:rPr>
          <w:sz w:val="32"/>
          <w:szCs w:val="32"/>
        </w:rPr>
        <w:t xml:space="preserve">% of tāngata whaikaha Māori aged 5 and over were experiencing severe housing deprivation at the time of the 2023 </w:t>
      </w:r>
      <w:r w:rsidR="006D255D" w:rsidRPr="000548FA">
        <w:rPr>
          <w:sz w:val="32"/>
          <w:szCs w:val="32"/>
        </w:rPr>
        <w:t>C</w:t>
      </w:r>
      <w:r w:rsidRPr="000548FA">
        <w:rPr>
          <w:sz w:val="32"/>
          <w:szCs w:val="32"/>
        </w:rPr>
        <w:t>ensus</w:t>
      </w:r>
      <w:r w:rsidR="0BFBAB2C" w:rsidRPr="000548FA">
        <w:rPr>
          <w:sz w:val="32"/>
          <w:szCs w:val="32"/>
        </w:rPr>
        <w:t xml:space="preserve">, with </w:t>
      </w:r>
      <w:r w:rsidR="0059751F" w:rsidRPr="000548FA">
        <w:rPr>
          <w:sz w:val="32"/>
          <w:szCs w:val="32"/>
        </w:rPr>
        <w:t>almost two third</w:t>
      </w:r>
      <w:r w:rsidR="00743ED8" w:rsidRPr="000548FA">
        <w:rPr>
          <w:sz w:val="32"/>
          <w:szCs w:val="32"/>
        </w:rPr>
        <w:t xml:space="preserve">s </w:t>
      </w:r>
      <w:r w:rsidR="00B80023" w:rsidRPr="000548FA">
        <w:rPr>
          <w:sz w:val="32"/>
          <w:szCs w:val="32"/>
        </w:rPr>
        <w:t xml:space="preserve">of those </w:t>
      </w:r>
      <w:r w:rsidR="0BFBAB2C" w:rsidRPr="000548FA">
        <w:rPr>
          <w:sz w:val="32"/>
          <w:szCs w:val="32"/>
        </w:rPr>
        <w:t>living in uninhabitable housing.</w:t>
      </w:r>
      <w:r w:rsidRPr="000548FA">
        <w:rPr>
          <w:sz w:val="32"/>
          <w:szCs w:val="32"/>
          <w:vertAlign w:val="superscript"/>
        </w:rPr>
        <w:footnoteReference w:id="16"/>
      </w:r>
    </w:p>
    <w:p w14:paraId="7A698D3D" w14:textId="127D26AC" w:rsidR="3751547C" w:rsidRPr="000548FA" w:rsidRDefault="3751547C" w:rsidP="000548FA">
      <w:pPr>
        <w:pStyle w:val="ParaLevel1"/>
        <w:spacing w:line="360" w:lineRule="auto"/>
        <w:rPr>
          <w:rFonts w:eastAsia="Verdana" w:cs="Verdana"/>
          <w:color w:val="000000" w:themeColor="text1"/>
          <w:sz w:val="32"/>
          <w:szCs w:val="32"/>
        </w:rPr>
      </w:pPr>
      <w:r w:rsidRPr="000548FA">
        <w:rPr>
          <w:sz w:val="32"/>
          <w:szCs w:val="32"/>
        </w:rPr>
        <w:t>9.</w:t>
      </w:r>
      <w:r w:rsidR="000A45F8" w:rsidRPr="000548FA">
        <w:rPr>
          <w:sz w:val="32"/>
          <w:szCs w:val="32"/>
        </w:rPr>
        <w:t>9</w:t>
      </w:r>
      <w:r w:rsidRPr="000548FA">
        <w:rPr>
          <w:sz w:val="32"/>
          <w:szCs w:val="32"/>
        </w:rPr>
        <w:t xml:space="preserve">% of Pacific disabled people aged 5 and over were experiencing severe housing deprivation at the time of the 2023 </w:t>
      </w:r>
      <w:r w:rsidR="006D255D" w:rsidRPr="000548FA">
        <w:rPr>
          <w:sz w:val="32"/>
          <w:szCs w:val="32"/>
        </w:rPr>
        <w:t>C</w:t>
      </w:r>
      <w:r w:rsidRPr="000548FA">
        <w:rPr>
          <w:sz w:val="32"/>
          <w:szCs w:val="32"/>
        </w:rPr>
        <w:t>ensus</w:t>
      </w:r>
      <w:r w:rsidR="7ECBCC87" w:rsidRPr="000548FA">
        <w:rPr>
          <w:sz w:val="32"/>
          <w:szCs w:val="32"/>
        </w:rPr>
        <w:t xml:space="preserve">, again with </w:t>
      </w:r>
      <w:r w:rsidR="00957FFB" w:rsidRPr="000548FA">
        <w:rPr>
          <w:sz w:val="32"/>
          <w:szCs w:val="32"/>
        </w:rPr>
        <w:t xml:space="preserve">two thirds </w:t>
      </w:r>
      <w:r w:rsidR="00431D5A" w:rsidRPr="000548FA">
        <w:rPr>
          <w:sz w:val="32"/>
          <w:szCs w:val="32"/>
        </w:rPr>
        <w:t xml:space="preserve">of those </w:t>
      </w:r>
      <w:r w:rsidR="7ECBCC87" w:rsidRPr="000548FA">
        <w:rPr>
          <w:sz w:val="32"/>
          <w:szCs w:val="32"/>
        </w:rPr>
        <w:t>living in uninhabitable housing.</w:t>
      </w:r>
      <w:r w:rsidRPr="000548FA">
        <w:rPr>
          <w:sz w:val="32"/>
          <w:szCs w:val="32"/>
          <w:vertAlign w:val="superscript"/>
        </w:rPr>
        <w:footnoteReference w:id="17"/>
      </w:r>
    </w:p>
    <w:p w14:paraId="5E6F47FB" w14:textId="4346A466" w:rsidR="00B22B46" w:rsidRPr="000548FA" w:rsidRDefault="31F3F3D1" w:rsidP="000548FA">
      <w:pPr>
        <w:pStyle w:val="ParaLevel1"/>
        <w:spacing w:line="360" w:lineRule="auto"/>
        <w:rPr>
          <w:rFonts w:eastAsia="Verdana" w:cs="Verdana"/>
          <w:color w:val="000000" w:themeColor="text1"/>
          <w:sz w:val="32"/>
          <w:szCs w:val="32"/>
        </w:rPr>
      </w:pPr>
      <w:r w:rsidRPr="000548FA">
        <w:rPr>
          <w:rStyle w:val="eop"/>
          <w:rFonts w:eastAsia="Verdana" w:cs="Verdana"/>
          <w:color w:val="000000" w:themeColor="text1"/>
          <w:sz w:val="32"/>
          <w:szCs w:val="32"/>
        </w:rPr>
        <w:t xml:space="preserve">The 2021 Youth 19 Survey showed rangatahi whaikaha Māori report </w:t>
      </w:r>
      <w:r w:rsidR="00E1607D" w:rsidRPr="000548FA">
        <w:rPr>
          <w:rStyle w:val="eop"/>
          <w:rFonts w:eastAsia="Verdana" w:cs="Verdana"/>
          <w:color w:val="000000" w:themeColor="text1"/>
          <w:sz w:val="32"/>
          <w:szCs w:val="32"/>
        </w:rPr>
        <w:t xml:space="preserve">significantly more </w:t>
      </w:r>
      <w:r w:rsidRPr="000548FA">
        <w:rPr>
          <w:rStyle w:val="eop"/>
          <w:rFonts w:eastAsia="Verdana" w:cs="Verdana"/>
          <w:color w:val="000000" w:themeColor="text1"/>
          <w:sz w:val="32"/>
          <w:szCs w:val="32"/>
        </w:rPr>
        <w:t>housing instability (29</w:t>
      </w:r>
      <w:r w:rsidR="000B211E" w:rsidRPr="000548FA">
        <w:rPr>
          <w:rStyle w:val="eop"/>
          <w:rFonts w:eastAsia="Verdana" w:cs="Verdana"/>
          <w:color w:val="000000" w:themeColor="text1"/>
          <w:sz w:val="32"/>
          <w:szCs w:val="32"/>
        </w:rPr>
        <w:t>.3</w:t>
      </w:r>
      <w:r w:rsidRPr="000548FA">
        <w:rPr>
          <w:rStyle w:val="eop"/>
          <w:rFonts w:eastAsia="Verdana" w:cs="Verdana"/>
          <w:color w:val="000000" w:themeColor="text1"/>
          <w:sz w:val="32"/>
          <w:szCs w:val="32"/>
        </w:rPr>
        <w:t xml:space="preserve">%) compared to </w:t>
      </w:r>
      <w:r w:rsidR="002061E7" w:rsidRPr="000548FA">
        <w:rPr>
          <w:rStyle w:val="eop"/>
          <w:rFonts w:eastAsia="Verdana" w:cs="Verdana"/>
          <w:color w:val="000000" w:themeColor="text1"/>
          <w:sz w:val="32"/>
          <w:szCs w:val="32"/>
        </w:rPr>
        <w:t>Pākehā</w:t>
      </w:r>
      <w:r w:rsidRPr="000548FA">
        <w:rPr>
          <w:rStyle w:val="eop"/>
          <w:rFonts w:eastAsia="Verdana" w:cs="Verdana"/>
          <w:color w:val="000000" w:themeColor="text1"/>
          <w:sz w:val="32"/>
          <w:szCs w:val="32"/>
        </w:rPr>
        <w:t xml:space="preserve"> disabled young people (</w:t>
      </w:r>
      <w:r w:rsidR="007F78D2" w:rsidRPr="000548FA">
        <w:rPr>
          <w:rStyle w:val="eop"/>
          <w:rFonts w:eastAsia="Verdana" w:cs="Verdana"/>
          <w:color w:val="000000" w:themeColor="text1"/>
          <w:sz w:val="32"/>
          <w:szCs w:val="32"/>
        </w:rPr>
        <w:t>8.8</w:t>
      </w:r>
      <w:r w:rsidRPr="000548FA">
        <w:rPr>
          <w:rStyle w:val="eop"/>
          <w:rFonts w:eastAsia="Verdana" w:cs="Verdana"/>
          <w:color w:val="000000" w:themeColor="text1"/>
          <w:sz w:val="32"/>
          <w:szCs w:val="32"/>
        </w:rPr>
        <w:t>%)</w:t>
      </w:r>
      <w:r w:rsidR="008407AC" w:rsidRPr="000548FA">
        <w:rPr>
          <w:rStyle w:val="eop"/>
          <w:rFonts w:eastAsia="Verdana" w:cs="Verdana"/>
          <w:color w:val="000000" w:themeColor="text1"/>
          <w:sz w:val="32"/>
          <w:szCs w:val="32"/>
        </w:rPr>
        <w:t>, and non-disabled Pākehā (</w:t>
      </w:r>
      <w:r w:rsidR="007F78D2" w:rsidRPr="000548FA">
        <w:rPr>
          <w:rStyle w:val="eop"/>
          <w:rFonts w:eastAsia="Verdana" w:cs="Verdana"/>
          <w:color w:val="000000" w:themeColor="text1"/>
          <w:sz w:val="32"/>
          <w:szCs w:val="32"/>
        </w:rPr>
        <w:t>3.7</w:t>
      </w:r>
      <w:r w:rsidR="008407AC" w:rsidRPr="000548FA">
        <w:rPr>
          <w:rStyle w:val="eop"/>
          <w:rFonts w:eastAsia="Verdana" w:cs="Verdana"/>
          <w:color w:val="000000" w:themeColor="text1"/>
          <w:sz w:val="32"/>
          <w:szCs w:val="32"/>
        </w:rPr>
        <w:t>%)</w:t>
      </w:r>
      <w:r w:rsidRPr="000548FA">
        <w:rPr>
          <w:rStyle w:val="eop"/>
          <w:rFonts w:eastAsia="Verdana" w:cs="Verdana"/>
          <w:color w:val="000000" w:themeColor="text1"/>
          <w:sz w:val="32"/>
          <w:szCs w:val="32"/>
        </w:rPr>
        <w:t>.</w:t>
      </w:r>
      <w:r w:rsidR="435F40D4" w:rsidRPr="000548FA">
        <w:rPr>
          <w:rStyle w:val="FootnoteReference"/>
          <w:sz w:val="32"/>
          <w:szCs w:val="32"/>
          <w:lang w:val="en-NZ"/>
        </w:rPr>
        <w:footnoteReference w:id="18"/>
      </w:r>
      <w:r w:rsidR="7E0359C2" w:rsidRPr="000548FA">
        <w:rPr>
          <w:rStyle w:val="eop"/>
          <w:rFonts w:eastAsia="Verdana" w:cs="Verdana"/>
          <w:color w:val="000000" w:themeColor="text1"/>
          <w:sz w:val="32"/>
          <w:szCs w:val="32"/>
        </w:rPr>
        <w:t xml:space="preserve"> </w:t>
      </w:r>
      <w:r w:rsidR="009B27F3" w:rsidRPr="000548FA">
        <w:rPr>
          <w:rStyle w:val="eop"/>
          <w:rFonts w:eastAsia="Verdana" w:cs="Verdana"/>
          <w:color w:val="000000" w:themeColor="text1"/>
          <w:sz w:val="32"/>
          <w:szCs w:val="32"/>
        </w:rPr>
        <w:t>Pacific youth are also disproportionately impacted,</w:t>
      </w:r>
      <w:r w:rsidR="0A196EEB" w:rsidRPr="000548FA">
        <w:rPr>
          <w:rStyle w:val="eop"/>
          <w:rFonts w:eastAsia="Verdana" w:cs="Verdana"/>
          <w:color w:val="000000" w:themeColor="text1"/>
          <w:sz w:val="32"/>
          <w:szCs w:val="32"/>
        </w:rPr>
        <w:t xml:space="preserve"> with 2</w:t>
      </w:r>
      <w:r w:rsidR="0F2A8865" w:rsidRPr="000548FA">
        <w:rPr>
          <w:rStyle w:val="eop"/>
          <w:rFonts w:eastAsia="Verdana" w:cs="Verdana"/>
          <w:color w:val="000000" w:themeColor="text1"/>
          <w:sz w:val="32"/>
          <w:szCs w:val="32"/>
        </w:rPr>
        <w:t>6</w:t>
      </w:r>
      <w:r w:rsidR="00393E73" w:rsidRPr="000548FA">
        <w:rPr>
          <w:rStyle w:val="eop"/>
          <w:rFonts w:eastAsia="Verdana" w:cs="Verdana"/>
          <w:color w:val="000000" w:themeColor="text1"/>
          <w:sz w:val="32"/>
          <w:szCs w:val="32"/>
        </w:rPr>
        <w:t>.3</w:t>
      </w:r>
      <w:r w:rsidR="0F2A8865" w:rsidRPr="000548FA">
        <w:rPr>
          <w:rStyle w:val="eop"/>
          <w:rFonts w:eastAsia="Verdana" w:cs="Verdana"/>
          <w:color w:val="000000" w:themeColor="text1"/>
          <w:sz w:val="32"/>
          <w:szCs w:val="32"/>
        </w:rPr>
        <w:t xml:space="preserve">% of </w:t>
      </w:r>
      <w:r w:rsidR="4A382440" w:rsidRPr="000548FA">
        <w:rPr>
          <w:rStyle w:val="eop"/>
          <w:rFonts w:eastAsia="Verdana" w:cs="Verdana"/>
          <w:color w:val="000000" w:themeColor="text1"/>
          <w:sz w:val="32"/>
          <w:szCs w:val="32"/>
        </w:rPr>
        <w:t xml:space="preserve">Pacific young people with a disability or chronic condition </w:t>
      </w:r>
      <w:r w:rsidR="4A382440" w:rsidRPr="000548FA">
        <w:rPr>
          <w:rStyle w:val="eop"/>
          <w:rFonts w:eastAsia="Verdana" w:cs="Verdana"/>
          <w:color w:val="000000" w:themeColor="text1"/>
          <w:sz w:val="32"/>
          <w:szCs w:val="32"/>
        </w:rPr>
        <w:lastRenderedPageBreak/>
        <w:t xml:space="preserve">facing housing instability, compared to </w:t>
      </w:r>
      <w:r w:rsidR="0012437F" w:rsidRPr="000548FA">
        <w:rPr>
          <w:rStyle w:val="eop"/>
          <w:rFonts w:eastAsia="Verdana" w:cs="Verdana"/>
          <w:color w:val="000000" w:themeColor="text1"/>
          <w:sz w:val="32"/>
          <w:szCs w:val="32"/>
        </w:rPr>
        <w:t>8.</w:t>
      </w:r>
      <w:r w:rsidR="4A382440" w:rsidRPr="000548FA">
        <w:rPr>
          <w:rStyle w:val="eop"/>
          <w:rFonts w:eastAsia="Verdana" w:cs="Verdana"/>
          <w:color w:val="000000" w:themeColor="text1"/>
          <w:sz w:val="32"/>
          <w:szCs w:val="32"/>
        </w:rPr>
        <w:t xml:space="preserve">9% of Pākehā with a disability </w:t>
      </w:r>
      <w:r w:rsidR="21304895" w:rsidRPr="000548FA">
        <w:rPr>
          <w:rStyle w:val="eop"/>
          <w:rFonts w:eastAsia="Verdana" w:cs="Verdana"/>
          <w:color w:val="000000" w:themeColor="text1"/>
          <w:sz w:val="32"/>
          <w:szCs w:val="32"/>
        </w:rPr>
        <w:t>or chronic condition.</w:t>
      </w:r>
      <w:r w:rsidR="0A196EEB" w:rsidRPr="000548FA">
        <w:rPr>
          <w:rStyle w:val="FootnoteReference"/>
          <w:rFonts w:eastAsia="Verdana" w:cs="Verdana"/>
          <w:color w:val="000000" w:themeColor="text1"/>
          <w:sz w:val="32"/>
          <w:szCs w:val="32"/>
          <w:lang w:val="en-NZ"/>
        </w:rPr>
        <w:footnoteReference w:id="19"/>
      </w:r>
    </w:p>
    <w:p w14:paraId="6FD42058" w14:textId="0303B3A4" w:rsidR="00AC4101" w:rsidRPr="000548FA" w:rsidRDefault="00EF1CE2" w:rsidP="000548FA">
      <w:pPr>
        <w:pStyle w:val="Heading4"/>
        <w:spacing w:line="360" w:lineRule="auto"/>
        <w:rPr>
          <w:rFonts w:eastAsia="Verdana" w:cs="Verdana"/>
          <w:color w:val="000000" w:themeColor="text1"/>
          <w:sz w:val="32"/>
          <w:szCs w:val="32"/>
        </w:rPr>
      </w:pPr>
      <w:r w:rsidRPr="000548FA">
        <w:rPr>
          <w:sz w:val="32"/>
          <w:szCs w:val="32"/>
        </w:rPr>
        <w:t xml:space="preserve">Disabled people face compounded </w:t>
      </w:r>
      <w:r w:rsidR="00B14854" w:rsidRPr="000548FA">
        <w:rPr>
          <w:sz w:val="32"/>
          <w:szCs w:val="32"/>
        </w:rPr>
        <w:t>challenges</w:t>
      </w:r>
      <w:r w:rsidRPr="000548FA">
        <w:rPr>
          <w:sz w:val="32"/>
          <w:szCs w:val="32"/>
        </w:rPr>
        <w:t xml:space="preserve"> in accessing affordable housing</w:t>
      </w:r>
    </w:p>
    <w:p w14:paraId="37E9C528" w14:textId="77777777" w:rsidR="00AC4101" w:rsidRPr="000548FA" w:rsidRDefault="00AC4101" w:rsidP="000548FA">
      <w:pPr>
        <w:pStyle w:val="ParaLevel2"/>
        <w:numPr>
          <w:ilvl w:val="0"/>
          <w:numId w:val="0"/>
        </w:numPr>
        <w:spacing w:line="360" w:lineRule="auto"/>
        <w:ind w:left="720"/>
        <w:rPr>
          <w:sz w:val="32"/>
          <w:szCs w:val="32"/>
        </w:rPr>
      </w:pPr>
      <w:r w:rsidRPr="000548FA">
        <w:rPr>
          <w:sz w:val="32"/>
          <w:szCs w:val="32"/>
        </w:rPr>
        <w:t>“It's worrying that the housing we need for the future isn’t being built and even if it was, I can’t afford it.”</w:t>
      </w:r>
      <w:r w:rsidRPr="000548FA">
        <w:rPr>
          <w:rStyle w:val="FootnoteReference"/>
          <w:sz w:val="32"/>
          <w:szCs w:val="32"/>
          <w:lang w:val="en-NZ"/>
        </w:rPr>
        <w:footnoteReference w:id="20"/>
      </w:r>
    </w:p>
    <w:p w14:paraId="077E3201" w14:textId="4912D189" w:rsidR="00EF1CE2" w:rsidRPr="000548FA" w:rsidRDefault="00230E78" w:rsidP="000548FA">
      <w:pPr>
        <w:pStyle w:val="ParaLevel1"/>
        <w:spacing w:line="360" w:lineRule="auto"/>
        <w:rPr>
          <w:sz w:val="32"/>
          <w:szCs w:val="32"/>
        </w:rPr>
      </w:pPr>
      <w:r w:rsidRPr="000548FA">
        <w:rPr>
          <w:sz w:val="32"/>
          <w:szCs w:val="32"/>
        </w:rPr>
        <w:t>Di</w:t>
      </w:r>
      <w:r w:rsidR="00FB62E5" w:rsidRPr="000548FA">
        <w:rPr>
          <w:sz w:val="32"/>
          <w:szCs w:val="32"/>
        </w:rPr>
        <w:t>sabled people are more likely to earn less than non-disabled people and have additional accessibility requirements in housing. T</w:t>
      </w:r>
      <w:r w:rsidR="00FC0620" w:rsidRPr="000548FA">
        <w:rPr>
          <w:sz w:val="32"/>
          <w:szCs w:val="32"/>
        </w:rPr>
        <w:t xml:space="preserve">ogether, these issues compound the </w:t>
      </w:r>
      <w:r w:rsidR="00257993" w:rsidRPr="000548FA">
        <w:rPr>
          <w:sz w:val="32"/>
          <w:szCs w:val="32"/>
        </w:rPr>
        <w:t xml:space="preserve">pre-existing </w:t>
      </w:r>
      <w:r w:rsidR="00B62029" w:rsidRPr="000548FA">
        <w:rPr>
          <w:sz w:val="32"/>
          <w:szCs w:val="32"/>
        </w:rPr>
        <w:t>challenge of a lack of affordable housing</w:t>
      </w:r>
      <w:r w:rsidR="00B31A2B" w:rsidRPr="000548FA">
        <w:rPr>
          <w:sz w:val="32"/>
          <w:szCs w:val="32"/>
        </w:rPr>
        <w:t>.</w:t>
      </w:r>
    </w:p>
    <w:p w14:paraId="5958BEE5" w14:textId="70C15C74" w:rsidR="00802EB0" w:rsidRPr="000548FA" w:rsidRDefault="00802EB0" w:rsidP="000548FA">
      <w:pPr>
        <w:pStyle w:val="ParaLevel1"/>
        <w:spacing w:line="360" w:lineRule="auto"/>
        <w:rPr>
          <w:sz w:val="32"/>
          <w:szCs w:val="32"/>
        </w:rPr>
      </w:pPr>
      <w:r w:rsidRPr="000548FA">
        <w:rPr>
          <w:sz w:val="32"/>
          <w:szCs w:val="32"/>
        </w:rPr>
        <w:t xml:space="preserve">Disabled people have, on average, lower incomes than non-disabled people. The median </w:t>
      </w:r>
      <w:r w:rsidR="000062C7" w:rsidRPr="000548FA">
        <w:rPr>
          <w:sz w:val="32"/>
          <w:szCs w:val="32"/>
        </w:rPr>
        <w:t>we</w:t>
      </w:r>
      <w:r w:rsidR="00DF7760" w:rsidRPr="000548FA">
        <w:rPr>
          <w:sz w:val="32"/>
          <w:szCs w:val="32"/>
        </w:rPr>
        <w:t>ekly</w:t>
      </w:r>
      <w:r w:rsidRPr="000548FA">
        <w:rPr>
          <w:sz w:val="32"/>
          <w:szCs w:val="32"/>
        </w:rPr>
        <w:t xml:space="preserve"> </w:t>
      </w:r>
      <w:r w:rsidR="2F0B8566" w:rsidRPr="000548FA">
        <w:rPr>
          <w:sz w:val="32"/>
          <w:szCs w:val="32"/>
        </w:rPr>
        <w:t xml:space="preserve">income from </w:t>
      </w:r>
      <w:r w:rsidR="4CF9DCFA" w:rsidRPr="000548FA">
        <w:rPr>
          <w:sz w:val="32"/>
          <w:szCs w:val="32"/>
        </w:rPr>
        <w:t>all sources collected is $523 for disabled people and $1,141 for non-disabled people</w:t>
      </w:r>
      <w:r w:rsidRPr="000548FA">
        <w:rPr>
          <w:sz w:val="32"/>
          <w:szCs w:val="32"/>
        </w:rPr>
        <w:t>.</w:t>
      </w:r>
      <w:r w:rsidRPr="000548FA">
        <w:rPr>
          <w:rStyle w:val="FootnoteReference"/>
          <w:sz w:val="32"/>
          <w:szCs w:val="32"/>
          <w:lang w:val="en-NZ"/>
        </w:rPr>
        <w:footnoteReference w:id="21"/>
      </w:r>
      <w:r w:rsidRPr="000548FA">
        <w:rPr>
          <w:sz w:val="32"/>
          <w:szCs w:val="32"/>
        </w:rPr>
        <w:t xml:space="preserve"> Māori and Pacific people also have, on average, lower incomes than Pākehā. This means that tāngata whaikaha Māori and Pacific disabled people face compounded disadvantage.</w:t>
      </w:r>
    </w:p>
    <w:p w14:paraId="357EAD7F" w14:textId="681200F1" w:rsidR="00AC4101" w:rsidRPr="000548FA" w:rsidRDefault="00AC4101" w:rsidP="000548FA">
      <w:pPr>
        <w:pStyle w:val="ParaLevel1"/>
        <w:spacing w:line="360" w:lineRule="auto"/>
        <w:rPr>
          <w:sz w:val="32"/>
          <w:szCs w:val="32"/>
        </w:rPr>
      </w:pPr>
      <w:r w:rsidRPr="000548FA">
        <w:rPr>
          <w:sz w:val="32"/>
          <w:szCs w:val="32"/>
        </w:rPr>
        <w:lastRenderedPageBreak/>
        <w:t xml:space="preserve">New Zealand has among the least affordable houses in the </w:t>
      </w:r>
      <w:r w:rsidR="0022751B" w:rsidRPr="000548FA">
        <w:rPr>
          <w:sz w:val="32"/>
          <w:szCs w:val="32"/>
        </w:rPr>
        <w:t>OECD</w:t>
      </w:r>
      <w:r w:rsidRPr="000548FA">
        <w:rPr>
          <w:sz w:val="32"/>
          <w:szCs w:val="32"/>
        </w:rPr>
        <w:t>, with a persistent undersupply of houses.</w:t>
      </w:r>
      <w:r w:rsidRPr="000548FA">
        <w:rPr>
          <w:rStyle w:val="FootnoteReference"/>
          <w:sz w:val="32"/>
          <w:szCs w:val="32"/>
          <w:lang w:val="en-NZ"/>
        </w:rPr>
        <w:footnoteReference w:id="22"/>
      </w:r>
      <w:r w:rsidR="004679FC" w:rsidRPr="000548FA">
        <w:rPr>
          <w:sz w:val="32"/>
          <w:szCs w:val="32"/>
        </w:rPr>
        <w:t xml:space="preserve"> I</w:t>
      </w:r>
      <w:r w:rsidR="00126EB7" w:rsidRPr="000548FA">
        <w:rPr>
          <w:sz w:val="32"/>
          <w:szCs w:val="32"/>
        </w:rPr>
        <w:t xml:space="preserve">nflation adjusted house prices in New Zealand rose 256% </w:t>
      </w:r>
      <w:r w:rsidR="004679FC" w:rsidRPr="000548FA">
        <w:rPr>
          <w:sz w:val="32"/>
          <w:szCs w:val="32"/>
        </w:rPr>
        <w:t xml:space="preserve">between 2000 and mid-2021, </w:t>
      </w:r>
      <w:r w:rsidR="00126EB7" w:rsidRPr="000548FA">
        <w:rPr>
          <w:sz w:val="32"/>
          <w:szCs w:val="32"/>
        </w:rPr>
        <w:t>compared with 64% in the United States and 110% per cent in Great Britain.</w:t>
      </w:r>
      <w:r w:rsidR="00025DEF" w:rsidRPr="000548FA">
        <w:rPr>
          <w:rStyle w:val="FootnoteReference"/>
          <w:sz w:val="32"/>
          <w:szCs w:val="32"/>
        </w:rPr>
        <w:footnoteReference w:id="23"/>
      </w:r>
      <w:r w:rsidR="00126EB7" w:rsidRPr="000548FA">
        <w:rPr>
          <w:sz w:val="32"/>
          <w:szCs w:val="32"/>
        </w:rPr>
        <w:t xml:space="preserve"> </w:t>
      </w:r>
      <w:r w:rsidR="00362139" w:rsidRPr="000548FA">
        <w:rPr>
          <w:sz w:val="32"/>
          <w:szCs w:val="32"/>
        </w:rPr>
        <w:t xml:space="preserve">House prices are </w:t>
      </w:r>
      <w:r w:rsidRPr="000548FA">
        <w:rPr>
          <w:sz w:val="32"/>
          <w:szCs w:val="32"/>
        </w:rPr>
        <w:t>now 7 times the average household income.</w:t>
      </w:r>
      <w:r w:rsidRPr="000548FA">
        <w:rPr>
          <w:rStyle w:val="FootnoteReference"/>
          <w:sz w:val="32"/>
          <w:szCs w:val="32"/>
          <w:lang w:val="en-NZ"/>
        </w:rPr>
        <w:footnoteReference w:id="24"/>
      </w:r>
      <w:r w:rsidR="00645C1B" w:rsidRPr="000548FA">
        <w:rPr>
          <w:sz w:val="32"/>
          <w:szCs w:val="32"/>
        </w:rPr>
        <w:t xml:space="preserve"> The average weekly rent </w:t>
      </w:r>
      <w:r w:rsidR="00744411" w:rsidRPr="000548FA">
        <w:rPr>
          <w:sz w:val="32"/>
          <w:szCs w:val="32"/>
        </w:rPr>
        <w:t xml:space="preserve">in the financial year to March 2024 was $560, compared to </w:t>
      </w:r>
      <w:r w:rsidR="00452674" w:rsidRPr="000548FA">
        <w:rPr>
          <w:sz w:val="32"/>
          <w:szCs w:val="32"/>
        </w:rPr>
        <w:t>$</w:t>
      </w:r>
      <w:r w:rsidR="001F1FC4" w:rsidRPr="000548FA">
        <w:rPr>
          <w:sz w:val="32"/>
          <w:szCs w:val="32"/>
        </w:rPr>
        <w:t xml:space="preserve">337 </w:t>
      </w:r>
      <w:r w:rsidR="00135EBC" w:rsidRPr="000548FA">
        <w:rPr>
          <w:sz w:val="32"/>
          <w:szCs w:val="32"/>
        </w:rPr>
        <w:t>in 2014</w:t>
      </w:r>
      <w:r w:rsidR="0046062A" w:rsidRPr="000548FA">
        <w:rPr>
          <w:sz w:val="32"/>
          <w:szCs w:val="32"/>
        </w:rPr>
        <w:t xml:space="preserve"> (or $44</w:t>
      </w:r>
      <w:r w:rsidR="00F83943" w:rsidRPr="000548FA">
        <w:rPr>
          <w:sz w:val="32"/>
          <w:szCs w:val="32"/>
        </w:rPr>
        <w:t>1</w:t>
      </w:r>
      <w:r w:rsidR="0046062A" w:rsidRPr="000548FA">
        <w:rPr>
          <w:sz w:val="32"/>
          <w:szCs w:val="32"/>
        </w:rPr>
        <w:t xml:space="preserve"> when adjusted for inflation)</w:t>
      </w:r>
      <w:r w:rsidR="00135EBC" w:rsidRPr="000548FA">
        <w:rPr>
          <w:sz w:val="32"/>
          <w:szCs w:val="32"/>
        </w:rPr>
        <w:t>.</w:t>
      </w:r>
      <w:r w:rsidR="00135EBC" w:rsidRPr="000548FA">
        <w:rPr>
          <w:rStyle w:val="FootnoteReference"/>
          <w:sz w:val="32"/>
          <w:szCs w:val="32"/>
          <w:lang w:val="en-NZ"/>
        </w:rPr>
        <w:footnoteReference w:id="25"/>
      </w:r>
    </w:p>
    <w:p w14:paraId="6EFE4D6A" w14:textId="6853637F" w:rsidR="00973A3A" w:rsidRPr="000548FA" w:rsidRDefault="00EA5312" w:rsidP="000548FA">
      <w:pPr>
        <w:pStyle w:val="ParaLevel1"/>
        <w:spacing w:line="360" w:lineRule="auto"/>
        <w:rPr>
          <w:sz w:val="32"/>
          <w:szCs w:val="32"/>
        </w:rPr>
      </w:pPr>
      <w:r w:rsidRPr="000548FA">
        <w:rPr>
          <w:sz w:val="32"/>
          <w:szCs w:val="32"/>
        </w:rPr>
        <w:t>In the financial year ending June 202</w:t>
      </w:r>
      <w:r w:rsidR="00AB0F64" w:rsidRPr="000548FA">
        <w:rPr>
          <w:sz w:val="32"/>
          <w:szCs w:val="32"/>
        </w:rPr>
        <w:t>4</w:t>
      </w:r>
      <w:r w:rsidRPr="000548FA">
        <w:rPr>
          <w:sz w:val="32"/>
          <w:szCs w:val="32"/>
        </w:rPr>
        <w:t>, 2</w:t>
      </w:r>
      <w:r w:rsidR="00AB0F64" w:rsidRPr="000548FA">
        <w:rPr>
          <w:sz w:val="32"/>
          <w:szCs w:val="32"/>
        </w:rPr>
        <w:t>1.0</w:t>
      </w:r>
      <w:r w:rsidRPr="000548FA">
        <w:rPr>
          <w:sz w:val="32"/>
          <w:szCs w:val="32"/>
        </w:rPr>
        <w:t xml:space="preserve">% of disabled children lived in </w:t>
      </w:r>
      <w:r w:rsidR="0060260F" w:rsidRPr="000548FA">
        <w:rPr>
          <w:sz w:val="32"/>
          <w:szCs w:val="32"/>
        </w:rPr>
        <w:t>households in material hardship, compared to 1</w:t>
      </w:r>
      <w:r w:rsidR="00AB0F64" w:rsidRPr="000548FA">
        <w:rPr>
          <w:sz w:val="32"/>
          <w:szCs w:val="32"/>
        </w:rPr>
        <w:t>2.3</w:t>
      </w:r>
      <w:r w:rsidR="0060260F" w:rsidRPr="000548FA">
        <w:rPr>
          <w:sz w:val="32"/>
          <w:szCs w:val="32"/>
        </w:rPr>
        <w:t>% of non-disabled children.</w:t>
      </w:r>
      <w:r w:rsidR="0060260F" w:rsidRPr="000548FA">
        <w:rPr>
          <w:rStyle w:val="FootnoteReference"/>
          <w:sz w:val="32"/>
          <w:szCs w:val="32"/>
          <w:lang w:val="en-NZ"/>
        </w:rPr>
        <w:footnoteReference w:id="26"/>
      </w:r>
      <w:r w:rsidR="00315331" w:rsidRPr="000548FA">
        <w:rPr>
          <w:sz w:val="32"/>
          <w:szCs w:val="32"/>
        </w:rPr>
        <w:t xml:space="preserve"> For the same year, 2</w:t>
      </w:r>
      <w:r w:rsidR="00AB0F64" w:rsidRPr="000548FA">
        <w:rPr>
          <w:sz w:val="32"/>
          <w:szCs w:val="32"/>
        </w:rPr>
        <w:t>2</w:t>
      </w:r>
      <w:r w:rsidR="00315331" w:rsidRPr="000548FA">
        <w:rPr>
          <w:sz w:val="32"/>
          <w:szCs w:val="32"/>
        </w:rPr>
        <w:t>.</w:t>
      </w:r>
      <w:r w:rsidR="00AB0F64" w:rsidRPr="000548FA">
        <w:rPr>
          <w:sz w:val="32"/>
          <w:szCs w:val="32"/>
        </w:rPr>
        <w:t>6</w:t>
      </w:r>
      <w:r w:rsidR="00315331" w:rsidRPr="000548FA">
        <w:rPr>
          <w:sz w:val="32"/>
          <w:szCs w:val="32"/>
        </w:rPr>
        <w:t>% of c</w:t>
      </w:r>
      <w:r w:rsidR="00D454A9" w:rsidRPr="000548FA">
        <w:rPr>
          <w:sz w:val="32"/>
          <w:szCs w:val="32"/>
        </w:rPr>
        <w:t>hildren living in a household with at least one disabled person</w:t>
      </w:r>
      <w:r w:rsidR="00315331" w:rsidRPr="000548FA">
        <w:rPr>
          <w:sz w:val="32"/>
          <w:szCs w:val="32"/>
        </w:rPr>
        <w:t xml:space="preserve"> </w:t>
      </w:r>
      <w:r w:rsidR="00094F88" w:rsidRPr="000548FA">
        <w:rPr>
          <w:sz w:val="32"/>
          <w:szCs w:val="32"/>
        </w:rPr>
        <w:t xml:space="preserve">lived in a </w:t>
      </w:r>
      <w:r w:rsidR="00094F88" w:rsidRPr="000548FA">
        <w:rPr>
          <w:sz w:val="32"/>
          <w:szCs w:val="32"/>
        </w:rPr>
        <w:lastRenderedPageBreak/>
        <w:t xml:space="preserve">household in material hardship, compared to </w:t>
      </w:r>
      <w:r w:rsidR="00AB0F64" w:rsidRPr="000548FA">
        <w:rPr>
          <w:sz w:val="32"/>
          <w:szCs w:val="32"/>
        </w:rPr>
        <w:t>9.5</w:t>
      </w:r>
      <w:r w:rsidR="00094F88" w:rsidRPr="000548FA">
        <w:rPr>
          <w:sz w:val="32"/>
          <w:szCs w:val="32"/>
        </w:rPr>
        <w:t>% of children in non-disabled households.</w:t>
      </w:r>
      <w:r w:rsidR="00094F88" w:rsidRPr="000548FA">
        <w:rPr>
          <w:rStyle w:val="FootnoteReference"/>
          <w:sz w:val="32"/>
          <w:szCs w:val="32"/>
          <w:lang w:val="en-NZ"/>
        </w:rPr>
        <w:footnoteReference w:id="27"/>
      </w:r>
    </w:p>
    <w:p w14:paraId="18A91473" w14:textId="68F2D59A" w:rsidR="00955FA4" w:rsidRPr="000548FA" w:rsidRDefault="00A45747" w:rsidP="000548FA">
      <w:pPr>
        <w:pStyle w:val="Heading4"/>
        <w:spacing w:line="360" w:lineRule="auto"/>
        <w:rPr>
          <w:iCs w:val="0"/>
          <w:sz w:val="32"/>
          <w:szCs w:val="32"/>
        </w:rPr>
      </w:pPr>
      <w:r w:rsidRPr="000548FA">
        <w:rPr>
          <w:iCs w:val="0"/>
          <w:sz w:val="32"/>
          <w:szCs w:val="32"/>
        </w:rPr>
        <w:t>Disabled</w:t>
      </w:r>
      <w:r w:rsidR="00955FA4" w:rsidRPr="000548FA">
        <w:rPr>
          <w:iCs w:val="0"/>
          <w:sz w:val="32"/>
          <w:szCs w:val="32"/>
        </w:rPr>
        <w:t xml:space="preserve"> people face barriers to living in accessible housing which meets their needs</w:t>
      </w:r>
    </w:p>
    <w:p w14:paraId="77529B8F" w14:textId="6B19D313" w:rsidR="00955FA4" w:rsidRPr="000548FA" w:rsidRDefault="27D0DEFD" w:rsidP="000548FA">
      <w:pPr>
        <w:pStyle w:val="ParaLevel1"/>
        <w:spacing w:line="360" w:lineRule="auto"/>
        <w:rPr>
          <w:sz w:val="32"/>
          <w:szCs w:val="32"/>
        </w:rPr>
      </w:pPr>
      <w:r w:rsidRPr="000548FA">
        <w:rPr>
          <w:sz w:val="32"/>
          <w:szCs w:val="32"/>
        </w:rPr>
        <w:t>The Human Rights Commission has described the shortage of accessible homes in New Zealand as a ‘human rights deficit’.</w:t>
      </w:r>
      <w:r w:rsidR="00955FA4" w:rsidRPr="000548FA">
        <w:rPr>
          <w:rStyle w:val="FootnoteReference"/>
          <w:sz w:val="32"/>
          <w:szCs w:val="32"/>
          <w:lang w:val="en-NZ"/>
        </w:rPr>
        <w:footnoteReference w:id="28"/>
      </w:r>
      <w:r w:rsidRPr="000548FA">
        <w:rPr>
          <w:sz w:val="32"/>
          <w:szCs w:val="32"/>
        </w:rPr>
        <w:t xml:space="preserve"> </w:t>
      </w:r>
      <w:r w:rsidR="00AA4D4D" w:rsidRPr="000548FA">
        <w:rPr>
          <w:sz w:val="32"/>
          <w:szCs w:val="32"/>
        </w:rPr>
        <w:t xml:space="preserve">The UN Special Rapporteur </w:t>
      </w:r>
      <w:r w:rsidR="002A2220" w:rsidRPr="000548FA">
        <w:rPr>
          <w:sz w:val="32"/>
          <w:szCs w:val="32"/>
        </w:rPr>
        <w:t xml:space="preserve">on the right to housing </w:t>
      </w:r>
      <w:r w:rsidR="007F1674" w:rsidRPr="000548FA">
        <w:rPr>
          <w:sz w:val="32"/>
          <w:szCs w:val="32"/>
        </w:rPr>
        <w:t>noted that it is widely recognised that there is a housing crisis in New Zealand, which is experienced most acutely by particular groups – including disabled people.</w:t>
      </w:r>
      <w:r w:rsidR="007F1674" w:rsidRPr="000548FA">
        <w:rPr>
          <w:rStyle w:val="FootnoteReference"/>
          <w:sz w:val="32"/>
          <w:szCs w:val="32"/>
        </w:rPr>
        <w:footnoteReference w:id="29"/>
      </w:r>
      <w:r w:rsidR="007F1674" w:rsidRPr="000548FA">
        <w:rPr>
          <w:sz w:val="32"/>
          <w:szCs w:val="32"/>
        </w:rPr>
        <w:t xml:space="preserve"> </w:t>
      </w:r>
      <w:r w:rsidRPr="000548FA">
        <w:rPr>
          <w:sz w:val="32"/>
          <w:szCs w:val="32"/>
        </w:rPr>
        <w:t>Data on unmet need in housing accessibility reinforces this claim:</w:t>
      </w:r>
    </w:p>
    <w:p w14:paraId="3726C432" w14:textId="35F3FD90" w:rsidR="00955FA4" w:rsidRPr="000548FA" w:rsidRDefault="00955FA4" w:rsidP="000548FA">
      <w:pPr>
        <w:pStyle w:val="ParaLevel2"/>
        <w:tabs>
          <w:tab w:val="clear" w:pos="567"/>
        </w:tabs>
        <w:spacing w:line="360" w:lineRule="auto"/>
        <w:rPr>
          <w:sz w:val="32"/>
          <w:szCs w:val="32"/>
        </w:rPr>
      </w:pPr>
      <w:r w:rsidRPr="000548FA">
        <w:rPr>
          <w:sz w:val="32"/>
          <w:szCs w:val="32"/>
        </w:rPr>
        <w:t xml:space="preserve">The </w:t>
      </w:r>
      <w:r w:rsidR="00802EB0" w:rsidRPr="000548FA">
        <w:rPr>
          <w:sz w:val="32"/>
          <w:szCs w:val="32"/>
        </w:rPr>
        <w:t>2023 Household Disability Survey</w:t>
      </w:r>
      <w:r w:rsidRPr="000548FA">
        <w:rPr>
          <w:sz w:val="32"/>
          <w:szCs w:val="32"/>
        </w:rPr>
        <w:t xml:space="preserve"> showed that</w:t>
      </w:r>
      <w:r w:rsidR="00B122AF" w:rsidRPr="000548FA">
        <w:rPr>
          <w:sz w:val="32"/>
          <w:szCs w:val="32"/>
        </w:rPr>
        <w:t xml:space="preserve"> </w:t>
      </w:r>
      <w:r w:rsidRPr="000548FA">
        <w:rPr>
          <w:sz w:val="32"/>
          <w:szCs w:val="32"/>
        </w:rPr>
        <w:t>1</w:t>
      </w:r>
      <w:r w:rsidR="00802EB0" w:rsidRPr="000548FA">
        <w:rPr>
          <w:sz w:val="32"/>
          <w:szCs w:val="32"/>
        </w:rPr>
        <w:t>2</w:t>
      </w:r>
      <w:r w:rsidRPr="000548FA">
        <w:rPr>
          <w:sz w:val="32"/>
          <w:szCs w:val="32"/>
        </w:rPr>
        <w:t>%</w:t>
      </w:r>
      <w:r w:rsidR="00B122AF" w:rsidRPr="000548FA">
        <w:rPr>
          <w:sz w:val="32"/>
          <w:szCs w:val="32"/>
        </w:rPr>
        <w:t xml:space="preserve"> of </w:t>
      </w:r>
      <w:r w:rsidR="00802EB0" w:rsidRPr="000548FA">
        <w:rPr>
          <w:sz w:val="32"/>
          <w:szCs w:val="32"/>
        </w:rPr>
        <w:t xml:space="preserve">disabled </w:t>
      </w:r>
      <w:r w:rsidR="00B122AF" w:rsidRPr="000548FA">
        <w:rPr>
          <w:sz w:val="32"/>
          <w:szCs w:val="32"/>
        </w:rPr>
        <w:t>people</w:t>
      </w:r>
      <w:r w:rsidRPr="000548FA">
        <w:rPr>
          <w:sz w:val="32"/>
          <w:szCs w:val="32"/>
        </w:rPr>
        <w:t xml:space="preserve"> </w:t>
      </w:r>
      <w:r w:rsidR="00802EB0" w:rsidRPr="000548FA">
        <w:rPr>
          <w:sz w:val="32"/>
          <w:szCs w:val="32"/>
        </w:rPr>
        <w:t>had</w:t>
      </w:r>
      <w:r w:rsidRPr="000548FA">
        <w:rPr>
          <w:sz w:val="32"/>
          <w:szCs w:val="32"/>
        </w:rPr>
        <w:t xml:space="preserve"> an unmet</w:t>
      </w:r>
      <w:r w:rsidR="5255950A" w:rsidRPr="000548FA">
        <w:rPr>
          <w:sz w:val="32"/>
          <w:szCs w:val="32"/>
        </w:rPr>
        <w:t xml:space="preserve"> </w:t>
      </w:r>
      <w:r w:rsidR="00604631" w:rsidRPr="000548FA">
        <w:rPr>
          <w:sz w:val="32"/>
          <w:szCs w:val="32"/>
        </w:rPr>
        <w:t>need for</w:t>
      </w:r>
      <w:r w:rsidR="00802EB0" w:rsidRPr="000548FA">
        <w:rPr>
          <w:sz w:val="32"/>
          <w:szCs w:val="32"/>
        </w:rPr>
        <w:t xml:space="preserve"> accessibility modifications to their current home</w:t>
      </w:r>
      <w:r w:rsidRPr="000548FA">
        <w:rPr>
          <w:sz w:val="32"/>
          <w:szCs w:val="32"/>
        </w:rPr>
        <w:t>.</w:t>
      </w:r>
      <w:r w:rsidRPr="000548FA">
        <w:rPr>
          <w:rStyle w:val="FootnoteReference"/>
          <w:sz w:val="32"/>
          <w:szCs w:val="32"/>
          <w:lang w:val="en-NZ"/>
        </w:rPr>
        <w:footnoteReference w:id="30"/>
      </w:r>
    </w:p>
    <w:p w14:paraId="654186C2" w14:textId="77777777" w:rsidR="00955FA4" w:rsidRPr="000548FA" w:rsidRDefault="00955FA4" w:rsidP="000548FA">
      <w:pPr>
        <w:pStyle w:val="ParaLevel2"/>
        <w:tabs>
          <w:tab w:val="clear" w:pos="567"/>
        </w:tabs>
        <w:spacing w:line="360" w:lineRule="auto"/>
        <w:rPr>
          <w:sz w:val="32"/>
          <w:szCs w:val="32"/>
        </w:rPr>
      </w:pPr>
      <w:r w:rsidRPr="000548FA">
        <w:rPr>
          <w:sz w:val="32"/>
          <w:szCs w:val="32"/>
        </w:rPr>
        <w:t xml:space="preserve">A 2021 survey by Disability Connect found that 33% of respondents lived in homes which did not have </w:t>
      </w:r>
      <w:r w:rsidRPr="000548FA">
        <w:rPr>
          <w:sz w:val="32"/>
          <w:szCs w:val="32"/>
        </w:rPr>
        <w:lastRenderedPageBreak/>
        <w:t>features or alterations which catered to their disability-related needs.</w:t>
      </w:r>
      <w:r w:rsidRPr="000548FA">
        <w:rPr>
          <w:rStyle w:val="FootnoteReference"/>
          <w:sz w:val="32"/>
          <w:szCs w:val="32"/>
          <w:lang w:val="en-NZ"/>
        </w:rPr>
        <w:footnoteReference w:id="31"/>
      </w:r>
    </w:p>
    <w:p w14:paraId="0B1BEEB1" w14:textId="179D2045" w:rsidR="00955FA4" w:rsidRPr="000548FA" w:rsidRDefault="006A5F3C" w:rsidP="000548FA">
      <w:pPr>
        <w:pStyle w:val="ParaLevel2"/>
        <w:tabs>
          <w:tab w:val="clear" w:pos="567"/>
        </w:tabs>
        <w:spacing w:line="360" w:lineRule="auto"/>
        <w:rPr>
          <w:sz w:val="32"/>
          <w:szCs w:val="32"/>
        </w:rPr>
      </w:pPr>
      <w:r w:rsidRPr="000548FA">
        <w:rPr>
          <w:sz w:val="32"/>
          <w:szCs w:val="32"/>
        </w:rPr>
        <w:t xml:space="preserve">Data from the 2018 General Social Survey showed </w:t>
      </w:r>
      <w:r w:rsidR="00955FA4" w:rsidRPr="000548FA">
        <w:rPr>
          <w:sz w:val="32"/>
          <w:szCs w:val="32"/>
        </w:rPr>
        <w:t xml:space="preserve">that </w:t>
      </w:r>
      <w:r w:rsidRPr="000548FA">
        <w:rPr>
          <w:sz w:val="32"/>
          <w:szCs w:val="32"/>
        </w:rPr>
        <w:t xml:space="preserve">11.1% </w:t>
      </w:r>
      <w:r w:rsidR="00955FA4" w:rsidRPr="000548FA">
        <w:rPr>
          <w:sz w:val="32"/>
          <w:szCs w:val="32"/>
        </w:rPr>
        <w:t>of disabled people found their homes unsuitable or very unsuitable</w:t>
      </w:r>
      <w:r w:rsidRPr="000548FA">
        <w:rPr>
          <w:sz w:val="32"/>
          <w:szCs w:val="32"/>
        </w:rPr>
        <w:t xml:space="preserve"> </w:t>
      </w:r>
      <w:r w:rsidR="00955FA4" w:rsidRPr="000548FA">
        <w:rPr>
          <w:sz w:val="32"/>
          <w:szCs w:val="32"/>
        </w:rPr>
        <w:t xml:space="preserve">to live in, compared </w:t>
      </w:r>
      <w:r w:rsidR="00AB0F64" w:rsidRPr="000548FA">
        <w:rPr>
          <w:sz w:val="32"/>
          <w:szCs w:val="32"/>
        </w:rPr>
        <w:t>with</w:t>
      </w:r>
      <w:r w:rsidR="00955FA4" w:rsidRPr="000548FA">
        <w:rPr>
          <w:sz w:val="32"/>
          <w:szCs w:val="32"/>
        </w:rPr>
        <w:t xml:space="preserve"> 4.2% of New Zealanders generally.</w:t>
      </w:r>
      <w:r w:rsidR="00955FA4" w:rsidRPr="000548FA">
        <w:rPr>
          <w:rStyle w:val="FootnoteReference"/>
          <w:sz w:val="32"/>
          <w:szCs w:val="32"/>
          <w:lang w:val="en-NZ"/>
        </w:rPr>
        <w:footnoteReference w:id="32"/>
      </w:r>
    </w:p>
    <w:p w14:paraId="18EE061C" w14:textId="6A69BC08" w:rsidR="00D128A0" w:rsidRPr="000548FA" w:rsidRDefault="005811A4" w:rsidP="000548FA">
      <w:pPr>
        <w:pStyle w:val="Heading4"/>
        <w:spacing w:line="360" w:lineRule="auto"/>
        <w:rPr>
          <w:sz w:val="32"/>
          <w:szCs w:val="32"/>
        </w:rPr>
      </w:pPr>
      <w:r w:rsidRPr="000548FA">
        <w:rPr>
          <w:sz w:val="32"/>
          <w:szCs w:val="32"/>
        </w:rPr>
        <w:t xml:space="preserve">The housing issues experienced by disabled people and their whānau </w:t>
      </w:r>
      <w:r w:rsidR="00B307B7" w:rsidRPr="000548FA">
        <w:rPr>
          <w:sz w:val="32"/>
          <w:szCs w:val="32"/>
        </w:rPr>
        <w:t>are</w:t>
      </w:r>
      <w:r w:rsidR="00130163" w:rsidRPr="000548FA">
        <w:rPr>
          <w:sz w:val="32"/>
          <w:szCs w:val="32"/>
        </w:rPr>
        <w:t xml:space="preserve"> </w:t>
      </w:r>
      <w:r w:rsidR="009612EC" w:rsidRPr="000548FA">
        <w:rPr>
          <w:sz w:val="32"/>
          <w:szCs w:val="32"/>
        </w:rPr>
        <w:t>well-recognised</w:t>
      </w:r>
    </w:p>
    <w:p w14:paraId="01531723" w14:textId="507A6A7C" w:rsidR="00D128A0" w:rsidRPr="000548FA" w:rsidRDefault="001C4D9C" w:rsidP="000548FA">
      <w:pPr>
        <w:pStyle w:val="ParaLevel1"/>
        <w:spacing w:line="360" w:lineRule="auto"/>
        <w:rPr>
          <w:rFonts w:eastAsia="Verdana"/>
          <w:sz w:val="32"/>
          <w:szCs w:val="32"/>
        </w:rPr>
      </w:pPr>
      <w:r w:rsidRPr="000548FA">
        <w:rPr>
          <w:rFonts w:eastAsia="Verdana"/>
          <w:sz w:val="32"/>
          <w:szCs w:val="32"/>
        </w:rPr>
        <w:t xml:space="preserve">Existing research </w:t>
      </w:r>
      <w:r w:rsidR="00C14934" w:rsidRPr="000548FA">
        <w:rPr>
          <w:rFonts w:eastAsia="Verdana"/>
          <w:sz w:val="32"/>
          <w:szCs w:val="32"/>
        </w:rPr>
        <w:t>elucidates the</w:t>
      </w:r>
      <w:r w:rsidR="00143EEF" w:rsidRPr="000548FA">
        <w:rPr>
          <w:rFonts w:eastAsia="Verdana"/>
          <w:sz w:val="32"/>
          <w:szCs w:val="32"/>
        </w:rPr>
        <w:t xml:space="preserve"> </w:t>
      </w:r>
      <w:r w:rsidR="00C14934" w:rsidRPr="000548FA">
        <w:rPr>
          <w:rFonts w:eastAsia="Verdana"/>
          <w:sz w:val="32"/>
          <w:szCs w:val="32"/>
        </w:rPr>
        <w:t xml:space="preserve">housing </w:t>
      </w:r>
      <w:r w:rsidR="00143EEF" w:rsidRPr="000548FA">
        <w:rPr>
          <w:rFonts w:eastAsia="Verdana"/>
          <w:sz w:val="32"/>
          <w:szCs w:val="32"/>
        </w:rPr>
        <w:t>issues facing disabled people and whāna</w:t>
      </w:r>
      <w:r w:rsidR="00C14934" w:rsidRPr="000548FA">
        <w:rPr>
          <w:rFonts w:eastAsia="Verdana"/>
          <w:sz w:val="32"/>
          <w:szCs w:val="32"/>
        </w:rPr>
        <w:t>u</w:t>
      </w:r>
      <w:r w:rsidR="00D128A0" w:rsidRPr="000548FA">
        <w:rPr>
          <w:rFonts w:eastAsia="Verdana"/>
          <w:sz w:val="32"/>
          <w:szCs w:val="32"/>
        </w:rPr>
        <w:t>. Sponsored by the Disabled People’s Organisation</w:t>
      </w:r>
      <w:r w:rsidR="002347CF" w:rsidRPr="000548FA">
        <w:rPr>
          <w:rFonts w:eastAsia="Verdana"/>
          <w:sz w:val="32"/>
          <w:szCs w:val="32"/>
        </w:rPr>
        <w:t>s</w:t>
      </w:r>
      <w:r w:rsidR="00D128A0" w:rsidRPr="000548FA">
        <w:rPr>
          <w:rFonts w:eastAsia="Verdana"/>
          <w:sz w:val="32"/>
          <w:szCs w:val="32"/>
        </w:rPr>
        <w:t xml:space="preserve"> Coalition, the Donald Beasley Institute produced two substantive reports on disabled people’s experiences of housing.</w:t>
      </w:r>
      <w:r w:rsidR="00D128A0" w:rsidRPr="000548FA">
        <w:rPr>
          <w:rStyle w:val="FootnoteReference"/>
          <w:rFonts w:eastAsia="Verdana"/>
          <w:sz w:val="32"/>
          <w:szCs w:val="32"/>
        </w:rPr>
        <w:footnoteReference w:id="33"/>
      </w:r>
      <w:r w:rsidR="00D128A0" w:rsidRPr="000548FA">
        <w:rPr>
          <w:rFonts w:eastAsia="Verdana"/>
          <w:sz w:val="32"/>
          <w:szCs w:val="32"/>
        </w:rPr>
        <w:t xml:space="preserve"> </w:t>
      </w:r>
    </w:p>
    <w:p w14:paraId="5BCECFF1" w14:textId="77777777" w:rsidR="00C6201F" w:rsidRPr="000548FA" w:rsidRDefault="00C6201F" w:rsidP="000548FA">
      <w:pPr>
        <w:pStyle w:val="ParaLevel1"/>
        <w:spacing w:line="360" w:lineRule="auto"/>
        <w:rPr>
          <w:rFonts w:cs="Calibri"/>
          <w:sz w:val="32"/>
          <w:szCs w:val="32"/>
        </w:rPr>
      </w:pPr>
      <w:r w:rsidRPr="000548FA">
        <w:rPr>
          <w:sz w:val="32"/>
          <w:szCs w:val="32"/>
        </w:rPr>
        <w:t>The Donald Beasley Institute Monitoring Reports made several key findings. These findings reflect the statistical information provided above. The reports found that disabled people experience:</w:t>
      </w:r>
    </w:p>
    <w:p w14:paraId="31ECC547" w14:textId="77777777" w:rsidR="00C6201F" w:rsidRPr="000548FA" w:rsidRDefault="00C6201F" w:rsidP="000548FA">
      <w:pPr>
        <w:pStyle w:val="ParaLevel2"/>
        <w:spacing w:line="360" w:lineRule="auto"/>
        <w:rPr>
          <w:rFonts w:cs="Calibri"/>
          <w:sz w:val="32"/>
          <w:szCs w:val="32"/>
        </w:rPr>
      </w:pPr>
      <w:r w:rsidRPr="000548FA">
        <w:rPr>
          <w:sz w:val="32"/>
          <w:szCs w:val="32"/>
          <w:lang w:val="en-US"/>
        </w:rPr>
        <w:lastRenderedPageBreak/>
        <w:t xml:space="preserve">significant limitations in exercising </w:t>
      </w:r>
      <w:r w:rsidRPr="000548FA">
        <w:rPr>
          <w:b/>
          <w:bCs/>
          <w:sz w:val="32"/>
          <w:szCs w:val="32"/>
          <w:lang w:val="en-US"/>
        </w:rPr>
        <w:t>choice and control</w:t>
      </w:r>
      <w:r w:rsidRPr="000548FA">
        <w:rPr>
          <w:sz w:val="32"/>
          <w:szCs w:val="32"/>
          <w:lang w:val="en-US"/>
        </w:rPr>
        <w:t xml:space="preserve"> over where they lived and with whom, and over who came in and out of their home to support them;</w:t>
      </w:r>
    </w:p>
    <w:p w14:paraId="340D64B4" w14:textId="6C30DC6D" w:rsidR="00C6201F" w:rsidRPr="000548FA" w:rsidRDefault="00C6201F" w:rsidP="000548FA">
      <w:pPr>
        <w:pStyle w:val="ParaLevel2"/>
        <w:spacing w:line="360" w:lineRule="auto"/>
        <w:rPr>
          <w:rFonts w:cs="Calibri"/>
          <w:sz w:val="32"/>
          <w:szCs w:val="32"/>
        </w:rPr>
      </w:pPr>
      <w:r w:rsidRPr="000548FA">
        <w:rPr>
          <w:sz w:val="32"/>
          <w:szCs w:val="32"/>
          <w:lang w:val="en-US"/>
        </w:rPr>
        <w:t xml:space="preserve">discrimination in </w:t>
      </w:r>
      <w:r w:rsidRPr="000548FA">
        <w:rPr>
          <w:b/>
          <w:bCs/>
          <w:sz w:val="32"/>
          <w:szCs w:val="32"/>
          <w:lang w:val="en-US"/>
        </w:rPr>
        <w:t>accessing</w:t>
      </w:r>
      <w:r w:rsidRPr="000548FA">
        <w:rPr>
          <w:sz w:val="32"/>
          <w:szCs w:val="32"/>
          <w:lang w:val="en-US"/>
        </w:rPr>
        <w:t xml:space="preserve"> the housing market; when implementing accessibility measures in their homes; and accessing legal information and justice processes when needed;</w:t>
      </w:r>
    </w:p>
    <w:p w14:paraId="44D1FCAA" w14:textId="77777777" w:rsidR="00C6201F" w:rsidRPr="000548FA" w:rsidRDefault="00C6201F" w:rsidP="000548FA">
      <w:pPr>
        <w:pStyle w:val="ParaLevel2"/>
        <w:spacing w:line="360" w:lineRule="auto"/>
        <w:rPr>
          <w:rFonts w:cs="Calibri"/>
          <w:sz w:val="32"/>
          <w:szCs w:val="32"/>
        </w:rPr>
      </w:pPr>
      <w:r w:rsidRPr="000548FA">
        <w:rPr>
          <w:sz w:val="32"/>
          <w:szCs w:val="32"/>
          <w:lang w:val="en-US"/>
        </w:rPr>
        <w:t xml:space="preserve">challenges in feeling a sense of </w:t>
      </w:r>
      <w:r w:rsidRPr="000548FA">
        <w:rPr>
          <w:b/>
          <w:bCs/>
          <w:sz w:val="32"/>
          <w:szCs w:val="32"/>
          <w:lang w:val="en-US"/>
        </w:rPr>
        <w:t>belonging</w:t>
      </w:r>
      <w:r w:rsidRPr="000548FA">
        <w:rPr>
          <w:sz w:val="32"/>
          <w:szCs w:val="32"/>
          <w:lang w:val="en-US"/>
        </w:rPr>
        <w:t xml:space="preserve"> at home due to poor housing quality and inaccessibility;</w:t>
      </w:r>
    </w:p>
    <w:p w14:paraId="1A8173BA" w14:textId="77777777" w:rsidR="00C6201F" w:rsidRPr="000548FA" w:rsidRDefault="00C6201F" w:rsidP="000548FA">
      <w:pPr>
        <w:pStyle w:val="ParaLevel2"/>
        <w:spacing w:line="360" w:lineRule="auto"/>
        <w:rPr>
          <w:rFonts w:cs="Calibri"/>
          <w:sz w:val="32"/>
          <w:szCs w:val="32"/>
        </w:rPr>
      </w:pPr>
      <w:r w:rsidRPr="000548FA">
        <w:rPr>
          <w:sz w:val="32"/>
          <w:szCs w:val="32"/>
          <w:lang w:val="en-US"/>
        </w:rPr>
        <w:t xml:space="preserve">concerns regarding their </w:t>
      </w:r>
      <w:r w:rsidRPr="000548FA">
        <w:rPr>
          <w:b/>
          <w:bCs/>
          <w:sz w:val="32"/>
          <w:szCs w:val="32"/>
          <w:lang w:val="en-US"/>
        </w:rPr>
        <w:t>safety</w:t>
      </w:r>
      <w:r w:rsidRPr="000548FA">
        <w:rPr>
          <w:sz w:val="32"/>
          <w:szCs w:val="32"/>
          <w:lang w:val="en-US"/>
        </w:rPr>
        <w:t xml:space="preserve"> at home due to health and safety hazards, poor psychological safety due to barriers in accessing adequate housing, and power imbalances between disabled people and people in positions of power;</w:t>
      </w:r>
    </w:p>
    <w:p w14:paraId="13502D7E" w14:textId="77777777" w:rsidR="00C6201F" w:rsidRPr="000548FA" w:rsidRDefault="00C6201F" w:rsidP="000548FA">
      <w:pPr>
        <w:pStyle w:val="ParaLevel2"/>
        <w:spacing w:line="360" w:lineRule="auto"/>
        <w:rPr>
          <w:rFonts w:cs="Calibri"/>
          <w:sz w:val="32"/>
          <w:szCs w:val="32"/>
        </w:rPr>
      </w:pPr>
      <w:r w:rsidRPr="000548FA">
        <w:rPr>
          <w:sz w:val="32"/>
          <w:szCs w:val="32"/>
          <w:lang w:val="en-US"/>
        </w:rPr>
        <w:t xml:space="preserve">the importance of </w:t>
      </w:r>
      <w:r w:rsidRPr="000548FA">
        <w:rPr>
          <w:b/>
          <w:bCs/>
          <w:sz w:val="32"/>
          <w:szCs w:val="32"/>
          <w:lang w:val="en-US"/>
        </w:rPr>
        <w:t>relationships</w:t>
      </w:r>
      <w:r w:rsidRPr="000548FA">
        <w:rPr>
          <w:sz w:val="32"/>
          <w:szCs w:val="32"/>
          <w:lang w:val="en-US"/>
        </w:rPr>
        <w:t xml:space="preserve"> in directly impacting the adequacy of housing and living arrangements;</w:t>
      </w:r>
    </w:p>
    <w:p w14:paraId="2E6B8239" w14:textId="5322EE68" w:rsidR="00D128A0" w:rsidRPr="000548FA" w:rsidRDefault="00C6201F" w:rsidP="000548FA">
      <w:pPr>
        <w:pStyle w:val="ParaLevel2"/>
        <w:spacing w:line="360" w:lineRule="auto"/>
        <w:rPr>
          <w:rFonts w:cs="Calibri"/>
          <w:sz w:val="32"/>
          <w:szCs w:val="32"/>
        </w:rPr>
      </w:pPr>
      <w:r w:rsidRPr="000548FA">
        <w:rPr>
          <w:sz w:val="32"/>
          <w:szCs w:val="32"/>
          <w:lang w:val="en-US"/>
        </w:rPr>
        <w:t xml:space="preserve">different levels of </w:t>
      </w:r>
      <w:r w:rsidRPr="000548FA">
        <w:rPr>
          <w:b/>
          <w:bCs/>
          <w:sz w:val="32"/>
          <w:szCs w:val="32"/>
          <w:lang w:val="en-US"/>
        </w:rPr>
        <w:t>awareness</w:t>
      </w:r>
      <w:r w:rsidRPr="000548FA">
        <w:rPr>
          <w:sz w:val="32"/>
          <w:szCs w:val="32"/>
          <w:lang w:val="en-US"/>
        </w:rPr>
        <w:t xml:space="preserve"> of the UNCRPD and universal design, but common clear understandings of the treatment they ought to receive.</w:t>
      </w:r>
    </w:p>
    <w:p w14:paraId="28691474" w14:textId="1E0F908B" w:rsidR="00610EC8" w:rsidRPr="000548FA" w:rsidRDefault="00610EC8" w:rsidP="000548FA">
      <w:pPr>
        <w:pStyle w:val="Heading3"/>
        <w:spacing w:line="360" w:lineRule="auto"/>
        <w:rPr>
          <w:rStyle w:val="eop"/>
          <w:rFonts w:eastAsia="Verdana" w:cs="Verdana"/>
          <w:b w:val="0"/>
          <w:bCs w:val="0"/>
          <w:color w:val="000000" w:themeColor="text1"/>
          <w:sz w:val="32"/>
          <w:szCs w:val="32"/>
        </w:rPr>
      </w:pPr>
      <w:r w:rsidRPr="000548FA">
        <w:rPr>
          <w:rStyle w:val="eop"/>
          <w:rFonts w:eastAsia="Verdana" w:cs="Verdana"/>
          <w:color w:val="000000" w:themeColor="text1"/>
          <w:sz w:val="32"/>
          <w:szCs w:val="32"/>
        </w:rPr>
        <w:t xml:space="preserve">Some disabled people </w:t>
      </w:r>
      <w:r w:rsidR="003B69D5" w:rsidRPr="000548FA">
        <w:rPr>
          <w:rStyle w:val="eop"/>
          <w:rFonts w:eastAsia="Verdana" w:cs="Verdana"/>
          <w:color w:val="000000" w:themeColor="text1"/>
          <w:sz w:val="32"/>
          <w:szCs w:val="32"/>
        </w:rPr>
        <w:t xml:space="preserve">are housed in residential care settings which </w:t>
      </w:r>
      <w:r w:rsidR="00A45747" w:rsidRPr="000548FA">
        <w:rPr>
          <w:rStyle w:val="eop"/>
          <w:rFonts w:eastAsia="Verdana" w:cs="Verdana"/>
          <w:color w:val="000000" w:themeColor="text1"/>
          <w:sz w:val="32"/>
          <w:szCs w:val="32"/>
        </w:rPr>
        <w:t>limits their</w:t>
      </w:r>
      <w:r w:rsidR="00B5588C" w:rsidRPr="000548FA">
        <w:rPr>
          <w:rStyle w:val="eop"/>
          <w:rFonts w:eastAsia="Verdana" w:cs="Verdana"/>
          <w:color w:val="000000" w:themeColor="text1"/>
          <w:sz w:val="32"/>
          <w:szCs w:val="32"/>
        </w:rPr>
        <w:t xml:space="preserve"> </w:t>
      </w:r>
      <w:r w:rsidR="003B69D5" w:rsidRPr="000548FA">
        <w:rPr>
          <w:rStyle w:val="eop"/>
          <w:rFonts w:eastAsia="Verdana" w:cs="Verdana"/>
          <w:color w:val="000000" w:themeColor="text1"/>
          <w:sz w:val="32"/>
          <w:szCs w:val="32"/>
        </w:rPr>
        <w:t>choice and control</w:t>
      </w:r>
    </w:p>
    <w:p w14:paraId="7B185080" w14:textId="7FC1B002" w:rsidR="00466C5F" w:rsidRPr="000548FA" w:rsidRDefault="001D390B" w:rsidP="000548FA">
      <w:pPr>
        <w:pStyle w:val="ParaLevel1"/>
        <w:spacing w:line="360" w:lineRule="auto"/>
        <w:rPr>
          <w:rStyle w:val="eop"/>
          <w:rFonts w:eastAsia="Verdana" w:cs="Verdana"/>
          <w:color w:val="000000" w:themeColor="text1"/>
          <w:sz w:val="32"/>
          <w:szCs w:val="32"/>
        </w:rPr>
      </w:pPr>
      <w:r w:rsidRPr="000548FA">
        <w:rPr>
          <w:rStyle w:val="eop"/>
          <w:rFonts w:eastAsia="Verdana" w:cs="Verdana"/>
          <w:color w:val="000000" w:themeColor="text1"/>
          <w:sz w:val="32"/>
          <w:szCs w:val="32"/>
        </w:rPr>
        <w:t>As of 31 December 2024, 6</w:t>
      </w:r>
      <w:r w:rsidR="00297B84" w:rsidRPr="000548FA">
        <w:rPr>
          <w:rStyle w:val="eop"/>
          <w:rFonts w:eastAsia="Verdana" w:cs="Verdana"/>
          <w:color w:val="000000" w:themeColor="text1"/>
          <w:sz w:val="32"/>
          <w:szCs w:val="32"/>
        </w:rPr>
        <w:t xml:space="preserve">,154 </w:t>
      </w:r>
      <w:r w:rsidR="00DA65C5" w:rsidRPr="000548FA">
        <w:rPr>
          <w:rStyle w:val="eop"/>
          <w:rFonts w:eastAsia="Verdana" w:cs="Verdana"/>
          <w:color w:val="000000" w:themeColor="text1"/>
          <w:sz w:val="32"/>
          <w:szCs w:val="32"/>
        </w:rPr>
        <w:t xml:space="preserve">disabled </w:t>
      </w:r>
      <w:r w:rsidR="00297B84" w:rsidRPr="000548FA">
        <w:rPr>
          <w:rStyle w:val="eop"/>
          <w:rFonts w:eastAsia="Verdana" w:cs="Verdana"/>
          <w:color w:val="000000" w:themeColor="text1"/>
          <w:sz w:val="32"/>
          <w:szCs w:val="32"/>
        </w:rPr>
        <w:t>people had a</w:t>
      </w:r>
      <w:r w:rsidR="0039405C" w:rsidRPr="000548FA">
        <w:rPr>
          <w:rStyle w:val="eop"/>
          <w:rFonts w:eastAsia="Verdana" w:cs="Verdana"/>
          <w:color w:val="000000" w:themeColor="text1"/>
          <w:sz w:val="32"/>
          <w:szCs w:val="32"/>
        </w:rPr>
        <w:t xml:space="preserve"> Disability Support Services (DSS) allocation</w:t>
      </w:r>
      <w:r w:rsidR="00341F78" w:rsidRPr="000548FA">
        <w:rPr>
          <w:rStyle w:val="eop"/>
          <w:rFonts w:eastAsia="Verdana" w:cs="Verdana"/>
          <w:color w:val="000000" w:themeColor="text1"/>
          <w:sz w:val="32"/>
          <w:szCs w:val="32"/>
        </w:rPr>
        <w:t xml:space="preserve"> in a </w:t>
      </w:r>
      <w:r w:rsidR="00341F78" w:rsidRPr="000548FA">
        <w:rPr>
          <w:rStyle w:val="eop"/>
          <w:rFonts w:eastAsia="Verdana" w:cs="Verdana"/>
          <w:color w:val="000000" w:themeColor="text1"/>
          <w:sz w:val="32"/>
          <w:szCs w:val="32"/>
        </w:rPr>
        <w:lastRenderedPageBreak/>
        <w:t>residential group home, while 905</w:t>
      </w:r>
      <w:r w:rsidR="00A45747" w:rsidRPr="000548FA">
        <w:rPr>
          <w:rStyle w:val="eop"/>
          <w:rFonts w:eastAsia="Verdana" w:cs="Verdana"/>
          <w:color w:val="000000" w:themeColor="text1"/>
          <w:sz w:val="32"/>
          <w:szCs w:val="32"/>
        </w:rPr>
        <w:t xml:space="preserve"> disabled people</w:t>
      </w:r>
      <w:r w:rsidR="00341F78" w:rsidRPr="000548FA">
        <w:rPr>
          <w:rStyle w:val="eop"/>
          <w:rFonts w:eastAsia="Verdana" w:cs="Verdana"/>
          <w:color w:val="000000" w:themeColor="text1"/>
          <w:sz w:val="32"/>
          <w:szCs w:val="32"/>
        </w:rPr>
        <w:t xml:space="preserve"> had an allocation for an Aged Residential Care Facility.</w:t>
      </w:r>
      <w:r w:rsidR="00F8249A" w:rsidRPr="000548FA">
        <w:rPr>
          <w:rStyle w:val="eop"/>
          <w:rFonts w:eastAsia="Verdana" w:cs="Verdana"/>
          <w:color w:val="000000" w:themeColor="text1"/>
          <w:sz w:val="32"/>
          <w:szCs w:val="32"/>
        </w:rPr>
        <w:t xml:space="preserve"> Some disabled people under the age of 65 are placed in aged residential care </w:t>
      </w:r>
      <w:r w:rsidR="00F8249A" w:rsidRPr="000548FA">
        <w:rPr>
          <w:rStyle w:val="normaltextrun"/>
          <w:color w:val="000000"/>
          <w:sz w:val="32"/>
          <w:szCs w:val="32"/>
          <w:shd w:val="clear" w:color="auto" w:fill="FFFFFF"/>
        </w:rPr>
        <w:t xml:space="preserve">when there </w:t>
      </w:r>
      <w:r w:rsidR="00A45747" w:rsidRPr="000548FA">
        <w:rPr>
          <w:rStyle w:val="normaltextrun"/>
          <w:color w:val="000000"/>
          <w:sz w:val="32"/>
          <w:szCs w:val="32"/>
          <w:shd w:val="clear" w:color="auto" w:fill="FFFFFF"/>
        </w:rPr>
        <w:t xml:space="preserve">are no </w:t>
      </w:r>
      <w:r w:rsidR="00F8249A" w:rsidRPr="000548FA">
        <w:rPr>
          <w:rStyle w:val="normaltextrun"/>
          <w:color w:val="000000"/>
          <w:sz w:val="32"/>
          <w:szCs w:val="32"/>
          <w:shd w:val="clear" w:color="auto" w:fill="FFFFFF"/>
        </w:rPr>
        <w:t>suitable alternative housing and support options to meet their needs</w:t>
      </w:r>
      <w:r w:rsidR="00683E74" w:rsidRPr="000548FA">
        <w:rPr>
          <w:rFonts w:eastAsia="Verdana" w:cs="Verdana"/>
          <w:color w:val="000000" w:themeColor="text1"/>
          <w:sz w:val="32"/>
          <w:szCs w:val="32"/>
        </w:rPr>
        <w:t>, and this goes against their preference for where they would like to live.</w:t>
      </w:r>
      <w:r w:rsidR="00861F78" w:rsidRPr="000548FA">
        <w:rPr>
          <w:rFonts w:eastAsia="Verdana" w:cs="Verdana"/>
          <w:color w:val="000000" w:themeColor="text1"/>
          <w:sz w:val="32"/>
          <w:szCs w:val="32"/>
        </w:rPr>
        <w:t xml:space="preserve"> </w:t>
      </w:r>
    </w:p>
    <w:p w14:paraId="172B4DC4" w14:textId="73D292E7" w:rsidR="00A667A7" w:rsidRPr="000548FA" w:rsidRDefault="00A667A7" w:rsidP="000548FA">
      <w:pPr>
        <w:pStyle w:val="ParaLevel1"/>
        <w:spacing w:line="360" w:lineRule="auto"/>
        <w:rPr>
          <w:rStyle w:val="eop"/>
          <w:rFonts w:eastAsia="Verdana" w:cs="Verdana"/>
          <w:color w:val="000000" w:themeColor="text1"/>
          <w:sz w:val="32"/>
          <w:szCs w:val="32"/>
        </w:rPr>
      </w:pPr>
      <w:r w:rsidRPr="000548FA">
        <w:rPr>
          <w:rStyle w:val="eop"/>
          <w:rFonts w:eastAsia="Verdana" w:cs="Verdana"/>
          <w:color w:val="000000" w:themeColor="text1"/>
          <w:sz w:val="32"/>
          <w:szCs w:val="32"/>
        </w:rPr>
        <w:t xml:space="preserve">While housing is not the only factor leading some disabled people to live in residential care, a lack of accessible and affordable housing options in the community can </w:t>
      </w:r>
      <w:r w:rsidR="00570A74" w:rsidRPr="000548FA">
        <w:rPr>
          <w:rStyle w:val="eop"/>
          <w:rFonts w:eastAsia="Verdana" w:cs="Verdana"/>
          <w:color w:val="000000" w:themeColor="text1"/>
          <w:sz w:val="32"/>
          <w:szCs w:val="32"/>
        </w:rPr>
        <w:t xml:space="preserve">contribute to </w:t>
      </w:r>
      <w:r w:rsidR="008D32CC" w:rsidRPr="000548FA">
        <w:rPr>
          <w:rStyle w:val="eop"/>
          <w:rFonts w:eastAsia="Verdana" w:cs="Verdana"/>
          <w:color w:val="000000" w:themeColor="text1"/>
          <w:sz w:val="32"/>
          <w:szCs w:val="32"/>
        </w:rPr>
        <w:t>a reliance on residential car</w:t>
      </w:r>
      <w:r w:rsidR="00A955B8" w:rsidRPr="000548FA">
        <w:rPr>
          <w:rStyle w:val="eop"/>
          <w:rFonts w:eastAsia="Verdana" w:cs="Verdana"/>
          <w:color w:val="000000" w:themeColor="text1"/>
          <w:sz w:val="32"/>
          <w:szCs w:val="32"/>
        </w:rPr>
        <w:t xml:space="preserve">e as an alternative housing option. </w:t>
      </w:r>
      <w:r w:rsidR="00A45747" w:rsidRPr="000548FA">
        <w:rPr>
          <w:rStyle w:val="eop"/>
          <w:rFonts w:eastAsia="Verdana" w:cs="Verdana"/>
          <w:color w:val="000000" w:themeColor="text1"/>
          <w:sz w:val="32"/>
          <w:szCs w:val="32"/>
        </w:rPr>
        <w:t xml:space="preserve">For example, </w:t>
      </w:r>
      <w:r w:rsidR="00A759FC" w:rsidRPr="000548FA">
        <w:rPr>
          <w:rStyle w:val="eop"/>
          <w:rFonts w:eastAsia="Verdana" w:cs="Verdana"/>
          <w:color w:val="000000" w:themeColor="text1"/>
          <w:sz w:val="32"/>
          <w:szCs w:val="32"/>
        </w:rPr>
        <w:t xml:space="preserve">disabled people </w:t>
      </w:r>
      <w:r w:rsidR="00B23508" w:rsidRPr="000548FA">
        <w:rPr>
          <w:rStyle w:val="eop"/>
          <w:rFonts w:eastAsia="Verdana" w:cs="Verdana"/>
          <w:color w:val="000000" w:themeColor="text1"/>
          <w:sz w:val="32"/>
          <w:szCs w:val="32"/>
        </w:rPr>
        <w:t xml:space="preserve">who are not eligible for public housing and </w:t>
      </w:r>
      <w:r w:rsidR="00A759FC" w:rsidRPr="000548FA">
        <w:rPr>
          <w:rStyle w:val="eop"/>
          <w:rFonts w:eastAsia="Verdana" w:cs="Verdana"/>
          <w:color w:val="000000" w:themeColor="text1"/>
          <w:sz w:val="32"/>
          <w:szCs w:val="32"/>
        </w:rPr>
        <w:t xml:space="preserve">who cannot afford to </w:t>
      </w:r>
      <w:r w:rsidR="00E84A78" w:rsidRPr="000548FA">
        <w:rPr>
          <w:rStyle w:val="eop"/>
          <w:rFonts w:eastAsia="Verdana" w:cs="Verdana"/>
          <w:color w:val="000000" w:themeColor="text1"/>
          <w:sz w:val="32"/>
          <w:szCs w:val="32"/>
        </w:rPr>
        <w:t>rent or buy a</w:t>
      </w:r>
      <w:r w:rsidR="00E14B32" w:rsidRPr="000548FA">
        <w:rPr>
          <w:rStyle w:val="eop"/>
          <w:rFonts w:eastAsia="Verdana" w:cs="Verdana"/>
          <w:color w:val="000000" w:themeColor="text1"/>
          <w:sz w:val="32"/>
          <w:szCs w:val="32"/>
        </w:rPr>
        <w:t xml:space="preserve"> </w:t>
      </w:r>
      <w:r w:rsidR="00E84A78" w:rsidRPr="000548FA">
        <w:rPr>
          <w:rStyle w:val="eop"/>
          <w:rFonts w:eastAsia="Verdana" w:cs="Verdana"/>
          <w:color w:val="000000" w:themeColor="text1"/>
          <w:sz w:val="32"/>
          <w:szCs w:val="32"/>
        </w:rPr>
        <w:t xml:space="preserve">house which </w:t>
      </w:r>
      <w:r w:rsidR="00E14B32" w:rsidRPr="000548FA">
        <w:rPr>
          <w:rStyle w:val="eop"/>
          <w:rFonts w:eastAsia="Verdana" w:cs="Verdana"/>
          <w:color w:val="000000" w:themeColor="text1"/>
          <w:sz w:val="32"/>
          <w:szCs w:val="32"/>
        </w:rPr>
        <w:t xml:space="preserve">meets </w:t>
      </w:r>
      <w:r w:rsidR="00E84A78" w:rsidRPr="000548FA">
        <w:rPr>
          <w:rStyle w:val="eop"/>
          <w:rFonts w:eastAsia="Verdana" w:cs="Verdana"/>
          <w:color w:val="000000" w:themeColor="text1"/>
          <w:sz w:val="32"/>
          <w:szCs w:val="32"/>
        </w:rPr>
        <w:t xml:space="preserve">their </w:t>
      </w:r>
      <w:r w:rsidR="00E14B32" w:rsidRPr="000548FA">
        <w:rPr>
          <w:rStyle w:val="eop"/>
          <w:rFonts w:eastAsia="Verdana" w:cs="Verdana"/>
          <w:color w:val="000000" w:themeColor="text1"/>
          <w:sz w:val="32"/>
          <w:szCs w:val="32"/>
        </w:rPr>
        <w:t xml:space="preserve">accessibility </w:t>
      </w:r>
      <w:r w:rsidR="00E84A78" w:rsidRPr="000548FA">
        <w:rPr>
          <w:rStyle w:val="eop"/>
          <w:rFonts w:eastAsia="Verdana" w:cs="Verdana"/>
          <w:color w:val="000000" w:themeColor="text1"/>
          <w:sz w:val="32"/>
          <w:szCs w:val="32"/>
        </w:rPr>
        <w:t xml:space="preserve">needs </w:t>
      </w:r>
      <w:r w:rsidR="00B23508" w:rsidRPr="000548FA">
        <w:rPr>
          <w:rStyle w:val="eop"/>
          <w:rFonts w:eastAsia="Verdana" w:cs="Verdana"/>
          <w:color w:val="000000" w:themeColor="text1"/>
          <w:sz w:val="32"/>
          <w:szCs w:val="32"/>
        </w:rPr>
        <w:t>may have no other housing options outside of residential care</w:t>
      </w:r>
      <w:r w:rsidR="00C749BA" w:rsidRPr="000548FA">
        <w:rPr>
          <w:rStyle w:val="eop"/>
          <w:rFonts w:eastAsia="Verdana" w:cs="Verdana"/>
          <w:color w:val="000000" w:themeColor="text1"/>
          <w:sz w:val="32"/>
          <w:szCs w:val="32"/>
        </w:rPr>
        <w:t xml:space="preserve"> settings.</w:t>
      </w:r>
    </w:p>
    <w:p w14:paraId="5E70F9F1" w14:textId="23198EEC" w:rsidR="005E2C94" w:rsidRPr="000548FA" w:rsidRDefault="00713C96" w:rsidP="000548FA">
      <w:pPr>
        <w:pStyle w:val="ParaLevel1"/>
        <w:spacing w:line="360" w:lineRule="auto"/>
        <w:rPr>
          <w:rStyle w:val="eop"/>
          <w:rFonts w:eastAsia="Verdana" w:cs="Verdana"/>
          <w:color w:val="000000" w:themeColor="text1"/>
          <w:sz w:val="32"/>
          <w:szCs w:val="32"/>
        </w:rPr>
      </w:pPr>
      <w:r w:rsidRPr="000548FA">
        <w:rPr>
          <w:rStyle w:val="eop"/>
          <w:rFonts w:eastAsia="Verdana" w:cs="Verdana"/>
          <w:color w:val="000000" w:themeColor="text1"/>
          <w:sz w:val="32"/>
          <w:szCs w:val="32"/>
        </w:rPr>
        <w:t xml:space="preserve">Disabled people who enter residential care </w:t>
      </w:r>
      <w:r w:rsidR="00CE0A6D" w:rsidRPr="000548FA">
        <w:rPr>
          <w:rStyle w:val="eop"/>
          <w:rFonts w:eastAsia="Verdana" w:cs="Verdana"/>
          <w:color w:val="000000" w:themeColor="text1"/>
          <w:sz w:val="32"/>
          <w:szCs w:val="32"/>
        </w:rPr>
        <w:t>but whose support needs then decrease</w:t>
      </w:r>
      <w:r w:rsidR="00A45747" w:rsidRPr="000548FA">
        <w:rPr>
          <w:rStyle w:val="eop"/>
          <w:rFonts w:eastAsia="Verdana" w:cs="Verdana"/>
          <w:color w:val="000000" w:themeColor="text1"/>
          <w:sz w:val="32"/>
          <w:szCs w:val="32"/>
        </w:rPr>
        <w:t>,</w:t>
      </w:r>
      <w:r w:rsidR="00CE0A6D" w:rsidRPr="000548FA">
        <w:rPr>
          <w:rStyle w:val="eop"/>
          <w:rFonts w:eastAsia="Verdana" w:cs="Verdana"/>
          <w:color w:val="000000" w:themeColor="text1"/>
          <w:sz w:val="32"/>
          <w:szCs w:val="32"/>
        </w:rPr>
        <w:t xml:space="preserve"> face similar barriers to exiting care.</w:t>
      </w:r>
      <w:r w:rsidR="000A4103" w:rsidRPr="000548FA">
        <w:rPr>
          <w:rStyle w:val="eop"/>
          <w:rFonts w:eastAsia="Verdana" w:cs="Verdana"/>
          <w:color w:val="000000" w:themeColor="text1"/>
          <w:sz w:val="32"/>
          <w:szCs w:val="32"/>
        </w:rPr>
        <w:t xml:space="preserve"> </w:t>
      </w:r>
      <w:r w:rsidR="00941FFE" w:rsidRPr="000548FA">
        <w:rPr>
          <w:rStyle w:val="eop"/>
          <w:rFonts w:eastAsia="Verdana" w:cs="Verdana"/>
          <w:color w:val="000000" w:themeColor="text1"/>
          <w:sz w:val="32"/>
          <w:szCs w:val="32"/>
        </w:rPr>
        <w:t>Some</w:t>
      </w:r>
      <w:r w:rsidR="000A4103" w:rsidRPr="000548FA">
        <w:rPr>
          <w:rStyle w:val="eop"/>
          <w:rFonts w:eastAsia="Verdana" w:cs="Verdana"/>
          <w:color w:val="000000" w:themeColor="text1"/>
          <w:sz w:val="32"/>
          <w:szCs w:val="32"/>
        </w:rPr>
        <w:t xml:space="preserve"> disabled people remain in care </w:t>
      </w:r>
      <w:r w:rsidR="00A45747" w:rsidRPr="000548FA">
        <w:rPr>
          <w:rStyle w:val="eop"/>
          <w:rFonts w:eastAsia="Verdana" w:cs="Verdana"/>
          <w:color w:val="000000" w:themeColor="text1"/>
          <w:sz w:val="32"/>
          <w:szCs w:val="32"/>
        </w:rPr>
        <w:t xml:space="preserve">even when they do not need that care, </w:t>
      </w:r>
      <w:r w:rsidR="000A4103" w:rsidRPr="000548FA">
        <w:rPr>
          <w:rStyle w:val="eop"/>
          <w:rFonts w:eastAsia="Verdana" w:cs="Verdana"/>
          <w:color w:val="000000" w:themeColor="text1"/>
          <w:sz w:val="32"/>
          <w:szCs w:val="32"/>
        </w:rPr>
        <w:t xml:space="preserve">due to an absence of mainstream opportunities, support networks, and </w:t>
      </w:r>
      <w:r w:rsidR="000A4103" w:rsidRPr="000548FA">
        <w:rPr>
          <w:rStyle w:val="eop"/>
          <w:rFonts w:eastAsia="Verdana" w:cs="Verdana"/>
          <w:color w:val="000000" w:themeColor="text1"/>
          <w:sz w:val="32"/>
          <w:szCs w:val="32"/>
        </w:rPr>
        <w:lastRenderedPageBreak/>
        <w:t>community-based services.</w:t>
      </w:r>
      <w:r w:rsidR="006D1038" w:rsidRPr="000548FA">
        <w:rPr>
          <w:rStyle w:val="FootnoteReference"/>
          <w:rFonts w:eastAsia="Verdana" w:cs="Verdana"/>
          <w:color w:val="000000" w:themeColor="text1"/>
          <w:sz w:val="32"/>
          <w:szCs w:val="32"/>
          <w:lang w:val="en-NZ"/>
        </w:rPr>
        <w:footnoteReference w:id="34"/>
      </w:r>
      <w:r w:rsidR="000A4103" w:rsidRPr="000548FA">
        <w:rPr>
          <w:rStyle w:val="eop"/>
          <w:rFonts w:eastAsia="Verdana" w:cs="Verdana"/>
          <w:color w:val="000000" w:themeColor="text1"/>
          <w:sz w:val="32"/>
          <w:szCs w:val="32"/>
        </w:rPr>
        <w:t xml:space="preserve"> </w:t>
      </w:r>
      <w:r w:rsidR="006D1038" w:rsidRPr="000548FA">
        <w:rPr>
          <w:rStyle w:val="eop"/>
          <w:rFonts w:eastAsia="Verdana" w:cs="Verdana"/>
          <w:color w:val="000000" w:themeColor="text1"/>
          <w:sz w:val="32"/>
          <w:szCs w:val="32"/>
        </w:rPr>
        <w:t xml:space="preserve">These limitations in accommodation services and supported living options for disabled people </w:t>
      </w:r>
      <w:r w:rsidR="003D3871" w:rsidRPr="000548FA">
        <w:rPr>
          <w:rStyle w:val="eop"/>
          <w:rFonts w:eastAsia="Verdana" w:cs="Verdana"/>
          <w:color w:val="000000" w:themeColor="text1"/>
          <w:sz w:val="32"/>
          <w:szCs w:val="32"/>
        </w:rPr>
        <w:t>we</w:t>
      </w:r>
      <w:r w:rsidR="006E5824" w:rsidRPr="000548FA">
        <w:rPr>
          <w:rStyle w:val="eop"/>
          <w:rFonts w:eastAsia="Verdana" w:cs="Verdana"/>
          <w:color w:val="000000" w:themeColor="text1"/>
          <w:sz w:val="32"/>
          <w:szCs w:val="32"/>
        </w:rPr>
        <w:t>re</w:t>
      </w:r>
      <w:r w:rsidR="006D1038" w:rsidRPr="000548FA">
        <w:rPr>
          <w:rStyle w:val="eop"/>
          <w:rFonts w:eastAsia="Verdana" w:cs="Verdana"/>
          <w:color w:val="000000" w:themeColor="text1"/>
          <w:sz w:val="32"/>
          <w:szCs w:val="32"/>
        </w:rPr>
        <w:t xml:space="preserve"> </w:t>
      </w:r>
      <w:r w:rsidR="00A45747" w:rsidRPr="000548FA">
        <w:rPr>
          <w:rStyle w:val="eop"/>
          <w:rFonts w:eastAsia="Verdana" w:cs="Verdana"/>
          <w:color w:val="000000" w:themeColor="text1"/>
          <w:sz w:val="32"/>
          <w:szCs w:val="32"/>
        </w:rPr>
        <w:t xml:space="preserve">highlighted </w:t>
      </w:r>
      <w:r w:rsidR="006D1038" w:rsidRPr="000548FA">
        <w:rPr>
          <w:rStyle w:val="eop"/>
          <w:rFonts w:eastAsia="Verdana" w:cs="Verdana"/>
          <w:color w:val="000000" w:themeColor="text1"/>
          <w:sz w:val="32"/>
          <w:szCs w:val="32"/>
        </w:rPr>
        <w:t>by the Royal Commission into Abuse in Care.</w:t>
      </w:r>
      <w:r w:rsidR="006D1038" w:rsidRPr="000548FA">
        <w:rPr>
          <w:rStyle w:val="FootnoteReference"/>
          <w:rFonts w:eastAsia="Verdana" w:cs="Verdana"/>
          <w:color w:val="000000" w:themeColor="text1"/>
          <w:sz w:val="32"/>
          <w:szCs w:val="32"/>
          <w:lang w:val="en-NZ"/>
        </w:rPr>
        <w:footnoteReference w:id="35"/>
      </w:r>
    </w:p>
    <w:p w14:paraId="623C96A5" w14:textId="3C6D9825" w:rsidR="00E5558E" w:rsidRPr="000548FA" w:rsidRDefault="00212D92"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Under the current model of residential care</w:t>
      </w:r>
      <w:r w:rsidR="00D22051" w:rsidRPr="000548FA">
        <w:rPr>
          <w:rFonts w:eastAsia="Verdana" w:cs="Verdana"/>
          <w:color w:val="000000" w:themeColor="text1"/>
          <w:sz w:val="32"/>
          <w:szCs w:val="32"/>
        </w:rPr>
        <w:t xml:space="preserve">, </w:t>
      </w:r>
      <w:r w:rsidRPr="000548FA">
        <w:rPr>
          <w:rFonts w:eastAsia="Verdana" w:cs="Verdana"/>
          <w:color w:val="000000" w:themeColor="text1"/>
          <w:sz w:val="32"/>
          <w:szCs w:val="32"/>
        </w:rPr>
        <w:t xml:space="preserve">disabled people in care are limited in the choice and control they can exercise over where and with </w:t>
      </w:r>
      <w:r w:rsidR="00433213" w:rsidRPr="000548FA">
        <w:rPr>
          <w:rFonts w:eastAsia="Verdana" w:cs="Verdana"/>
          <w:color w:val="000000" w:themeColor="text1"/>
          <w:sz w:val="32"/>
          <w:szCs w:val="32"/>
        </w:rPr>
        <w:t>whom</w:t>
      </w:r>
      <w:r w:rsidRPr="000548FA">
        <w:rPr>
          <w:rFonts w:eastAsia="Verdana" w:cs="Verdana"/>
          <w:color w:val="000000" w:themeColor="text1"/>
          <w:sz w:val="32"/>
          <w:szCs w:val="32"/>
        </w:rPr>
        <w:t xml:space="preserve"> they live.</w:t>
      </w:r>
      <w:r w:rsidR="00B80360" w:rsidRPr="000548FA">
        <w:rPr>
          <w:rFonts w:eastAsia="Verdana" w:cs="Verdana"/>
          <w:color w:val="000000" w:themeColor="text1"/>
          <w:sz w:val="32"/>
          <w:szCs w:val="32"/>
        </w:rPr>
        <w:t xml:space="preserve"> </w:t>
      </w:r>
      <w:r w:rsidR="00BF4517" w:rsidRPr="000548FA">
        <w:rPr>
          <w:rFonts w:eastAsia="Verdana" w:cs="Verdana"/>
          <w:color w:val="000000" w:themeColor="text1"/>
          <w:sz w:val="32"/>
          <w:szCs w:val="32"/>
        </w:rPr>
        <w:t xml:space="preserve">The DSS Tier Two Residential Service Specifications require that residential providers provide both housing and support packaged together, meaning if a disabled person living in residential care chooses to change their support service provider, they must find a new place to live. </w:t>
      </w:r>
      <w:r w:rsidR="00B80360" w:rsidRPr="000548FA">
        <w:rPr>
          <w:rFonts w:eastAsia="Verdana" w:cs="Verdana"/>
          <w:color w:val="000000" w:themeColor="text1"/>
          <w:sz w:val="32"/>
          <w:szCs w:val="32"/>
        </w:rPr>
        <w:t>This inhibits disabled people’s ability to have ordinary life outcomes to the same extent as non-disabled people.</w:t>
      </w:r>
      <w:r w:rsidR="00BC6FDB" w:rsidRPr="000548FA">
        <w:rPr>
          <w:rFonts w:eastAsia="Verdana" w:cs="Verdana"/>
          <w:color w:val="000000" w:themeColor="text1"/>
          <w:sz w:val="32"/>
          <w:szCs w:val="32"/>
        </w:rPr>
        <w:t xml:space="preserve"> </w:t>
      </w:r>
      <w:r w:rsidR="00BF4517" w:rsidRPr="000548FA">
        <w:rPr>
          <w:rFonts w:eastAsia="Verdana" w:cs="Verdana"/>
          <w:color w:val="000000" w:themeColor="text1"/>
          <w:sz w:val="32"/>
          <w:szCs w:val="32"/>
        </w:rPr>
        <w:t xml:space="preserve">It </w:t>
      </w:r>
      <w:r w:rsidR="00E46C8C" w:rsidRPr="000548FA">
        <w:rPr>
          <w:rFonts w:eastAsia="Verdana" w:cs="Verdana"/>
          <w:color w:val="000000" w:themeColor="text1"/>
          <w:sz w:val="32"/>
          <w:szCs w:val="32"/>
        </w:rPr>
        <w:t>also increases the risk of a power imbalance between the disabled person and their dual housing and care provider.</w:t>
      </w:r>
    </w:p>
    <w:p w14:paraId="6367D2C6" w14:textId="77777777" w:rsidR="000A3B1C" w:rsidRPr="000548FA" w:rsidRDefault="00553359"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 xml:space="preserve">Models which separate the provision of care and </w:t>
      </w:r>
      <w:r w:rsidR="009E650F" w:rsidRPr="000548FA">
        <w:rPr>
          <w:rFonts w:eastAsia="Verdana" w:cs="Verdana"/>
          <w:color w:val="000000" w:themeColor="text1"/>
          <w:sz w:val="32"/>
          <w:szCs w:val="32"/>
        </w:rPr>
        <w:t xml:space="preserve">housing </w:t>
      </w:r>
      <w:r w:rsidR="00F86252" w:rsidRPr="000548FA">
        <w:rPr>
          <w:rFonts w:eastAsia="Verdana" w:cs="Verdana"/>
          <w:color w:val="000000" w:themeColor="text1"/>
          <w:sz w:val="32"/>
          <w:szCs w:val="32"/>
        </w:rPr>
        <w:t xml:space="preserve">allow disabled people to </w:t>
      </w:r>
      <w:r w:rsidR="00AB57C0" w:rsidRPr="000548FA">
        <w:rPr>
          <w:rFonts w:eastAsia="Verdana" w:cs="Verdana"/>
          <w:color w:val="000000" w:themeColor="text1"/>
          <w:sz w:val="32"/>
          <w:szCs w:val="32"/>
        </w:rPr>
        <w:t xml:space="preserve">exercise greater choice </w:t>
      </w:r>
      <w:r w:rsidR="00AB57C0" w:rsidRPr="000548FA">
        <w:rPr>
          <w:rFonts w:eastAsia="Verdana" w:cs="Verdana"/>
          <w:color w:val="000000" w:themeColor="text1"/>
          <w:sz w:val="32"/>
          <w:szCs w:val="32"/>
        </w:rPr>
        <w:lastRenderedPageBreak/>
        <w:t xml:space="preserve">and control. </w:t>
      </w:r>
      <w:r w:rsidR="00BF0CEB" w:rsidRPr="000548FA">
        <w:rPr>
          <w:rFonts w:eastAsia="Verdana" w:cs="Verdana"/>
          <w:color w:val="000000" w:themeColor="text1"/>
          <w:sz w:val="32"/>
          <w:szCs w:val="32"/>
        </w:rPr>
        <w:t xml:space="preserve">If there are more accessible and affordable </w:t>
      </w:r>
      <w:r w:rsidR="00DE6EC7" w:rsidRPr="000548FA">
        <w:rPr>
          <w:rFonts w:eastAsia="Verdana" w:cs="Verdana"/>
          <w:color w:val="000000" w:themeColor="text1"/>
          <w:sz w:val="32"/>
          <w:szCs w:val="32"/>
        </w:rPr>
        <w:t xml:space="preserve">housing options, this becomes a </w:t>
      </w:r>
      <w:r w:rsidR="0095799D" w:rsidRPr="000548FA">
        <w:rPr>
          <w:rFonts w:eastAsia="Verdana" w:cs="Verdana"/>
          <w:color w:val="000000" w:themeColor="text1"/>
          <w:sz w:val="32"/>
          <w:szCs w:val="32"/>
        </w:rPr>
        <w:t xml:space="preserve">more </w:t>
      </w:r>
      <w:r w:rsidR="00DE6EC7" w:rsidRPr="000548FA">
        <w:rPr>
          <w:rFonts w:eastAsia="Verdana" w:cs="Verdana"/>
          <w:color w:val="000000" w:themeColor="text1"/>
          <w:sz w:val="32"/>
          <w:szCs w:val="32"/>
        </w:rPr>
        <w:t>viable option.</w:t>
      </w:r>
    </w:p>
    <w:p w14:paraId="2318C1D3" w14:textId="088AD086" w:rsidR="00471177" w:rsidRPr="000548FA" w:rsidRDefault="000A3B1C" w:rsidP="000548FA">
      <w:pPr>
        <w:pStyle w:val="Heading4"/>
        <w:spacing w:line="360" w:lineRule="auto"/>
        <w:rPr>
          <w:sz w:val="32"/>
          <w:szCs w:val="32"/>
        </w:rPr>
      </w:pPr>
      <w:r w:rsidRPr="000548FA">
        <w:rPr>
          <w:sz w:val="32"/>
          <w:szCs w:val="32"/>
        </w:rPr>
        <w:t>Reducing reliance on residential care can reduce</w:t>
      </w:r>
      <w:r w:rsidR="00E1085B" w:rsidRPr="000548FA">
        <w:rPr>
          <w:sz w:val="32"/>
          <w:szCs w:val="32"/>
        </w:rPr>
        <w:t xml:space="preserve"> both</w:t>
      </w:r>
      <w:r w:rsidRPr="000548FA">
        <w:rPr>
          <w:sz w:val="32"/>
          <w:szCs w:val="32"/>
        </w:rPr>
        <w:t xml:space="preserve"> the risk of abuse for disabled people </w:t>
      </w:r>
      <w:r w:rsidR="00E1085B" w:rsidRPr="000548FA">
        <w:rPr>
          <w:sz w:val="32"/>
          <w:szCs w:val="32"/>
        </w:rPr>
        <w:t>and cost pressures</w:t>
      </w:r>
    </w:p>
    <w:p w14:paraId="745E1D11" w14:textId="4443F495" w:rsidR="003C5410" w:rsidRPr="000548FA" w:rsidRDefault="0099591E"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A range of</w:t>
      </w:r>
      <w:r w:rsidR="00C967F6" w:rsidRPr="000548FA">
        <w:rPr>
          <w:rFonts w:eastAsia="Verdana" w:cs="Verdana"/>
          <w:color w:val="000000" w:themeColor="text1"/>
          <w:sz w:val="32"/>
          <w:szCs w:val="32"/>
        </w:rPr>
        <w:t xml:space="preserve"> factors place disabled people at </w:t>
      </w:r>
      <w:r w:rsidR="000B176B" w:rsidRPr="000548FA">
        <w:rPr>
          <w:rFonts w:eastAsia="Verdana" w:cs="Verdana"/>
          <w:color w:val="000000" w:themeColor="text1"/>
          <w:sz w:val="32"/>
          <w:szCs w:val="32"/>
        </w:rPr>
        <w:t xml:space="preserve">higher </w:t>
      </w:r>
      <w:r w:rsidR="00C967F6" w:rsidRPr="000548FA">
        <w:rPr>
          <w:rFonts w:eastAsia="Verdana" w:cs="Verdana"/>
          <w:color w:val="000000" w:themeColor="text1"/>
          <w:sz w:val="32"/>
          <w:szCs w:val="32"/>
        </w:rPr>
        <w:t>risk of abuse, including being isolated from family and friends</w:t>
      </w:r>
      <w:r w:rsidR="00916D6A" w:rsidRPr="000548FA">
        <w:rPr>
          <w:rFonts w:eastAsia="Verdana" w:cs="Verdana"/>
          <w:color w:val="000000" w:themeColor="text1"/>
          <w:sz w:val="32"/>
          <w:szCs w:val="32"/>
        </w:rPr>
        <w:t xml:space="preserve"> and</w:t>
      </w:r>
      <w:r w:rsidR="00C967F6" w:rsidRPr="000548FA">
        <w:rPr>
          <w:rFonts w:eastAsia="Verdana" w:cs="Verdana"/>
          <w:color w:val="000000" w:themeColor="text1"/>
          <w:sz w:val="32"/>
          <w:szCs w:val="32"/>
        </w:rPr>
        <w:t xml:space="preserve"> living in </w:t>
      </w:r>
      <w:r w:rsidR="00B00A13" w:rsidRPr="000548FA">
        <w:rPr>
          <w:rFonts w:eastAsia="Verdana" w:cs="Verdana"/>
          <w:color w:val="000000" w:themeColor="text1"/>
          <w:sz w:val="32"/>
          <w:szCs w:val="32"/>
        </w:rPr>
        <w:t>closed</w:t>
      </w:r>
      <w:r w:rsidR="00C967F6" w:rsidRPr="000548FA">
        <w:rPr>
          <w:rFonts w:eastAsia="Verdana" w:cs="Verdana"/>
          <w:color w:val="000000" w:themeColor="text1"/>
          <w:sz w:val="32"/>
          <w:szCs w:val="32"/>
        </w:rPr>
        <w:t xml:space="preserve"> settings</w:t>
      </w:r>
      <w:r w:rsidR="00B00A13" w:rsidRPr="000548FA">
        <w:rPr>
          <w:rFonts w:eastAsia="Verdana" w:cs="Verdana"/>
          <w:color w:val="000000" w:themeColor="text1"/>
          <w:sz w:val="32"/>
          <w:szCs w:val="32"/>
        </w:rPr>
        <w:t xml:space="preserve"> like group homes</w:t>
      </w:r>
      <w:r w:rsidR="00523B96" w:rsidRPr="000548FA">
        <w:rPr>
          <w:rFonts w:eastAsia="Verdana" w:cs="Verdana"/>
          <w:color w:val="000000" w:themeColor="text1"/>
          <w:sz w:val="32"/>
          <w:szCs w:val="32"/>
        </w:rPr>
        <w:t>.</w:t>
      </w:r>
      <w:r w:rsidR="00D23AE8" w:rsidRPr="000548FA">
        <w:rPr>
          <w:rStyle w:val="FootnoteReference"/>
          <w:rFonts w:eastAsia="Verdana" w:cs="Verdana"/>
          <w:color w:val="000000" w:themeColor="text1"/>
          <w:sz w:val="32"/>
          <w:szCs w:val="32"/>
          <w:lang w:val="en-NZ"/>
        </w:rPr>
        <w:footnoteReference w:id="36"/>
      </w:r>
      <w:r w:rsidR="002D715E" w:rsidRPr="000548FA">
        <w:rPr>
          <w:rFonts w:eastAsia="Verdana" w:cs="Verdana"/>
          <w:color w:val="000000" w:themeColor="text1"/>
          <w:sz w:val="32"/>
          <w:szCs w:val="32"/>
        </w:rPr>
        <w:t xml:space="preserve"> Research found that those in residential care are at a higher risk of victimisation at the hands of caregivers</w:t>
      </w:r>
      <w:r w:rsidR="002A4367" w:rsidRPr="000548FA">
        <w:rPr>
          <w:rFonts w:eastAsia="Verdana" w:cs="Verdana"/>
          <w:color w:val="000000" w:themeColor="text1"/>
          <w:sz w:val="32"/>
          <w:szCs w:val="32"/>
        </w:rPr>
        <w:t xml:space="preserve"> than those outside residential care</w:t>
      </w:r>
      <w:r w:rsidR="002D715E" w:rsidRPr="000548FA">
        <w:rPr>
          <w:rFonts w:eastAsia="Verdana" w:cs="Verdana"/>
          <w:color w:val="000000" w:themeColor="text1"/>
          <w:sz w:val="32"/>
          <w:szCs w:val="32"/>
        </w:rPr>
        <w:t>.</w:t>
      </w:r>
      <w:r w:rsidR="002D715E" w:rsidRPr="000548FA">
        <w:rPr>
          <w:rStyle w:val="FootnoteReference"/>
          <w:rFonts w:eastAsia="Verdana" w:cs="Verdana"/>
          <w:color w:val="000000" w:themeColor="text1"/>
          <w:sz w:val="32"/>
          <w:szCs w:val="32"/>
        </w:rPr>
        <w:footnoteReference w:id="37"/>
      </w:r>
    </w:p>
    <w:p w14:paraId="0B45B3A4" w14:textId="72C9799D" w:rsidR="2F9C3902" w:rsidRPr="000548FA" w:rsidRDefault="005100DC"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In Concluding Observation 34, t</w:t>
      </w:r>
      <w:r w:rsidR="66BD1DC8" w:rsidRPr="000548FA">
        <w:rPr>
          <w:rFonts w:eastAsia="Verdana" w:cs="Verdana"/>
          <w:color w:val="000000" w:themeColor="text1"/>
          <w:sz w:val="32"/>
          <w:szCs w:val="32"/>
        </w:rPr>
        <w:t>he U</w:t>
      </w:r>
      <w:r w:rsidR="00C61D4D" w:rsidRPr="000548FA">
        <w:rPr>
          <w:rFonts w:eastAsia="Verdana" w:cs="Verdana"/>
          <w:color w:val="000000" w:themeColor="text1"/>
          <w:sz w:val="32"/>
          <w:szCs w:val="32"/>
        </w:rPr>
        <w:t xml:space="preserve">nited Nations </w:t>
      </w:r>
      <w:r w:rsidR="66BD1DC8" w:rsidRPr="000548FA">
        <w:rPr>
          <w:rFonts w:eastAsia="Verdana" w:cs="Verdana"/>
          <w:color w:val="000000" w:themeColor="text1"/>
          <w:sz w:val="32"/>
          <w:szCs w:val="32"/>
        </w:rPr>
        <w:t xml:space="preserve">Committee </w:t>
      </w:r>
      <w:r w:rsidR="005B7376" w:rsidRPr="000548FA">
        <w:rPr>
          <w:rFonts w:eastAsia="Verdana" w:cs="Verdana"/>
          <w:color w:val="000000" w:themeColor="text1"/>
          <w:sz w:val="32"/>
          <w:szCs w:val="32"/>
        </w:rPr>
        <w:t xml:space="preserve">on the Rights of Persons with Disabilities (UN Committee) </w:t>
      </w:r>
      <w:r w:rsidR="66BD1DC8" w:rsidRPr="000548FA">
        <w:rPr>
          <w:rFonts w:eastAsia="Verdana" w:cs="Verdana"/>
          <w:color w:val="000000" w:themeColor="text1"/>
          <w:sz w:val="32"/>
          <w:szCs w:val="32"/>
        </w:rPr>
        <w:t>recommended</w:t>
      </w:r>
      <w:r w:rsidR="00134150" w:rsidRPr="000548FA">
        <w:rPr>
          <w:rFonts w:eastAsia="Verdana" w:cs="Verdana"/>
          <w:color w:val="000000" w:themeColor="text1"/>
          <w:sz w:val="32"/>
          <w:szCs w:val="32"/>
        </w:rPr>
        <w:t>, amongst other things,</w:t>
      </w:r>
      <w:r w:rsidR="66BD1DC8" w:rsidRPr="000548FA">
        <w:rPr>
          <w:rFonts w:eastAsia="Verdana" w:cs="Verdana"/>
          <w:color w:val="000000" w:themeColor="text1"/>
          <w:sz w:val="32"/>
          <w:szCs w:val="32"/>
        </w:rPr>
        <w:t xml:space="preserve"> urgent action be taken to remove disabled people from institutional settings</w:t>
      </w:r>
      <w:r w:rsidR="003D3871" w:rsidRPr="000548FA">
        <w:rPr>
          <w:rFonts w:eastAsia="Verdana" w:cs="Verdana"/>
          <w:color w:val="000000" w:themeColor="text1"/>
          <w:sz w:val="32"/>
          <w:szCs w:val="32"/>
        </w:rPr>
        <w:t>,</w:t>
      </w:r>
      <w:r w:rsidR="66BD1DC8" w:rsidRPr="000548FA">
        <w:rPr>
          <w:rFonts w:eastAsia="Verdana" w:cs="Verdana"/>
          <w:color w:val="000000" w:themeColor="text1"/>
          <w:sz w:val="32"/>
          <w:szCs w:val="32"/>
        </w:rPr>
        <w:t xml:space="preserve"> with adequate support for living in the community.</w:t>
      </w:r>
      <w:r w:rsidR="5E4BCB6A" w:rsidRPr="000548FA">
        <w:rPr>
          <w:rStyle w:val="FootnoteReference"/>
          <w:rFonts w:eastAsia="Verdana" w:cs="Verdana"/>
          <w:color w:val="000000" w:themeColor="text1"/>
          <w:sz w:val="32"/>
          <w:szCs w:val="32"/>
          <w:lang w:val="en-NZ"/>
        </w:rPr>
        <w:footnoteReference w:id="38"/>
      </w:r>
      <w:r w:rsidR="00B15C15" w:rsidRPr="000548FA">
        <w:rPr>
          <w:rFonts w:eastAsia="Verdana" w:cs="Verdana"/>
          <w:color w:val="000000" w:themeColor="text1"/>
          <w:sz w:val="32"/>
          <w:szCs w:val="32"/>
        </w:rPr>
        <w:t xml:space="preserve"> </w:t>
      </w:r>
    </w:p>
    <w:p w14:paraId="6619DF03" w14:textId="2F162ED3" w:rsidR="00104BDD" w:rsidRPr="000548FA" w:rsidRDefault="00A660C0"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lastRenderedPageBreak/>
        <w:t>New Zealand’s Independent Monitoring Mechanism</w:t>
      </w:r>
      <w:r w:rsidR="0093023B" w:rsidRPr="000548FA">
        <w:rPr>
          <w:rFonts w:eastAsia="Verdana" w:cs="Verdana"/>
          <w:color w:val="000000" w:themeColor="text1"/>
          <w:sz w:val="32"/>
          <w:szCs w:val="32"/>
        </w:rPr>
        <w:t xml:space="preserve"> (IMM)</w:t>
      </w:r>
      <w:r w:rsidRPr="000548FA">
        <w:rPr>
          <w:rStyle w:val="FootnoteReference"/>
          <w:rFonts w:eastAsia="Verdana" w:cs="Verdana"/>
          <w:color w:val="000000" w:themeColor="text1"/>
          <w:sz w:val="32"/>
          <w:szCs w:val="32"/>
        </w:rPr>
        <w:footnoteReference w:id="39"/>
      </w:r>
      <w:r w:rsidR="00604BF5" w:rsidRPr="000548FA">
        <w:rPr>
          <w:rFonts w:eastAsia="Verdana" w:cs="Verdana"/>
          <w:color w:val="000000" w:themeColor="text1"/>
          <w:sz w:val="32"/>
          <w:szCs w:val="32"/>
        </w:rPr>
        <w:t xml:space="preserve"> </w:t>
      </w:r>
      <w:r w:rsidR="00E034E4" w:rsidRPr="000548FA">
        <w:rPr>
          <w:rFonts w:eastAsia="Verdana" w:cs="Verdana"/>
          <w:color w:val="000000" w:themeColor="text1"/>
          <w:sz w:val="32"/>
          <w:szCs w:val="32"/>
        </w:rPr>
        <w:t>noted that while New Zealand is ‘ostensibly deinstitutionalised, and disabled people are living in the community</w:t>
      </w:r>
      <w:r w:rsidR="001038CA" w:rsidRPr="000548FA">
        <w:rPr>
          <w:rFonts w:eastAsia="Verdana" w:cs="Verdana"/>
          <w:color w:val="000000" w:themeColor="text1"/>
          <w:sz w:val="32"/>
          <w:szCs w:val="32"/>
        </w:rPr>
        <w:t xml:space="preserve">’, a lack of accessible housing, limited disability supports, and the inaccessibility of community facilities </w:t>
      </w:r>
      <w:r w:rsidR="002A4673" w:rsidRPr="000548FA">
        <w:rPr>
          <w:rFonts w:eastAsia="Verdana" w:cs="Verdana"/>
          <w:color w:val="000000" w:themeColor="text1"/>
          <w:sz w:val="32"/>
          <w:szCs w:val="32"/>
        </w:rPr>
        <w:t xml:space="preserve">prevent the realisation of Article 19 of the </w:t>
      </w:r>
      <w:r w:rsidR="00555331" w:rsidRPr="000548FA">
        <w:rPr>
          <w:rFonts w:eastAsia="Verdana" w:cs="Verdana"/>
          <w:color w:val="000000" w:themeColor="text1"/>
          <w:sz w:val="32"/>
          <w:szCs w:val="32"/>
        </w:rPr>
        <w:t>UNCRPD</w:t>
      </w:r>
      <w:r w:rsidR="00174AFC" w:rsidRPr="000548FA">
        <w:rPr>
          <w:rFonts w:eastAsia="Verdana" w:cs="Verdana"/>
          <w:color w:val="000000" w:themeColor="text1"/>
          <w:sz w:val="32"/>
          <w:szCs w:val="32"/>
        </w:rPr>
        <w:t xml:space="preserve"> (Living independently and being included in the community)</w:t>
      </w:r>
      <w:r w:rsidR="00555331" w:rsidRPr="000548FA">
        <w:rPr>
          <w:rFonts w:eastAsia="Verdana" w:cs="Verdana"/>
          <w:color w:val="000000" w:themeColor="text1"/>
          <w:sz w:val="32"/>
          <w:szCs w:val="32"/>
        </w:rPr>
        <w:t>.</w:t>
      </w:r>
      <w:r w:rsidR="00710B65" w:rsidRPr="000548FA">
        <w:rPr>
          <w:rStyle w:val="FootnoteReference"/>
          <w:rFonts w:eastAsia="Verdana" w:cs="Verdana"/>
          <w:color w:val="000000" w:themeColor="text1"/>
          <w:sz w:val="32"/>
          <w:szCs w:val="32"/>
        </w:rPr>
        <w:footnoteReference w:id="40"/>
      </w:r>
      <w:r w:rsidR="000737DF" w:rsidRPr="000548FA">
        <w:rPr>
          <w:rFonts w:eastAsia="Verdana" w:cs="Verdana"/>
          <w:color w:val="000000" w:themeColor="text1"/>
          <w:sz w:val="32"/>
          <w:szCs w:val="32"/>
        </w:rPr>
        <w:t xml:space="preserve"> </w:t>
      </w:r>
      <w:r w:rsidR="00391969" w:rsidRPr="000548FA">
        <w:rPr>
          <w:rFonts w:eastAsia="Verdana" w:cs="Verdana"/>
          <w:color w:val="000000" w:themeColor="text1"/>
          <w:sz w:val="32"/>
          <w:szCs w:val="32"/>
        </w:rPr>
        <w:t xml:space="preserve">This also applies to disabled people housed in forensic services who </w:t>
      </w:r>
      <w:r w:rsidR="00EB719A" w:rsidRPr="000548FA">
        <w:rPr>
          <w:rFonts w:eastAsia="Verdana" w:cs="Verdana"/>
          <w:color w:val="000000" w:themeColor="text1"/>
          <w:sz w:val="32"/>
          <w:szCs w:val="32"/>
        </w:rPr>
        <w:t xml:space="preserve">may no longer be legally required to remain in </w:t>
      </w:r>
      <w:r w:rsidR="00664E88" w:rsidRPr="000548FA">
        <w:rPr>
          <w:rFonts w:eastAsia="Verdana" w:cs="Verdana"/>
          <w:color w:val="000000" w:themeColor="text1"/>
          <w:sz w:val="32"/>
          <w:szCs w:val="32"/>
        </w:rPr>
        <w:t>that service</w:t>
      </w:r>
      <w:r w:rsidR="00EB719A" w:rsidRPr="000548FA">
        <w:rPr>
          <w:rFonts w:eastAsia="Verdana" w:cs="Verdana"/>
          <w:color w:val="000000" w:themeColor="text1"/>
          <w:sz w:val="32"/>
          <w:szCs w:val="32"/>
        </w:rPr>
        <w:t xml:space="preserve">, but </w:t>
      </w:r>
      <w:r w:rsidR="00764404" w:rsidRPr="000548FA">
        <w:rPr>
          <w:rFonts w:eastAsia="Verdana" w:cs="Verdana"/>
          <w:color w:val="000000" w:themeColor="text1"/>
          <w:sz w:val="32"/>
          <w:szCs w:val="32"/>
        </w:rPr>
        <w:t>are continually refused housing outside of those settings.</w:t>
      </w:r>
    </w:p>
    <w:p w14:paraId="0684B461" w14:textId="326D1271" w:rsidR="2F9C3902" w:rsidRPr="000548FA" w:rsidRDefault="5E4BCB6A" w:rsidP="000548FA">
      <w:pPr>
        <w:pStyle w:val="ParaLevel1"/>
        <w:spacing w:line="360" w:lineRule="auto"/>
        <w:rPr>
          <w:sz w:val="32"/>
          <w:szCs w:val="32"/>
        </w:rPr>
      </w:pPr>
      <w:r w:rsidRPr="000548FA">
        <w:rPr>
          <w:rFonts w:eastAsia="Verdana" w:cs="Verdana"/>
          <w:color w:val="000000" w:themeColor="text1"/>
          <w:sz w:val="32"/>
          <w:szCs w:val="32"/>
        </w:rPr>
        <w:t xml:space="preserve">The </w:t>
      </w:r>
      <w:r w:rsidR="00E1085B" w:rsidRPr="000548FA">
        <w:rPr>
          <w:rFonts w:eastAsia="Verdana" w:cs="Verdana"/>
          <w:color w:val="000000" w:themeColor="text1"/>
          <w:sz w:val="32"/>
          <w:szCs w:val="32"/>
        </w:rPr>
        <w:t>Royal Commission of Inquiry into Abuse in Care (</w:t>
      </w:r>
      <w:r w:rsidRPr="000548FA">
        <w:rPr>
          <w:rFonts w:eastAsia="Verdana" w:cs="Verdana"/>
          <w:color w:val="000000" w:themeColor="text1"/>
          <w:sz w:val="32"/>
          <w:szCs w:val="32"/>
        </w:rPr>
        <w:t>R</w:t>
      </w:r>
      <w:r w:rsidR="69CE8069" w:rsidRPr="000548FA">
        <w:rPr>
          <w:rFonts w:eastAsia="Verdana" w:cs="Verdana"/>
          <w:color w:val="000000" w:themeColor="text1"/>
          <w:sz w:val="32"/>
          <w:szCs w:val="32"/>
        </w:rPr>
        <w:t>COI</w:t>
      </w:r>
      <w:r w:rsidR="00E1085B" w:rsidRPr="000548FA">
        <w:rPr>
          <w:rFonts w:eastAsia="Verdana" w:cs="Verdana"/>
          <w:color w:val="000000" w:themeColor="text1"/>
          <w:sz w:val="32"/>
          <w:szCs w:val="32"/>
        </w:rPr>
        <w:t>)</w:t>
      </w:r>
      <w:r w:rsidRPr="000548FA">
        <w:rPr>
          <w:rFonts w:eastAsia="Verdana" w:cs="Verdana"/>
          <w:color w:val="000000" w:themeColor="text1"/>
          <w:sz w:val="32"/>
          <w:szCs w:val="32"/>
        </w:rPr>
        <w:t xml:space="preserve"> made six recommendations specifically relating to minimising and ultimately eliminating institutional </w:t>
      </w:r>
      <w:r w:rsidRPr="000548FA">
        <w:rPr>
          <w:sz w:val="32"/>
          <w:szCs w:val="32"/>
        </w:rPr>
        <w:t>environments</w:t>
      </w:r>
      <w:r w:rsidRPr="000548FA">
        <w:rPr>
          <w:rFonts w:eastAsia="Verdana" w:cs="Verdana"/>
          <w:color w:val="000000" w:themeColor="text1"/>
          <w:sz w:val="32"/>
          <w:szCs w:val="32"/>
        </w:rPr>
        <w:t xml:space="preserve"> and practices. This includes a recommendation to prioritise supporting and investing in models of care that do not perpetuate the institutional </w:t>
      </w:r>
      <w:r w:rsidRPr="000548FA">
        <w:rPr>
          <w:rFonts w:eastAsia="Verdana" w:cs="Verdana"/>
          <w:color w:val="000000" w:themeColor="text1"/>
          <w:sz w:val="32"/>
          <w:szCs w:val="32"/>
        </w:rPr>
        <w:lastRenderedPageBreak/>
        <w:t>environments and practices, including segregation, that led to historic abuse and neglect in care.</w:t>
      </w:r>
      <w:r w:rsidR="2F9C3902" w:rsidRPr="000548FA">
        <w:rPr>
          <w:rStyle w:val="FootnoteReference"/>
          <w:rFonts w:eastAsia="Verdana" w:cs="Verdana"/>
          <w:color w:val="000000" w:themeColor="text1"/>
          <w:sz w:val="32"/>
          <w:szCs w:val="32"/>
          <w:lang w:val="en-NZ"/>
        </w:rPr>
        <w:footnoteReference w:id="41"/>
      </w:r>
    </w:p>
    <w:p w14:paraId="69D008BA" w14:textId="77777777" w:rsidR="00E1085B" w:rsidRPr="000548FA" w:rsidRDefault="00E1085B"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The 2024 Independent Review of DSS noted the number of people in residential care has not grown, despite population growth.</w:t>
      </w:r>
      <w:r w:rsidRPr="000548FA">
        <w:rPr>
          <w:rStyle w:val="FootnoteReference"/>
          <w:rFonts w:eastAsia="Verdana" w:cs="Verdana"/>
          <w:color w:val="000000" w:themeColor="text1"/>
          <w:sz w:val="32"/>
          <w:szCs w:val="32"/>
          <w:lang w:val="en-NZ"/>
        </w:rPr>
        <w:footnoteReference w:id="42"/>
      </w:r>
      <w:r w:rsidRPr="000548FA">
        <w:rPr>
          <w:rFonts w:eastAsia="Verdana" w:cs="Verdana"/>
          <w:color w:val="000000" w:themeColor="text1"/>
          <w:sz w:val="32"/>
          <w:szCs w:val="32"/>
        </w:rPr>
        <w:t xml:space="preserve"> Despite this, the Review found that the costs of residential care have been increasing year-on-year at a rate faster than inflation.</w:t>
      </w:r>
      <w:r w:rsidRPr="000548FA">
        <w:rPr>
          <w:rStyle w:val="FootnoteReference"/>
          <w:rFonts w:eastAsia="Verdana" w:cs="Verdana"/>
          <w:color w:val="000000" w:themeColor="text1"/>
          <w:sz w:val="32"/>
          <w:szCs w:val="32"/>
          <w:lang w:val="en-NZ"/>
        </w:rPr>
        <w:footnoteReference w:id="43"/>
      </w:r>
      <w:r w:rsidRPr="000548FA">
        <w:rPr>
          <w:rFonts w:eastAsia="Verdana" w:cs="Verdana"/>
          <w:color w:val="000000" w:themeColor="text1"/>
          <w:sz w:val="32"/>
          <w:szCs w:val="32"/>
        </w:rPr>
        <w:t xml:space="preserve"> </w:t>
      </w:r>
    </w:p>
    <w:p w14:paraId="56AE8143" w14:textId="32325150" w:rsidR="000E6C9B" w:rsidRPr="000548FA" w:rsidRDefault="000E6C9B"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 xml:space="preserve">The Government agreed to consider UN Committee recommendation </w:t>
      </w:r>
      <w:r w:rsidR="005100DC" w:rsidRPr="000548FA">
        <w:rPr>
          <w:rFonts w:eastAsia="Verdana" w:cs="Verdana"/>
          <w:color w:val="000000" w:themeColor="text1"/>
          <w:sz w:val="32"/>
          <w:szCs w:val="32"/>
        </w:rPr>
        <w:t xml:space="preserve">CO 40(c) </w:t>
      </w:r>
      <w:r w:rsidRPr="000548FA">
        <w:rPr>
          <w:rFonts w:eastAsia="Verdana" w:cs="Verdana"/>
          <w:color w:val="000000" w:themeColor="text1"/>
          <w:sz w:val="32"/>
          <w:szCs w:val="32"/>
        </w:rPr>
        <w:t>to develop measures to remove barriers for persons with disabilities to choose where and with whom they live, including by committing to increase the supply of affordable and accessible housing [SOU-24-MIN-0155 refers].</w:t>
      </w:r>
    </w:p>
    <w:p w14:paraId="3CEAA96D" w14:textId="7B78521E" w:rsidR="000A3B1C" w:rsidRPr="000548FA" w:rsidRDefault="00E1085B"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 xml:space="preserve">To the extent that there are people in residential care due a lack of suitable alternative accommodation, increasing affordable and accessible housing options could reduce the pressure on residential care, reduce the risk of disabled people being abused, and help to realise </w:t>
      </w:r>
      <w:r w:rsidRPr="000548FA">
        <w:rPr>
          <w:rFonts w:eastAsia="Verdana" w:cs="Verdana"/>
          <w:color w:val="000000" w:themeColor="text1"/>
          <w:sz w:val="32"/>
          <w:szCs w:val="32"/>
        </w:rPr>
        <w:lastRenderedPageBreak/>
        <w:t>both the recommendations of the UN Committee and the RCOI.</w:t>
      </w:r>
    </w:p>
    <w:p w14:paraId="4E528AC1" w14:textId="6DC4212C" w:rsidR="3CB6D567" w:rsidRPr="000548FA" w:rsidRDefault="6B5DEB6C" w:rsidP="000548FA">
      <w:pPr>
        <w:pStyle w:val="Heading2"/>
        <w:spacing w:line="360" w:lineRule="auto"/>
        <w:rPr>
          <w:sz w:val="36"/>
          <w:szCs w:val="36"/>
        </w:rPr>
      </w:pPr>
      <w:r w:rsidRPr="000548FA">
        <w:rPr>
          <w:sz w:val="36"/>
          <w:szCs w:val="36"/>
        </w:rPr>
        <w:t>Key Issues</w:t>
      </w:r>
    </w:p>
    <w:p w14:paraId="30687237" w14:textId="6158851F" w:rsidR="0859BABD" w:rsidRPr="000548FA" w:rsidRDefault="3984365E" w:rsidP="000548FA">
      <w:pPr>
        <w:pStyle w:val="ParaLevel1"/>
        <w:numPr>
          <w:ilvl w:val="0"/>
          <w:numId w:val="0"/>
        </w:numPr>
        <w:spacing w:line="360" w:lineRule="auto"/>
        <w:rPr>
          <w:b/>
          <w:bCs/>
          <w:sz w:val="32"/>
          <w:szCs w:val="32"/>
        </w:rPr>
      </w:pPr>
      <w:r w:rsidRPr="000548FA">
        <w:rPr>
          <w:b/>
          <w:bCs/>
          <w:sz w:val="32"/>
          <w:szCs w:val="32"/>
        </w:rPr>
        <w:t xml:space="preserve">Disabled </w:t>
      </w:r>
      <w:r w:rsidR="00FF1543" w:rsidRPr="000548FA">
        <w:rPr>
          <w:b/>
          <w:bCs/>
          <w:sz w:val="32"/>
          <w:szCs w:val="32"/>
        </w:rPr>
        <w:t xml:space="preserve">people </w:t>
      </w:r>
      <w:r w:rsidRPr="000548FA">
        <w:rPr>
          <w:b/>
          <w:bCs/>
          <w:sz w:val="32"/>
          <w:szCs w:val="32"/>
        </w:rPr>
        <w:t>experience barriers to living in accessible and appropriate housing</w:t>
      </w:r>
    </w:p>
    <w:p w14:paraId="1657871D" w14:textId="74C67CBF" w:rsidR="00CD605B" w:rsidRPr="000548FA" w:rsidRDefault="00CD605B" w:rsidP="000548FA">
      <w:pPr>
        <w:pStyle w:val="Heading4"/>
        <w:spacing w:line="360" w:lineRule="auto"/>
        <w:rPr>
          <w:iCs w:val="0"/>
          <w:sz w:val="32"/>
          <w:szCs w:val="32"/>
        </w:rPr>
      </w:pPr>
      <w:r w:rsidRPr="000548FA">
        <w:rPr>
          <w:iCs w:val="0"/>
          <w:sz w:val="32"/>
          <w:szCs w:val="32"/>
        </w:rPr>
        <w:t>Accessibility issues for homes in the private market</w:t>
      </w:r>
    </w:p>
    <w:p w14:paraId="3294A8F3" w14:textId="7A769D7A" w:rsidR="0859BABD" w:rsidRPr="000548FA" w:rsidRDefault="454EB820" w:rsidP="000548FA">
      <w:pPr>
        <w:pStyle w:val="ParaLevel1"/>
        <w:numPr>
          <w:ilvl w:val="0"/>
          <w:numId w:val="0"/>
        </w:numPr>
        <w:spacing w:line="360" w:lineRule="auto"/>
        <w:ind w:left="720"/>
        <w:rPr>
          <w:rFonts w:eastAsia="Verdana" w:cs="Verdana"/>
          <w:sz w:val="32"/>
          <w:szCs w:val="32"/>
        </w:rPr>
      </w:pPr>
      <w:r w:rsidRPr="000548FA">
        <w:rPr>
          <w:sz w:val="32"/>
          <w:szCs w:val="32"/>
        </w:rPr>
        <w:t>“</w:t>
      </w:r>
      <w:r w:rsidRPr="000548FA">
        <w:rPr>
          <w:rFonts w:eastAsia="Verdana" w:cs="Verdana"/>
          <w:sz w:val="32"/>
          <w:szCs w:val="32"/>
        </w:rPr>
        <w:t>[Disabled people] shouldn’t have 80% of the housing market knocked out of their options because the house isn’t accessible.”</w:t>
      </w:r>
      <w:r w:rsidR="0859BABD" w:rsidRPr="000548FA">
        <w:rPr>
          <w:rStyle w:val="FootnoteReference"/>
          <w:rFonts w:eastAsia="Verdana" w:cs="Verdana"/>
          <w:sz w:val="32"/>
          <w:szCs w:val="32"/>
          <w:lang w:val="en-NZ"/>
        </w:rPr>
        <w:footnoteReference w:id="44"/>
      </w:r>
    </w:p>
    <w:p w14:paraId="79F72E82" w14:textId="26F902AB" w:rsidR="0859BABD" w:rsidRPr="000548FA" w:rsidRDefault="2C6C16B0" w:rsidP="000548FA">
      <w:pPr>
        <w:pStyle w:val="ParaLevel1"/>
        <w:spacing w:line="360" w:lineRule="auto"/>
        <w:rPr>
          <w:sz w:val="32"/>
          <w:szCs w:val="32"/>
        </w:rPr>
      </w:pPr>
      <w:r w:rsidRPr="000548FA">
        <w:rPr>
          <w:sz w:val="32"/>
          <w:szCs w:val="32"/>
        </w:rPr>
        <w:t xml:space="preserve">Many disabled people </w:t>
      </w:r>
      <w:r w:rsidR="066E4B40" w:rsidRPr="000548FA">
        <w:rPr>
          <w:sz w:val="32"/>
          <w:szCs w:val="32"/>
        </w:rPr>
        <w:t>have accessibility needs that affect the type of housing they can live in.</w:t>
      </w:r>
      <w:r w:rsidR="21E90CC2" w:rsidRPr="000548FA">
        <w:rPr>
          <w:sz w:val="32"/>
          <w:szCs w:val="32"/>
        </w:rPr>
        <w:t xml:space="preserve"> New Zealand also has a</w:t>
      </w:r>
      <w:r w:rsidR="005451CE" w:rsidRPr="000548FA">
        <w:rPr>
          <w:sz w:val="32"/>
          <w:szCs w:val="32"/>
        </w:rPr>
        <w:t xml:space="preserve">n </w:t>
      </w:r>
      <w:r w:rsidR="21E90CC2" w:rsidRPr="000548FA">
        <w:rPr>
          <w:sz w:val="32"/>
          <w:szCs w:val="32"/>
        </w:rPr>
        <w:t xml:space="preserve">aging population </w:t>
      </w:r>
      <w:r w:rsidR="7076DCFC" w:rsidRPr="000548FA">
        <w:rPr>
          <w:sz w:val="32"/>
          <w:szCs w:val="32"/>
        </w:rPr>
        <w:t>with a range of age-related accessibility needs.</w:t>
      </w:r>
      <w:r w:rsidR="007B760F" w:rsidRPr="000548FA">
        <w:rPr>
          <w:sz w:val="32"/>
          <w:szCs w:val="32"/>
        </w:rPr>
        <w:t xml:space="preserve"> Considering the number of people who are disabled, aging, pregnant, have temporary impairments or injuries, </w:t>
      </w:r>
      <w:r w:rsidR="00EC6B95" w:rsidRPr="000548FA">
        <w:rPr>
          <w:sz w:val="32"/>
          <w:szCs w:val="32"/>
        </w:rPr>
        <w:t xml:space="preserve">or are young children, </w:t>
      </w:r>
      <w:r w:rsidR="002427DC" w:rsidRPr="000548FA">
        <w:rPr>
          <w:sz w:val="32"/>
          <w:szCs w:val="32"/>
        </w:rPr>
        <w:t xml:space="preserve">a significant proportion </w:t>
      </w:r>
      <w:r w:rsidR="00EC6B95" w:rsidRPr="000548FA">
        <w:rPr>
          <w:sz w:val="32"/>
          <w:szCs w:val="32"/>
        </w:rPr>
        <w:t>of the New Zealand population w</w:t>
      </w:r>
      <w:r w:rsidR="002427DC" w:rsidRPr="000548FA">
        <w:rPr>
          <w:sz w:val="32"/>
          <w:szCs w:val="32"/>
        </w:rPr>
        <w:t>ould</w:t>
      </w:r>
      <w:r w:rsidR="00EC6B95" w:rsidRPr="000548FA">
        <w:rPr>
          <w:sz w:val="32"/>
          <w:szCs w:val="32"/>
        </w:rPr>
        <w:t xml:space="preserve"> benefit from greater accessibility in housing.</w:t>
      </w:r>
    </w:p>
    <w:p w14:paraId="5DD53E22" w14:textId="7EEB9A54" w:rsidR="0859BABD" w:rsidRPr="000548FA" w:rsidRDefault="00E564DF" w:rsidP="000548FA">
      <w:pPr>
        <w:pStyle w:val="ParaLevel1"/>
        <w:spacing w:line="360" w:lineRule="auto"/>
        <w:rPr>
          <w:sz w:val="32"/>
          <w:szCs w:val="32"/>
        </w:rPr>
      </w:pPr>
      <w:r w:rsidRPr="000548FA">
        <w:rPr>
          <w:sz w:val="32"/>
          <w:szCs w:val="32"/>
        </w:rPr>
        <w:t xml:space="preserve">Demand for accessible housing </w:t>
      </w:r>
      <w:r w:rsidR="00895A4E" w:rsidRPr="000548FA">
        <w:rPr>
          <w:sz w:val="32"/>
          <w:szCs w:val="32"/>
        </w:rPr>
        <w:t xml:space="preserve">continues to </w:t>
      </w:r>
      <w:r w:rsidR="00215E1E" w:rsidRPr="000548FA">
        <w:rPr>
          <w:sz w:val="32"/>
          <w:szCs w:val="32"/>
        </w:rPr>
        <w:t>outstrip supply</w:t>
      </w:r>
      <w:r w:rsidR="00C908E5" w:rsidRPr="000548FA">
        <w:rPr>
          <w:sz w:val="32"/>
          <w:szCs w:val="32"/>
        </w:rPr>
        <w:t xml:space="preserve">, with the </w:t>
      </w:r>
      <w:r w:rsidR="00574DE0" w:rsidRPr="000548FA">
        <w:rPr>
          <w:sz w:val="32"/>
          <w:szCs w:val="32"/>
        </w:rPr>
        <w:t xml:space="preserve">market not </w:t>
      </w:r>
      <w:r w:rsidR="002972C0" w:rsidRPr="000548FA">
        <w:rPr>
          <w:sz w:val="32"/>
          <w:szCs w:val="32"/>
        </w:rPr>
        <w:t xml:space="preserve">having </w:t>
      </w:r>
      <w:r w:rsidR="00574DE0" w:rsidRPr="000548FA">
        <w:rPr>
          <w:sz w:val="32"/>
          <w:szCs w:val="32"/>
        </w:rPr>
        <w:t xml:space="preserve">delivered </w:t>
      </w:r>
      <w:r w:rsidR="002972C0" w:rsidRPr="000548FA">
        <w:rPr>
          <w:sz w:val="32"/>
          <w:szCs w:val="32"/>
        </w:rPr>
        <w:t>viable solutions to meet</w:t>
      </w:r>
      <w:r w:rsidR="002115D5" w:rsidRPr="000548FA">
        <w:rPr>
          <w:sz w:val="32"/>
          <w:szCs w:val="32"/>
        </w:rPr>
        <w:t xml:space="preserve"> ongoing demand. </w:t>
      </w:r>
      <w:r w:rsidR="069032B4" w:rsidRPr="000548FA">
        <w:rPr>
          <w:sz w:val="32"/>
          <w:szCs w:val="32"/>
        </w:rPr>
        <w:t xml:space="preserve">Findings from 2007 </w:t>
      </w:r>
      <w:r w:rsidR="069032B4" w:rsidRPr="000548FA">
        <w:rPr>
          <w:sz w:val="32"/>
          <w:szCs w:val="32"/>
        </w:rPr>
        <w:lastRenderedPageBreak/>
        <w:t>note</w:t>
      </w:r>
      <w:r w:rsidR="002972C0" w:rsidRPr="000548FA">
        <w:rPr>
          <w:sz w:val="32"/>
          <w:szCs w:val="32"/>
        </w:rPr>
        <w:t>d</w:t>
      </w:r>
      <w:r w:rsidR="069032B4" w:rsidRPr="000548FA">
        <w:rPr>
          <w:sz w:val="32"/>
          <w:szCs w:val="32"/>
        </w:rPr>
        <w:t xml:space="preserve"> considerable unmet need for quality accessible housing in New Zealand, </w:t>
      </w:r>
      <w:r w:rsidR="008C30FA" w:rsidRPr="000548FA">
        <w:rPr>
          <w:sz w:val="32"/>
          <w:szCs w:val="32"/>
        </w:rPr>
        <w:t>reflecting</w:t>
      </w:r>
      <w:r w:rsidR="069032B4" w:rsidRPr="000548FA">
        <w:rPr>
          <w:sz w:val="32"/>
          <w:szCs w:val="32"/>
        </w:rPr>
        <w:t xml:space="preserve"> reports made today.</w:t>
      </w:r>
      <w:r w:rsidR="0859BABD" w:rsidRPr="000548FA">
        <w:rPr>
          <w:rStyle w:val="FootnoteReference"/>
          <w:sz w:val="32"/>
          <w:szCs w:val="32"/>
          <w:lang w:val="en-NZ"/>
        </w:rPr>
        <w:footnoteReference w:id="45"/>
      </w:r>
      <w:r w:rsidR="152311D1" w:rsidRPr="000548FA">
        <w:rPr>
          <w:sz w:val="32"/>
          <w:szCs w:val="32"/>
        </w:rPr>
        <w:t xml:space="preserve"> </w:t>
      </w:r>
      <w:r w:rsidR="000A14E9" w:rsidRPr="000548FA">
        <w:rPr>
          <w:sz w:val="32"/>
          <w:szCs w:val="32"/>
        </w:rPr>
        <w:t>G</w:t>
      </w:r>
      <w:r w:rsidR="00900EE1" w:rsidRPr="000548FA">
        <w:rPr>
          <w:sz w:val="32"/>
          <w:szCs w:val="32"/>
        </w:rPr>
        <w:t xml:space="preserve">iven this problem, </w:t>
      </w:r>
      <w:r w:rsidR="005451CE" w:rsidRPr="000548FA">
        <w:rPr>
          <w:sz w:val="32"/>
          <w:szCs w:val="32"/>
        </w:rPr>
        <w:t>the G</w:t>
      </w:r>
      <w:r w:rsidR="00900EE1" w:rsidRPr="000548FA">
        <w:rPr>
          <w:sz w:val="32"/>
          <w:szCs w:val="32"/>
        </w:rPr>
        <w:t xml:space="preserve">overnment needs to </w:t>
      </w:r>
      <w:r w:rsidR="00CC6C35" w:rsidRPr="000548FA">
        <w:rPr>
          <w:sz w:val="32"/>
          <w:szCs w:val="32"/>
        </w:rPr>
        <w:t xml:space="preserve">consider </w:t>
      </w:r>
      <w:r w:rsidR="007C12E4" w:rsidRPr="000548FA">
        <w:rPr>
          <w:sz w:val="32"/>
          <w:szCs w:val="32"/>
        </w:rPr>
        <w:t>appropriate interventions to increase the supply of affordable accessible housing.</w:t>
      </w:r>
    </w:p>
    <w:p w14:paraId="3113899E" w14:textId="6870677C" w:rsidR="00FC4233" w:rsidRPr="000548FA" w:rsidRDefault="002172DD" w:rsidP="000548FA">
      <w:pPr>
        <w:pStyle w:val="ParaLevel1"/>
        <w:spacing w:line="360" w:lineRule="auto"/>
        <w:rPr>
          <w:sz w:val="32"/>
          <w:szCs w:val="32"/>
        </w:rPr>
      </w:pPr>
      <w:r w:rsidRPr="000548FA">
        <w:rPr>
          <w:sz w:val="32"/>
          <w:szCs w:val="32"/>
        </w:rPr>
        <w:t>There is a</w:t>
      </w:r>
      <w:r w:rsidR="002E7647" w:rsidRPr="000548FA">
        <w:rPr>
          <w:sz w:val="32"/>
          <w:szCs w:val="32"/>
        </w:rPr>
        <w:t xml:space="preserve"> strong social investment case </w:t>
      </w:r>
      <w:r w:rsidR="00987F56" w:rsidRPr="000548FA">
        <w:rPr>
          <w:sz w:val="32"/>
          <w:szCs w:val="32"/>
        </w:rPr>
        <w:t>for</w:t>
      </w:r>
      <w:r w:rsidR="007B2005" w:rsidRPr="000548FA">
        <w:rPr>
          <w:sz w:val="32"/>
          <w:szCs w:val="32"/>
        </w:rPr>
        <w:t xml:space="preserve"> </w:t>
      </w:r>
      <w:r w:rsidR="000357C7" w:rsidRPr="000548FA">
        <w:rPr>
          <w:sz w:val="32"/>
          <w:szCs w:val="32"/>
        </w:rPr>
        <w:t>interventions to increase</w:t>
      </w:r>
      <w:r w:rsidR="007B2005" w:rsidRPr="000548FA">
        <w:rPr>
          <w:sz w:val="32"/>
          <w:szCs w:val="32"/>
        </w:rPr>
        <w:t xml:space="preserve"> the supply of accessible housing. </w:t>
      </w:r>
      <w:r w:rsidR="005451CE" w:rsidRPr="000548FA">
        <w:rPr>
          <w:sz w:val="32"/>
          <w:szCs w:val="32"/>
        </w:rPr>
        <w:t>Housing that is</w:t>
      </w:r>
      <w:r w:rsidR="00EA617E" w:rsidRPr="000548FA">
        <w:rPr>
          <w:sz w:val="32"/>
          <w:szCs w:val="32"/>
        </w:rPr>
        <w:t xml:space="preserve"> designed to accommodate changes in ability over a person’s lifespan</w:t>
      </w:r>
      <w:r w:rsidR="008B56D5" w:rsidRPr="000548FA">
        <w:rPr>
          <w:sz w:val="32"/>
          <w:szCs w:val="32"/>
        </w:rPr>
        <w:t xml:space="preserve"> reduces in-home support costs; reduces the costs of home modifications; </w:t>
      </w:r>
      <w:r w:rsidR="00801C13" w:rsidRPr="000548FA">
        <w:rPr>
          <w:sz w:val="32"/>
          <w:szCs w:val="32"/>
        </w:rPr>
        <w:t>increases safety and reduces the costs associated with injury; and reduces the likel</w:t>
      </w:r>
      <w:r w:rsidR="00885DD7" w:rsidRPr="000548FA">
        <w:rPr>
          <w:sz w:val="32"/>
          <w:szCs w:val="32"/>
        </w:rPr>
        <w:t>ihood of requiring residential care.</w:t>
      </w:r>
      <w:r w:rsidR="00F40D48" w:rsidRPr="000548FA">
        <w:rPr>
          <w:rStyle w:val="FootnoteReference"/>
          <w:sz w:val="32"/>
          <w:szCs w:val="32"/>
          <w:lang w:val="en-NZ"/>
        </w:rPr>
        <w:footnoteReference w:id="46"/>
      </w:r>
      <w:r w:rsidR="00BB5029" w:rsidRPr="000548FA">
        <w:rPr>
          <w:sz w:val="32"/>
          <w:szCs w:val="32"/>
        </w:rPr>
        <w:t xml:space="preserve"> </w:t>
      </w:r>
      <w:r w:rsidR="005451CE" w:rsidRPr="000548FA">
        <w:rPr>
          <w:sz w:val="32"/>
          <w:szCs w:val="32"/>
        </w:rPr>
        <w:t xml:space="preserve">Research </w:t>
      </w:r>
      <w:r w:rsidR="00C10B64" w:rsidRPr="000548FA">
        <w:rPr>
          <w:sz w:val="32"/>
          <w:szCs w:val="32"/>
        </w:rPr>
        <w:t>also show</w:t>
      </w:r>
      <w:r w:rsidR="005451CE" w:rsidRPr="000548FA">
        <w:rPr>
          <w:sz w:val="32"/>
          <w:szCs w:val="32"/>
        </w:rPr>
        <w:t>s</w:t>
      </w:r>
      <w:r w:rsidR="00C10B64" w:rsidRPr="000548FA">
        <w:rPr>
          <w:sz w:val="32"/>
          <w:szCs w:val="32"/>
        </w:rPr>
        <w:t xml:space="preserve"> that the costs of </w:t>
      </w:r>
      <w:r w:rsidR="00085C09" w:rsidRPr="000548FA">
        <w:rPr>
          <w:sz w:val="32"/>
          <w:szCs w:val="32"/>
        </w:rPr>
        <w:t>accessibility</w:t>
      </w:r>
      <w:r w:rsidR="00A95BD3" w:rsidRPr="000548FA">
        <w:rPr>
          <w:sz w:val="32"/>
          <w:szCs w:val="32"/>
        </w:rPr>
        <w:t xml:space="preserve"> are often overestimated, </w:t>
      </w:r>
      <w:r w:rsidR="00085C09" w:rsidRPr="000548FA">
        <w:rPr>
          <w:sz w:val="32"/>
          <w:szCs w:val="32"/>
        </w:rPr>
        <w:t>with</w:t>
      </w:r>
      <w:r w:rsidR="00A95BD3" w:rsidRPr="000548FA">
        <w:rPr>
          <w:sz w:val="32"/>
          <w:szCs w:val="32"/>
        </w:rPr>
        <w:t xml:space="preserve"> </w:t>
      </w:r>
      <w:r w:rsidR="00D46D44" w:rsidRPr="000548FA">
        <w:rPr>
          <w:sz w:val="32"/>
          <w:szCs w:val="32"/>
        </w:rPr>
        <w:t>designing for accessibility</w:t>
      </w:r>
      <w:r w:rsidR="00FC1158" w:rsidRPr="000548FA">
        <w:rPr>
          <w:sz w:val="32"/>
          <w:szCs w:val="32"/>
        </w:rPr>
        <w:t xml:space="preserve"> </w:t>
      </w:r>
      <w:r w:rsidR="005451CE" w:rsidRPr="000548FA">
        <w:rPr>
          <w:sz w:val="32"/>
          <w:szCs w:val="32"/>
        </w:rPr>
        <w:t xml:space="preserve">at the start </w:t>
      </w:r>
      <w:r w:rsidR="002427DC" w:rsidRPr="000548FA">
        <w:rPr>
          <w:sz w:val="32"/>
          <w:szCs w:val="32"/>
        </w:rPr>
        <w:t xml:space="preserve">of the design and building process </w:t>
      </w:r>
      <w:r w:rsidR="00B5110D" w:rsidRPr="000548FA">
        <w:rPr>
          <w:sz w:val="32"/>
          <w:szCs w:val="32"/>
        </w:rPr>
        <w:t>cost</w:t>
      </w:r>
      <w:r w:rsidR="00085C09" w:rsidRPr="000548FA">
        <w:rPr>
          <w:sz w:val="32"/>
          <w:szCs w:val="32"/>
        </w:rPr>
        <w:t>ing</w:t>
      </w:r>
      <w:r w:rsidR="00B5110D" w:rsidRPr="000548FA">
        <w:rPr>
          <w:sz w:val="32"/>
          <w:szCs w:val="32"/>
        </w:rPr>
        <w:t xml:space="preserve"> </w:t>
      </w:r>
      <w:r w:rsidR="00D46D44" w:rsidRPr="000548FA">
        <w:rPr>
          <w:sz w:val="32"/>
          <w:szCs w:val="32"/>
        </w:rPr>
        <w:t>less than retrofitting</w:t>
      </w:r>
      <w:r w:rsidR="00B5110D" w:rsidRPr="000548FA">
        <w:rPr>
          <w:sz w:val="32"/>
          <w:szCs w:val="32"/>
        </w:rPr>
        <w:t>.</w:t>
      </w:r>
      <w:r w:rsidR="00B5110D" w:rsidRPr="000548FA">
        <w:rPr>
          <w:rStyle w:val="FootnoteReference"/>
          <w:sz w:val="32"/>
          <w:szCs w:val="32"/>
          <w:lang w:val="en-NZ"/>
        </w:rPr>
        <w:footnoteReference w:id="47"/>
      </w:r>
    </w:p>
    <w:p w14:paraId="38B07C30" w14:textId="19CB8E01" w:rsidR="00D42C17" w:rsidRPr="000548FA" w:rsidRDefault="001123E8" w:rsidP="000548FA">
      <w:pPr>
        <w:pStyle w:val="ParaLevel1"/>
        <w:spacing w:line="360" w:lineRule="auto"/>
        <w:rPr>
          <w:rFonts w:eastAsia="Verdana"/>
          <w:sz w:val="32"/>
          <w:szCs w:val="32"/>
        </w:rPr>
      </w:pPr>
      <w:r w:rsidRPr="000548FA">
        <w:rPr>
          <w:rFonts w:eastAsia="Verdana" w:cs="Verdana"/>
          <w:color w:val="000000" w:themeColor="text1"/>
          <w:sz w:val="32"/>
          <w:szCs w:val="32"/>
        </w:rPr>
        <w:t>Disabled people have consistently expressed</w:t>
      </w:r>
      <w:r w:rsidR="00CC06FD" w:rsidRPr="000548FA">
        <w:rPr>
          <w:rFonts w:eastAsia="Verdana" w:cs="Verdana"/>
          <w:color w:val="000000" w:themeColor="text1"/>
          <w:sz w:val="32"/>
          <w:szCs w:val="32"/>
        </w:rPr>
        <w:t xml:space="preserve"> a desire for more quality accessible housing, with accessibility being one of the outcomes of the </w:t>
      </w:r>
      <w:r w:rsidR="00670364" w:rsidRPr="000548FA">
        <w:rPr>
          <w:rFonts w:eastAsia="Verdana" w:cs="Verdana"/>
          <w:color w:val="000000" w:themeColor="text1"/>
          <w:sz w:val="32"/>
          <w:szCs w:val="32"/>
        </w:rPr>
        <w:t xml:space="preserve">2016-2026 Disability </w:t>
      </w:r>
      <w:r w:rsidR="00670364" w:rsidRPr="000548FA">
        <w:rPr>
          <w:rFonts w:eastAsia="Verdana" w:cs="Verdana"/>
          <w:color w:val="000000" w:themeColor="text1"/>
          <w:sz w:val="32"/>
          <w:szCs w:val="32"/>
        </w:rPr>
        <w:lastRenderedPageBreak/>
        <w:t xml:space="preserve">Strategy. </w:t>
      </w:r>
      <w:r w:rsidR="00D42C17" w:rsidRPr="000548FA">
        <w:rPr>
          <w:rFonts w:eastAsia="Verdana" w:cs="Verdana"/>
          <w:color w:val="000000" w:themeColor="text1"/>
          <w:sz w:val="32"/>
          <w:szCs w:val="32"/>
        </w:rPr>
        <w:t xml:space="preserve">The Atoatoali’o National Pacific Disability </w:t>
      </w:r>
      <w:r w:rsidR="24683756" w:rsidRPr="000548FA">
        <w:rPr>
          <w:rFonts w:eastAsia="Verdana" w:cs="Verdana"/>
          <w:color w:val="000000" w:themeColor="text1"/>
          <w:sz w:val="32"/>
          <w:szCs w:val="32"/>
        </w:rPr>
        <w:t>Approach</w:t>
      </w:r>
      <w:r w:rsidR="00D42C17" w:rsidRPr="000548FA">
        <w:rPr>
          <w:rFonts w:eastAsia="Verdana" w:cs="Verdana"/>
          <w:color w:val="000000" w:themeColor="text1"/>
          <w:sz w:val="32"/>
          <w:szCs w:val="32"/>
        </w:rPr>
        <w:t xml:space="preserve"> </w:t>
      </w:r>
      <w:r w:rsidR="00FC1158" w:rsidRPr="000548FA">
        <w:rPr>
          <w:rFonts w:eastAsia="Verdana" w:cs="Verdana"/>
          <w:color w:val="000000" w:themeColor="text1"/>
          <w:sz w:val="32"/>
          <w:szCs w:val="32"/>
        </w:rPr>
        <w:t xml:space="preserve">also </w:t>
      </w:r>
      <w:r w:rsidR="00D42C17" w:rsidRPr="000548FA">
        <w:rPr>
          <w:rFonts w:eastAsia="Verdana" w:cs="Verdana"/>
          <w:color w:val="000000" w:themeColor="text1"/>
          <w:sz w:val="32"/>
          <w:szCs w:val="32"/>
        </w:rPr>
        <w:t xml:space="preserve">notes that the Pacific disability community </w:t>
      </w:r>
      <w:r w:rsidR="00FC1158" w:rsidRPr="000548FA">
        <w:rPr>
          <w:rFonts w:eastAsia="Verdana" w:cs="Verdana"/>
          <w:color w:val="000000" w:themeColor="text1"/>
          <w:sz w:val="32"/>
          <w:szCs w:val="32"/>
        </w:rPr>
        <w:t>wish</w:t>
      </w:r>
      <w:r w:rsidR="002427DC" w:rsidRPr="000548FA">
        <w:rPr>
          <w:rFonts w:eastAsia="Verdana" w:cs="Verdana"/>
          <w:color w:val="000000" w:themeColor="text1"/>
          <w:sz w:val="32"/>
          <w:szCs w:val="32"/>
        </w:rPr>
        <w:t>es</w:t>
      </w:r>
      <w:r w:rsidR="00D42C17" w:rsidRPr="000548FA">
        <w:rPr>
          <w:rFonts w:eastAsia="Verdana" w:cs="Verdana"/>
          <w:color w:val="000000" w:themeColor="text1"/>
          <w:sz w:val="32"/>
          <w:szCs w:val="32"/>
        </w:rPr>
        <w:t xml:space="preserve"> to see actions which promote accessible, affordable housing.</w:t>
      </w:r>
      <w:r w:rsidRPr="000548FA">
        <w:rPr>
          <w:rStyle w:val="FootnoteReference"/>
          <w:rFonts w:eastAsia="Verdana" w:cs="Verdana"/>
          <w:color w:val="000000" w:themeColor="text1"/>
          <w:sz w:val="32"/>
          <w:szCs w:val="32"/>
        </w:rPr>
        <w:footnoteReference w:id="48"/>
      </w:r>
    </w:p>
    <w:p w14:paraId="35891D7B" w14:textId="751A8D9C" w:rsidR="000F71BB" w:rsidRPr="000548FA" w:rsidRDefault="009818BB"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Access</w:t>
      </w:r>
      <w:r w:rsidR="008D2774" w:rsidRPr="000548FA">
        <w:rPr>
          <w:rFonts w:eastAsia="Verdana" w:cs="Verdana"/>
          <w:color w:val="000000" w:themeColor="text1"/>
          <w:sz w:val="32"/>
          <w:szCs w:val="32"/>
        </w:rPr>
        <w:t xml:space="preserve"> to the community can be </w:t>
      </w:r>
      <w:r w:rsidRPr="000548FA">
        <w:rPr>
          <w:rFonts w:eastAsia="Verdana" w:cs="Verdana"/>
          <w:color w:val="000000" w:themeColor="text1"/>
          <w:sz w:val="32"/>
          <w:szCs w:val="32"/>
        </w:rPr>
        <w:t>equally</w:t>
      </w:r>
      <w:r w:rsidR="00FC1158" w:rsidRPr="000548FA">
        <w:rPr>
          <w:rFonts w:eastAsia="Verdana" w:cs="Verdana"/>
          <w:color w:val="000000" w:themeColor="text1"/>
          <w:sz w:val="32"/>
          <w:szCs w:val="32"/>
        </w:rPr>
        <w:t xml:space="preserve"> </w:t>
      </w:r>
      <w:r w:rsidR="008D2774" w:rsidRPr="000548FA">
        <w:rPr>
          <w:rFonts w:eastAsia="Verdana" w:cs="Verdana"/>
          <w:color w:val="000000" w:themeColor="text1"/>
          <w:sz w:val="32"/>
          <w:szCs w:val="32"/>
        </w:rPr>
        <w:t xml:space="preserve">important as </w:t>
      </w:r>
      <w:r w:rsidR="00FC1158" w:rsidRPr="000548FA">
        <w:rPr>
          <w:rFonts w:eastAsia="Verdana" w:cs="Verdana"/>
          <w:color w:val="000000" w:themeColor="text1"/>
          <w:sz w:val="32"/>
          <w:szCs w:val="32"/>
        </w:rPr>
        <w:t xml:space="preserve">the accessibility of </w:t>
      </w:r>
      <w:r w:rsidR="008D2774" w:rsidRPr="000548FA">
        <w:rPr>
          <w:rFonts w:eastAsia="Verdana" w:cs="Verdana"/>
          <w:color w:val="000000" w:themeColor="text1"/>
          <w:sz w:val="32"/>
          <w:szCs w:val="32"/>
        </w:rPr>
        <w:t>home</w:t>
      </w:r>
      <w:r w:rsidR="008E49B0" w:rsidRPr="000548FA">
        <w:rPr>
          <w:rFonts w:eastAsia="Verdana" w:cs="Verdana"/>
          <w:color w:val="000000" w:themeColor="text1"/>
          <w:sz w:val="32"/>
          <w:szCs w:val="32"/>
        </w:rPr>
        <w:t>s</w:t>
      </w:r>
      <w:r w:rsidR="008D2774" w:rsidRPr="000548FA">
        <w:rPr>
          <w:rFonts w:eastAsia="Verdana" w:cs="Verdana"/>
          <w:color w:val="000000" w:themeColor="text1"/>
          <w:sz w:val="32"/>
          <w:szCs w:val="32"/>
        </w:rPr>
        <w:t xml:space="preserve"> </w:t>
      </w:r>
      <w:r w:rsidR="00136517" w:rsidRPr="000548FA">
        <w:rPr>
          <w:rFonts w:eastAsia="Verdana" w:cs="Verdana"/>
          <w:color w:val="000000" w:themeColor="text1"/>
          <w:sz w:val="32"/>
          <w:szCs w:val="32"/>
        </w:rPr>
        <w:t>themselves</w:t>
      </w:r>
      <w:r w:rsidR="008D2774" w:rsidRPr="000548FA">
        <w:rPr>
          <w:rFonts w:eastAsia="Verdana" w:cs="Verdana"/>
          <w:color w:val="000000" w:themeColor="text1"/>
          <w:sz w:val="32"/>
          <w:szCs w:val="32"/>
        </w:rPr>
        <w:t xml:space="preserve">. </w:t>
      </w:r>
      <w:r w:rsidR="009E7CF1" w:rsidRPr="000548FA">
        <w:rPr>
          <w:rFonts w:eastAsia="Verdana" w:cs="Verdana"/>
          <w:color w:val="000000" w:themeColor="text1"/>
          <w:sz w:val="32"/>
          <w:szCs w:val="32"/>
        </w:rPr>
        <w:t xml:space="preserve">Building </w:t>
      </w:r>
      <w:r w:rsidR="008D2774" w:rsidRPr="000548FA">
        <w:rPr>
          <w:rFonts w:eastAsia="Verdana" w:cs="Verdana"/>
          <w:color w:val="000000" w:themeColor="text1"/>
          <w:sz w:val="32"/>
          <w:szCs w:val="32"/>
        </w:rPr>
        <w:t xml:space="preserve">accessible homes </w:t>
      </w:r>
      <w:r w:rsidR="00F8598E" w:rsidRPr="000548FA">
        <w:rPr>
          <w:rFonts w:eastAsia="Verdana" w:cs="Verdana"/>
          <w:color w:val="000000" w:themeColor="text1"/>
          <w:sz w:val="32"/>
          <w:szCs w:val="32"/>
        </w:rPr>
        <w:t>in areas</w:t>
      </w:r>
      <w:r w:rsidR="00BF6792" w:rsidRPr="000548FA">
        <w:rPr>
          <w:rFonts w:eastAsia="Verdana" w:cs="Verdana"/>
          <w:color w:val="000000" w:themeColor="text1"/>
          <w:sz w:val="32"/>
          <w:szCs w:val="32"/>
        </w:rPr>
        <w:t xml:space="preserve"> far away from health centres, shops, schools</w:t>
      </w:r>
      <w:r w:rsidR="009E7CF1" w:rsidRPr="000548FA">
        <w:rPr>
          <w:rFonts w:eastAsia="Verdana" w:cs="Verdana"/>
          <w:color w:val="000000" w:themeColor="text1"/>
          <w:sz w:val="32"/>
          <w:szCs w:val="32"/>
        </w:rPr>
        <w:t xml:space="preserve">, public transport and other amenities, or in challenging topographies, limits benefits for </w:t>
      </w:r>
      <w:r w:rsidR="00524AF6" w:rsidRPr="000548FA">
        <w:rPr>
          <w:rFonts w:eastAsia="Verdana" w:cs="Verdana"/>
          <w:color w:val="000000" w:themeColor="text1"/>
          <w:sz w:val="32"/>
          <w:szCs w:val="32"/>
        </w:rPr>
        <w:t>disabled people.</w:t>
      </w:r>
      <w:r w:rsidR="00126D5E" w:rsidRPr="000548FA">
        <w:rPr>
          <w:rFonts w:eastAsia="Verdana" w:cs="Verdana"/>
          <w:color w:val="000000" w:themeColor="text1"/>
          <w:sz w:val="32"/>
          <w:szCs w:val="32"/>
        </w:rPr>
        <w:t xml:space="preserve"> This </w:t>
      </w:r>
      <w:r w:rsidR="00136517" w:rsidRPr="000548FA">
        <w:rPr>
          <w:rFonts w:eastAsia="Verdana" w:cs="Verdana"/>
          <w:color w:val="000000" w:themeColor="text1"/>
          <w:sz w:val="32"/>
          <w:szCs w:val="32"/>
        </w:rPr>
        <w:t>presents</w:t>
      </w:r>
      <w:r w:rsidR="00126D5E" w:rsidRPr="000548FA">
        <w:rPr>
          <w:rFonts w:eastAsia="Verdana" w:cs="Verdana"/>
          <w:color w:val="000000" w:themeColor="text1"/>
          <w:sz w:val="32"/>
          <w:szCs w:val="32"/>
        </w:rPr>
        <w:t xml:space="preserve"> challenge</w:t>
      </w:r>
      <w:r w:rsidR="00136517" w:rsidRPr="000548FA">
        <w:rPr>
          <w:rFonts w:eastAsia="Verdana" w:cs="Verdana"/>
          <w:color w:val="000000" w:themeColor="text1"/>
          <w:sz w:val="32"/>
          <w:szCs w:val="32"/>
        </w:rPr>
        <w:t>s</w:t>
      </w:r>
      <w:r w:rsidR="00126D5E" w:rsidRPr="000548FA">
        <w:rPr>
          <w:rFonts w:eastAsia="Verdana" w:cs="Verdana"/>
          <w:color w:val="000000" w:themeColor="text1"/>
          <w:sz w:val="32"/>
          <w:szCs w:val="32"/>
        </w:rPr>
        <w:t xml:space="preserve"> in </w:t>
      </w:r>
      <w:r w:rsidR="00BA36C7" w:rsidRPr="000548FA">
        <w:rPr>
          <w:rFonts w:eastAsia="Verdana" w:cs="Verdana"/>
          <w:color w:val="000000" w:themeColor="text1"/>
          <w:sz w:val="32"/>
          <w:szCs w:val="32"/>
        </w:rPr>
        <w:t>a</w:t>
      </w:r>
      <w:r w:rsidR="00FC1158" w:rsidRPr="000548FA">
        <w:rPr>
          <w:rFonts w:eastAsia="Verdana" w:cs="Verdana"/>
          <w:color w:val="000000" w:themeColor="text1"/>
          <w:sz w:val="32"/>
          <w:szCs w:val="32"/>
        </w:rPr>
        <w:t xml:space="preserve"> </w:t>
      </w:r>
      <w:r w:rsidR="00126D5E" w:rsidRPr="000548FA">
        <w:rPr>
          <w:rFonts w:eastAsia="Verdana" w:cs="Verdana"/>
          <w:color w:val="000000" w:themeColor="text1"/>
          <w:sz w:val="32"/>
          <w:szCs w:val="32"/>
        </w:rPr>
        <w:t xml:space="preserve">country where flat land </w:t>
      </w:r>
      <w:r w:rsidR="00637D4B" w:rsidRPr="000548FA">
        <w:rPr>
          <w:rFonts w:eastAsia="Verdana" w:cs="Verdana"/>
          <w:color w:val="000000" w:themeColor="text1"/>
          <w:sz w:val="32"/>
          <w:szCs w:val="32"/>
        </w:rPr>
        <w:t>can be limited and</w:t>
      </w:r>
      <w:r w:rsidR="00FC78E1" w:rsidRPr="000548FA">
        <w:rPr>
          <w:rFonts w:eastAsia="Verdana" w:cs="Verdana"/>
          <w:color w:val="000000" w:themeColor="text1"/>
          <w:sz w:val="32"/>
          <w:szCs w:val="32"/>
        </w:rPr>
        <w:t xml:space="preserve"> </w:t>
      </w:r>
      <w:r w:rsidR="00126D5E" w:rsidRPr="000548FA">
        <w:rPr>
          <w:rFonts w:eastAsia="Verdana" w:cs="Verdana"/>
          <w:color w:val="000000" w:themeColor="text1"/>
          <w:sz w:val="32"/>
          <w:szCs w:val="32"/>
        </w:rPr>
        <w:t>flood-prone</w:t>
      </w:r>
      <w:r w:rsidR="00AD053F" w:rsidRPr="000548FA">
        <w:rPr>
          <w:rFonts w:eastAsia="Verdana" w:cs="Verdana"/>
          <w:color w:val="000000" w:themeColor="text1"/>
          <w:sz w:val="32"/>
          <w:szCs w:val="32"/>
        </w:rPr>
        <w:t xml:space="preserve">, and </w:t>
      </w:r>
      <w:r w:rsidR="00482FE7" w:rsidRPr="000548FA">
        <w:rPr>
          <w:rFonts w:eastAsia="Verdana" w:cs="Verdana"/>
          <w:color w:val="000000" w:themeColor="text1"/>
          <w:sz w:val="32"/>
          <w:szCs w:val="32"/>
        </w:rPr>
        <w:t>land</w:t>
      </w:r>
      <w:r w:rsidR="00FC1158" w:rsidRPr="000548FA">
        <w:rPr>
          <w:rFonts w:eastAsia="Verdana" w:cs="Verdana"/>
          <w:color w:val="000000" w:themeColor="text1"/>
          <w:sz w:val="32"/>
          <w:szCs w:val="32"/>
        </w:rPr>
        <w:t xml:space="preserve"> fit for development</w:t>
      </w:r>
      <w:r w:rsidR="00482FE7" w:rsidRPr="000548FA">
        <w:rPr>
          <w:rFonts w:eastAsia="Verdana" w:cs="Verdana"/>
          <w:color w:val="000000" w:themeColor="text1"/>
          <w:sz w:val="32"/>
          <w:szCs w:val="32"/>
        </w:rPr>
        <w:t xml:space="preserve"> is often </w:t>
      </w:r>
      <w:r w:rsidR="00637D4B" w:rsidRPr="000548FA">
        <w:rPr>
          <w:rFonts w:eastAsia="Verdana" w:cs="Verdana"/>
          <w:color w:val="000000" w:themeColor="text1"/>
          <w:sz w:val="32"/>
          <w:szCs w:val="32"/>
        </w:rPr>
        <w:t>driven towards higher density housing</w:t>
      </w:r>
      <w:r w:rsidR="00AD053F" w:rsidRPr="000548FA">
        <w:rPr>
          <w:rFonts w:eastAsia="Verdana" w:cs="Verdana"/>
          <w:color w:val="000000" w:themeColor="text1"/>
          <w:sz w:val="32"/>
          <w:szCs w:val="32"/>
        </w:rPr>
        <w:t>.</w:t>
      </w:r>
    </w:p>
    <w:p w14:paraId="34218515" w14:textId="7E4A2DCE" w:rsidR="00C1673B" w:rsidRPr="000548FA" w:rsidRDefault="000C631D" w:rsidP="000548FA">
      <w:pPr>
        <w:pStyle w:val="ParaLevel1"/>
        <w:spacing w:line="360" w:lineRule="auto"/>
        <w:rPr>
          <w:sz w:val="32"/>
          <w:szCs w:val="32"/>
        </w:rPr>
      </w:pPr>
      <w:r w:rsidRPr="000548FA">
        <w:rPr>
          <w:sz w:val="32"/>
          <w:szCs w:val="32"/>
        </w:rPr>
        <w:t>C</w:t>
      </w:r>
      <w:r w:rsidR="00D068E6" w:rsidRPr="000548FA">
        <w:rPr>
          <w:sz w:val="32"/>
          <w:szCs w:val="32"/>
        </w:rPr>
        <w:t xml:space="preserve">urrent policies can </w:t>
      </w:r>
      <w:r w:rsidRPr="000548FA">
        <w:rPr>
          <w:sz w:val="32"/>
          <w:szCs w:val="32"/>
        </w:rPr>
        <w:t xml:space="preserve">also </w:t>
      </w:r>
      <w:r w:rsidR="00D068E6" w:rsidRPr="000548FA">
        <w:rPr>
          <w:sz w:val="32"/>
          <w:szCs w:val="32"/>
        </w:rPr>
        <w:t xml:space="preserve">create barriers to disabled people living in accessible housing. </w:t>
      </w:r>
      <w:r w:rsidR="00C1673B" w:rsidRPr="000548FA">
        <w:rPr>
          <w:sz w:val="32"/>
          <w:szCs w:val="32"/>
        </w:rPr>
        <w:t xml:space="preserve">As per the </w:t>
      </w:r>
      <w:r w:rsidR="00B739C4" w:rsidRPr="000548FA">
        <w:rPr>
          <w:sz w:val="32"/>
          <w:szCs w:val="32"/>
        </w:rPr>
        <w:t xml:space="preserve">Ministry of Health’s </w:t>
      </w:r>
      <w:r w:rsidR="00C1673B" w:rsidRPr="000548FA">
        <w:rPr>
          <w:sz w:val="32"/>
          <w:szCs w:val="32"/>
        </w:rPr>
        <w:t>Housing Modifications Manual, where a person has received housing modification funding, they will generally be unable to receive further funding for the same or similar housing modifications in a new home unless there are ‘genuine and exceptional circumstances’.</w:t>
      </w:r>
      <w:r w:rsidR="00C1673B" w:rsidRPr="000548FA">
        <w:rPr>
          <w:rStyle w:val="FootnoteReference"/>
          <w:sz w:val="32"/>
          <w:szCs w:val="32"/>
          <w:lang w:val="en-NZ"/>
        </w:rPr>
        <w:footnoteReference w:id="49"/>
      </w:r>
      <w:r w:rsidR="00D068E6" w:rsidRPr="000548FA">
        <w:rPr>
          <w:sz w:val="32"/>
          <w:szCs w:val="32"/>
        </w:rPr>
        <w:t xml:space="preserve"> This limits disabled people’s </w:t>
      </w:r>
      <w:r w:rsidR="000B24F2" w:rsidRPr="000548FA">
        <w:rPr>
          <w:sz w:val="32"/>
          <w:szCs w:val="32"/>
        </w:rPr>
        <w:t xml:space="preserve">freedom to </w:t>
      </w:r>
      <w:r w:rsidR="000B24F2" w:rsidRPr="000548FA">
        <w:rPr>
          <w:sz w:val="32"/>
          <w:szCs w:val="32"/>
        </w:rPr>
        <w:lastRenderedPageBreak/>
        <w:t>move house to the same extent as non-disabled people</w:t>
      </w:r>
      <w:r w:rsidR="009155A8" w:rsidRPr="000548FA">
        <w:rPr>
          <w:sz w:val="32"/>
          <w:szCs w:val="32"/>
        </w:rPr>
        <w:t xml:space="preserve">, and </w:t>
      </w:r>
      <w:r w:rsidR="000712E1" w:rsidRPr="000548FA">
        <w:rPr>
          <w:sz w:val="32"/>
          <w:szCs w:val="32"/>
        </w:rPr>
        <w:t>is</w:t>
      </w:r>
      <w:r w:rsidR="00CD605B" w:rsidRPr="000548FA">
        <w:rPr>
          <w:sz w:val="32"/>
          <w:szCs w:val="32"/>
        </w:rPr>
        <w:t xml:space="preserve"> a</w:t>
      </w:r>
      <w:r w:rsidR="00AE161C" w:rsidRPr="000548FA">
        <w:rPr>
          <w:sz w:val="32"/>
          <w:szCs w:val="32"/>
        </w:rPr>
        <w:t xml:space="preserve"> particular</w:t>
      </w:r>
      <w:r w:rsidR="00CD605B" w:rsidRPr="000548FA">
        <w:rPr>
          <w:sz w:val="32"/>
          <w:szCs w:val="32"/>
        </w:rPr>
        <w:t xml:space="preserve"> issue</w:t>
      </w:r>
      <w:r w:rsidR="009155A8" w:rsidRPr="000548FA">
        <w:rPr>
          <w:sz w:val="32"/>
          <w:szCs w:val="32"/>
        </w:rPr>
        <w:t xml:space="preserve"> </w:t>
      </w:r>
      <w:r w:rsidR="000712E1" w:rsidRPr="000548FA">
        <w:rPr>
          <w:sz w:val="32"/>
          <w:szCs w:val="32"/>
        </w:rPr>
        <w:t>for</w:t>
      </w:r>
      <w:r w:rsidR="009155A8" w:rsidRPr="000548FA">
        <w:rPr>
          <w:sz w:val="32"/>
          <w:szCs w:val="32"/>
        </w:rPr>
        <w:t xml:space="preserve"> disabled person </w:t>
      </w:r>
      <w:r w:rsidR="000712E1" w:rsidRPr="000548FA">
        <w:rPr>
          <w:sz w:val="32"/>
          <w:szCs w:val="32"/>
        </w:rPr>
        <w:t>who are</w:t>
      </w:r>
      <w:r w:rsidR="00BC7936" w:rsidRPr="000548FA">
        <w:rPr>
          <w:sz w:val="32"/>
          <w:szCs w:val="32"/>
        </w:rPr>
        <w:t xml:space="preserve"> </w:t>
      </w:r>
      <w:r w:rsidR="009818BB" w:rsidRPr="000548FA">
        <w:rPr>
          <w:sz w:val="32"/>
          <w:szCs w:val="32"/>
        </w:rPr>
        <w:t>rent</w:t>
      </w:r>
      <w:r w:rsidR="00BC7936" w:rsidRPr="000548FA">
        <w:rPr>
          <w:sz w:val="32"/>
          <w:szCs w:val="32"/>
        </w:rPr>
        <w:t>ing</w:t>
      </w:r>
      <w:r w:rsidR="000B24F2" w:rsidRPr="000548FA">
        <w:rPr>
          <w:sz w:val="32"/>
          <w:szCs w:val="32"/>
        </w:rPr>
        <w:t>.</w:t>
      </w:r>
      <w:r w:rsidR="00D068E6" w:rsidRPr="000548FA">
        <w:rPr>
          <w:sz w:val="32"/>
          <w:szCs w:val="32"/>
        </w:rPr>
        <w:t xml:space="preserve"> </w:t>
      </w:r>
      <w:r w:rsidR="00824365" w:rsidRPr="000548FA">
        <w:rPr>
          <w:sz w:val="32"/>
          <w:szCs w:val="32"/>
        </w:rPr>
        <w:t>Th</w:t>
      </w:r>
      <w:r w:rsidR="00872A50" w:rsidRPr="000548FA">
        <w:rPr>
          <w:sz w:val="32"/>
          <w:szCs w:val="32"/>
        </w:rPr>
        <w:t xml:space="preserve">e ‘one-time’ requirement </w:t>
      </w:r>
      <w:r w:rsidR="00005568" w:rsidRPr="000548FA">
        <w:rPr>
          <w:sz w:val="32"/>
          <w:szCs w:val="32"/>
        </w:rPr>
        <w:t>is particularly limiting for those with progressive conditions.</w:t>
      </w:r>
    </w:p>
    <w:p w14:paraId="0BB01AE1" w14:textId="1E2F5A57" w:rsidR="0859BABD" w:rsidRPr="000548FA" w:rsidRDefault="00FA482C" w:rsidP="000548FA">
      <w:pPr>
        <w:pStyle w:val="Heading4"/>
        <w:spacing w:line="360" w:lineRule="auto"/>
        <w:rPr>
          <w:iCs w:val="0"/>
          <w:sz w:val="32"/>
          <w:szCs w:val="32"/>
        </w:rPr>
      </w:pPr>
      <w:r w:rsidRPr="000548FA">
        <w:rPr>
          <w:iCs w:val="0"/>
          <w:sz w:val="32"/>
          <w:szCs w:val="32"/>
        </w:rPr>
        <w:t>There are a</w:t>
      </w:r>
      <w:r w:rsidR="5E0907CD" w:rsidRPr="000548FA">
        <w:rPr>
          <w:iCs w:val="0"/>
          <w:sz w:val="32"/>
          <w:szCs w:val="32"/>
        </w:rPr>
        <w:t>ccessibility</w:t>
      </w:r>
      <w:r w:rsidR="00CD605B" w:rsidRPr="000548FA">
        <w:rPr>
          <w:iCs w:val="0"/>
          <w:sz w:val="32"/>
          <w:szCs w:val="32"/>
        </w:rPr>
        <w:t xml:space="preserve"> issues</w:t>
      </w:r>
      <w:r w:rsidR="5E0907CD" w:rsidRPr="000548FA">
        <w:rPr>
          <w:iCs w:val="0"/>
          <w:sz w:val="32"/>
          <w:szCs w:val="32"/>
        </w:rPr>
        <w:t xml:space="preserve"> in social housing</w:t>
      </w:r>
    </w:p>
    <w:p w14:paraId="2DF50F83" w14:textId="1788B7EA" w:rsidR="007435A1" w:rsidRPr="000548FA" w:rsidRDefault="23DD6374"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 xml:space="preserve">There is more quantitative information available on </w:t>
      </w:r>
      <w:r w:rsidR="21AFDD35" w:rsidRPr="000548FA">
        <w:rPr>
          <w:rFonts w:eastAsia="Verdana" w:cs="Verdana"/>
          <w:color w:val="000000" w:themeColor="text1"/>
          <w:sz w:val="32"/>
          <w:szCs w:val="32"/>
        </w:rPr>
        <w:t>disability and accessibility in government-owned social housing</w:t>
      </w:r>
      <w:r w:rsidR="00F07968" w:rsidRPr="000548FA">
        <w:rPr>
          <w:rFonts w:eastAsia="Verdana" w:cs="Verdana"/>
          <w:color w:val="000000" w:themeColor="text1"/>
          <w:sz w:val="32"/>
          <w:szCs w:val="32"/>
        </w:rPr>
        <w:t xml:space="preserve"> than in the private market</w:t>
      </w:r>
      <w:r w:rsidR="21AFDD35" w:rsidRPr="000548FA">
        <w:rPr>
          <w:rFonts w:eastAsia="Verdana" w:cs="Verdana"/>
          <w:color w:val="000000" w:themeColor="text1"/>
          <w:sz w:val="32"/>
          <w:szCs w:val="32"/>
        </w:rPr>
        <w:t>.</w:t>
      </w:r>
      <w:r w:rsidR="3587D559" w:rsidRPr="000548FA">
        <w:rPr>
          <w:rFonts w:eastAsia="Verdana" w:cs="Verdana"/>
          <w:color w:val="000000" w:themeColor="text1"/>
          <w:sz w:val="32"/>
          <w:szCs w:val="32"/>
        </w:rPr>
        <w:t xml:space="preserve"> </w:t>
      </w:r>
      <w:r w:rsidR="00CD605B" w:rsidRPr="000548FA">
        <w:rPr>
          <w:rFonts w:eastAsia="Verdana" w:cs="Verdana"/>
          <w:color w:val="000000" w:themeColor="text1"/>
          <w:sz w:val="32"/>
          <w:szCs w:val="32"/>
        </w:rPr>
        <w:t>We know that</w:t>
      </w:r>
      <w:r w:rsidR="4FFE373F" w:rsidRPr="000548FA">
        <w:rPr>
          <w:rFonts w:eastAsia="Verdana" w:cs="Verdana"/>
          <w:color w:val="000000" w:themeColor="text1"/>
          <w:sz w:val="32"/>
          <w:szCs w:val="32"/>
        </w:rPr>
        <w:t xml:space="preserve"> </w:t>
      </w:r>
      <w:r w:rsidR="00BC7936" w:rsidRPr="000548FA">
        <w:rPr>
          <w:rFonts w:eastAsia="Verdana" w:cs="Verdana"/>
          <w:color w:val="000000" w:themeColor="text1"/>
          <w:sz w:val="32"/>
          <w:szCs w:val="32"/>
        </w:rPr>
        <w:t xml:space="preserve">a </w:t>
      </w:r>
      <w:r w:rsidR="4FFE373F" w:rsidRPr="000548FA">
        <w:rPr>
          <w:rFonts w:eastAsia="Verdana" w:cs="Verdana"/>
          <w:color w:val="000000" w:themeColor="text1"/>
          <w:sz w:val="32"/>
          <w:szCs w:val="32"/>
        </w:rPr>
        <w:t xml:space="preserve">high proportion of people in social housing </w:t>
      </w:r>
      <w:r w:rsidR="00526286" w:rsidRPr="000548FA">
        <w:rPr>
          <w:rFonts w:eastAsia="Verdana" w:cs="Verdana"/>
          <w:color w:val="000000" w:themeColor="text1"/>
          <w:sz w:val="32"/>
          <w:szCs w:val="32"/>
        </w:rPr>
        <w:t>have some kind of impairment</w:t>
      </w:r>
      <w:r w:rsidR="4FFE373F" w:rsidRPr="000548FA">
        <w:rPr>
          <w:rFonts w:eastAsia="Verdana" w:cs="Verdana"/>
          <w:color w:val="000000" w:themeColor="text1"/>
          <w:sz w:val="32"/>
          <w:szCs w:val="32"/>
        </w:rPr>
        <w:t xml:space="preserve">. </w:t>
      </w:r>
      <w:r w:rsidR="000E3F5F" w:rsidRPr="000548FA">
        <w:rPr>
          <w:rFonts w:eastAsia="Verdana" w:cs="Verdana"/>
          <w:color w:val="000000" w:themeColor="text1"/>
          <w:sz w:val="32"/>
          <w:szCs w:val="32"/>
        </w:rPr>
        <w:t xml:space="preserve">Of a sample of 500 Kāinga Ora customers, </w:t>
      </w:r>
      <w:r w:rsidR="009818BB" w:rsidRPr="000548FA">
        <w:rPr>
          <w:rFonts w:eastAsia="Verdana" w:cs="Verdana"/>
          <w:color w:val="000000" w:themeColor="text1"/>
          <w:sz w:val="32"/>
          <w:szCs w:val="32"/>
        </w:rPr>
        <w:t xml:space="preserve">only </w:t>
      </w:r>
      <w:r w:rsidR="00C70422" w:rsidRPr="000548FA">
        <w:rPr>
          <w:rFonts w:eastAsia="Verdana" w:cs="Verdana"/>
          <w:color w:val="000000" w:themeColor="text1"/>
          <w:sz w:val="32"/>
          <w:szCs w:val="32"/>
        </w:rPr>
        <w:t xml:space="preserve">30% of </w:t>
      </w:r>
      <w:r w:rsidR="007938B5" w:rsidRPr="000548FA">
        <w:rPr>
          <w:rFonts w:eastAsia="Verdana" w:cs="Verdana"/>
          <w:color w:val="000000" w:themeColor="text1"/>
          <w:sz w:val="32"/>
          <w:szCs w:val="32"/>
        </w:rPr>
        <w:t xml:space="preserve">respondents reported having no disability. Mobility was the most prevalent </w:t>
      </w:r>
      <w:r w:rsidR="00543D0D" w:rsidRPr="000548FA">
        <w:rPr>
          <w:rFonts w:eastAsia="Verdana" w:cs="Verdana"/>
          <w:color w:val="000000" w:themeColor="text1"/>
          <w:sz w:val="32"/>
          <w:szCs w:val="32"/>
        </w:rPr>
        <w:t xml:space="preserve">disability </w:t>
      </w:r>
      <w:r w:rsidR="00447AB2" w:rsidRPr="000548FA">
        <w:rPr>
          <w:rFonts w:eastAsia="Verdana" w:cs="Verdana"/>
          <w:color w:val="000000" w:themeColor="text1"/>
          <w:sz w:val="32"/>
          <w:szCs w:val="32"/>
        </w:rPr>
        <w:t>classification reported</w:t>
      </w:r>
      <w:r w:rsidR="007938B5" w:rsidRPr="000548FA">
        <w:rPr>
          <w:rFonts w:eastAsia="Verdana" w:cs="Verdana"/>
          <w:color w:val="000000" w:themeColor="text1"/>
          <w:sz w:val="32"/>
          <w:szCs w:val="32"/>
        </w:rPr>
        <w:t>.</w:t>
      </w:r>
      <w:r w:rsidR="00620A58" w:rsidRPr="000548FA">
        <w:rPr>
          <w:rStyle w:val="FootnoteReference"/>
          <w:rFonts w:eastAsia="Verdana" w:cs="Verdana"/>
          <w:color w:val="000000" w:themeColor="text1"/>
          <w:sz w:val="32"/>
          <w:szCs w:val="32"/>
          <w:lang w:val="en-NZ"/>
        </w:rPr>
        <w:footnoteReference w:id="50"/>
      </w:r>
    </w:p>
    <w:p w14:paraId="171CDA1B" w14:textId="76C6FE4F" w:rsidR="00681388" w:rsidRPr="000548FA" w:rsidRDefault="005E3023"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The Kāinga Ora</w:t>
      </w:r>
      <w:r w:rsidR="00543F21" w:rsidRPr="000548FA">
        <w:rPr>
          <w:rFonts w:eastAsia="Verdana" w:cs="Verdana"/>
          <w:color w:val="000000" w:themeColor="text1"/>
          <w:sz w:val="32"/>
          <w:szCs w:val="32"/>
        </w:rPr>
        <w:t xml:space="preserve"> Statement of Performance Expectations for 2024/25</w:t>
      </w:r>
      <w:r w:rsidRPr="000548FA">
        <w:rPr>
          <w:rFonts w:eastAsia="Verdana" w:cs="Verdana"/>
          <w:color w:val="000000" w:themeColor="text1"/>
          <w:sz w:val="32"/>
          <w:szCs w:val="32"/>
        </w:rPr>
        <w:t xml:space="preserve"> includes </w:t>
      </w:r>
      <w:r w:rsidR="00D32AE1" w:rsidRPr="000548FA">
        <w:rPr>
          <w:rFonts w:eastAsia="Verdana" w:cs="Verdana"/>
          <w:color w:val="000000" w:themeColor="text1"/>
          <w:sz w:val="32"/>
          <w:szCs w:val="32"/>
        </w:rPr>
        <w:t>a target to deliver</w:t>
      </w:r>
      <w:r w:rsidR="00CD605B" w:rsidRPr="000548FA">
        <w:rPr>
          <w:rFonts w:eastAsia="Verdana" w:cs="Verdana"/>
          <w:color w:val="000000" w:themeColor="text1"/>
          <w:sz w:val="32"/>
          <w:szCs w:val="32"/>
        </w:rPr>
        <w:t xml:space="preserve"> at least 15% of its new builds to full universal design standards.</w:t>
      </w:r>
      <w:r w:rsidR="00CD605B" w:rsidRPr="000548FA">
        <w:rPr>
          <w:rStyle w:val="FootnoteReference"/>
          <w:rFonts w:eastAsia="Verdana" w:cs="Verdana"/>
          <w:color w:val="000000" w:themeColor="text1"/>
          <w:sz w:val="32"/>
          <w:szCs w:val="32"/>
          <w:lang w:val="en-NZ"/>
        </w:rPr>
        <w:footnoteReference w:id="51"/>
      </w:r>
      <w:r w:rsidR="00CD605B" w:rsidRPr="000548FA">
        <w:rPr>
          <w:rFonts w:eastAsia="Verdana" w:cs="Verdana"/>
          <w:color w:val="000000" w:themeColor="text1"/>
          <w:sz w:val="32"/>
          <w:szCs w:val="32"/>
        </w:rPr>
        <w:t xml:space="preserve"> </w:t>
      </w:r>
      <w:r w:rsidR="002C0ADB" w:rsidRPr="000548FA">
        <w:rPr>
          <w:sz w:val="32"/>
          <w:szCs w:val="32"/>
        </w:rPr>
        <w:t xml:space="preserve">Kāinga Ora designs to 3 dwelling categories with increasing elements of universal design: standard design, full universal design, and accessible. Full universal design </w:t>
      </w:r>
      <w:r w:rsidR="002C0ADB" w:rsidRPr="000548FA">
        <w:rPr>
          <w:sz w:val="32"/>
          <w:szCs w:val="32"/>
        </w:rPr>
        <w:lastRenderedPageBreak/>
        <w:t>builds on minimum requirements set out in standard designs to provide properties that are, or can be made, fit-for purpose for most customers whether they live with a disability or illness.</w:t>
      </w:r>
      <w:r w:rsidR="002C0ADB" w:rsidRPr="000548FA">
        <w:rPr>
          <w:rStyle w:val="FootnoteReference"/>
          <w:sz w:val="32"/>
          <w:szCs w:val="32"/>
          <w:lang w:val="en-NZ"/>
        </w:rPr>
        <w:footnoteReference w:id="52"/>
      </w:r>
    </w:p>
    <w:p w14:paraId="0D4AA70B" w14:textId="481D5F8C" w:rsidR="00A05856" w:rsidRPr="000548FA" w:rsidRDefault="00CD605B"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 xml:space="preserve">In the 2022/23 financial year, 19% of the total number of eligible new build Kāinga Ora homes met their </w:t>
      </w:r>
      <w:r w:rsidR="00235DB5" w:rsidRPr="000548FA">
        <w:rPr>
          <w:rFonts w:eastAsia="Verdana" w:cs="Verdana"/>
          <w:color w:val="000000" w:themeColor="text1"/>
          <w:sz w:val="32"/>
          <w:szCs w:val="32"/>
        </w:rPr>
        <w:t xml:space="preserve">full </w:t>
      </w:r>
      <w:r w:rsidRPr="000548FA">
        <w:rPr>
          <w:rFonts w:eastAsia="Verdana" w:cs="Verdana"/>
          <w:color w:val="000000" w:themeColor="text1"/>
          <w:sz w:val="32"/>
          <w:szCs w:val="32"/>
        </w:rPr>
        <w:t>universal design standards, and 20% in 2023/24. Kāinga Ora ‘standard build’ houses also incorporate universal design features.</w:t>
      </w:r>
      <w:r w:rsidRPr="000548FA">
        <w:rPr>
          <w:sz w:val="32"/>
          <w:szCs w:val="32"/>
        </w:rPr>
        <w:t xml:space="preserve"> </w:t>
      </w:r>
    </w:p>
    <w:p w14:paraId="384DE416" w14:textId="5D2C194F" w:rsidR="00A05856" w:rsidRPr="000548FA" w:rsidRDefault="00A05856"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As at 31 January 2025, over 8500 people on the Housing and Transfer Registers</w:t>
      </w:r>
      <w:r w:rsidR="0090673D" w:rsidRPr="000548FA">
        <w:rPr>
          <w:rStyle w:val="FootnoteReference"/>
          <w:rFonts w:eastAsia="Verdana" w:cs="Verdana"/>
          <w:color w:val="000000" w:themeColor="text1"/>
          <w:sz w:val="32"/>
          <w:szCs w:val="32"/>
        </w:rPr>
        <w:footnoteReference w:id="53"/>
      </w:r>
      <w:r w:rsidRPr="000548FA">
        <w:rPr>
          <w:rFonts w:eastAsia="Verdana" w:cs="Verdana"/>
          <w:color w:val="000000" w:themeColor="text1"/>
          <w:sz w:val="32"/>
          <w:szCs w:val="32"/>
        </w:rPr>
        <w:t xml:space="preserve"> received Disability Allowance, Supported Living Payment, or both. Using the total number </w:t>
      </w:r>
      <w:r w:rsidR="00642199" w:rsidRPr="000548FA">
        <w:rPr>
          <w:rFonts w:eastAsia="Verdana" w:cs="Verdana"/>
          <w:color w:val="000000" w:themeColor="text1"/>
          <w:sz w:val="32"/>
          <w:szCs w:val="32"/>
        </w:rPr>
        <w:t xml:space="preserve">of people on the Housing and Transfer Registers </w:t>
      </w:r>
      <w:r w:rsidRPr="000548FA">
        <w:rPr>
          <w:rFonts w:eastAsia="Verdana" w:cs="Verdana"/>
          <w:color w:val="000000" w:themeColor="text1"/>
          <w:sz w:val="32"/>
          <w:szCs w:val="32"/>
        </w:rPr>
        <w:t xml:space="preserve">from December 2024, this equates to </w:t>
      </w:r>
      <w:r w:rsidR="6C091FC2" w:rsidRPr="000548FA">
        <w:rPr>
          <w:rFonts w:eastAsia="Verdana" w:cs="Verdana"/>
          <w:color w:val="000000" w:themeColor="text1"/>
          <w:sz w:val="32"/>
          <w:szCs w:val="32"/>
        </w:rPr>
        <w:t>around a third</w:t>
      </w:r>
      <w:r w:rsidRPr="000548FA">
        <w:rPr>
          <w:rFonts w:eastAsia="Verdana" w:cs="Verdana"/>
          <w:color w:val="000000" w:themeColor="text1"/>
          <w:sz w:val="32"/>
          <w:szCs w:val="32"/>
        </w:rPr>
        <w:t xml:space="preserve"> of people on </w:t>
      </w:r>
      <w:r w:rsidR="00242FE1" w:rsidRPr="000548FA">
        <w:rPr>
          <w:rFonts w:eastAsia="Verdana" w:cs="Verdana"/>
          <w:color w:val="000000" w:themeColor="text1"/>
          <w:sz w:val="32"/>
          <w:szCs w:val="32"/>
        </w:rPr>
        <w:t xml:space="preserve">the registers </w:t>
      </w:r>
      <w:r w:rsidRPr="000548FA">
        <w:rPr>
          <w:rFonts w:eastAsia="Verdana" w:cs="Verdana"/>
          <w:color w:val="000000" w:themeColor="text1"/>
          <w:sz w:val="32"/>
          <w:szCs w:val="32"/>
        </w:rPr>
        <w:t xml:space="preserve">receiving a directly disability-related benefit. </w:t>
      </w:r>
      <w:r w:rsidR="00242FE1" w:rsidRPr="000548FA">
        <w:rPr>
          <w:rFonts w:eastAsia="Verdana" w:cs="Verdana"/>
          <w:color w:val="000000" w:themeColor="text1"/>
          <w:sz w:val="32"/>
          <w:szCs w:val="32"/>
        </w:rPr>
        <w:t xml:space="preserve">The proportion of disabled people </w:t>
      </w:r>
      <w:r w:rsidR="0090673D" w:rsidRPr="000548FA">
        <w:rPr>
          <w:rFonts w:eastAsia="Verdana" w:cs="Verdana"/>
          <w:color w:val="000000" w:themeColor="text1"/>
          <w:sz w:val="32"/>
          <w:szCs w:val="32"/>
        </w:rPr>
        <w:t>in need of</w:t>
      </w:r>
      <w:r w:rsidR="00242FE1" w:rsidRPr="000548FA">
        <w:rPr>
          <w:rFonts w:eastAsia="Verdana" w:cs="Verdana"/>
          <w:color w:val="000000" w:themeColor="text1"/>
          <w:sz w:val="32"/>
          <w:szCs w:val="32"/>
        </w:rPr>
        <w:t xml:space="preserve"> social housing is very likely more than 34.6% considering that there are many disabled people who do not receive Disability Allowance or Supported </w:t>
      </w:r>
      <w:r w:rsidR="00242FE1" w:rsidRPr="000548FA">
        <w:rPr>
          <w:rFonts w:eastAsia="Verdana" w:cs="Verdana"/>
          <w:color w:val="000000" w:themeColor="text1"/>
          <w:sz w:val="32"/>
          <w:szCs w:val="32"/>
        </w:rPr>
        <w:lastRenderedPageBreak/>
        <w:t>Living Payment. This shows an overrepresentation of disabled people in need of social housing, with 17% of New Zealanders generally being disabled.</w:t>
      </w:r>
      <w:r w:rsidR="00242FE1" w:rsidRPr="000548FA">
        <w:rPr>
          <w:rStyle w:val="FootnoteReference"/>
          <w:rFonts w:eastAsia="Verdana" w:cs="Verdana"/>
          <w:color w:val="000000" w:themeColor="text1"/>
          <w:sz w:val="32"/>
          <w:szCs w:val="32"/>
        </w:rPr>
        <w:footnoteReference w:id="54"/>
      </w:r>
      <w:r w:rsidR="00242FE1" w:rsidRPr="000548FA">
        <w:rPr>
          <w:rFonts w:eastAsia="Verdana" w:cs="Verdana"/>
          <w:color w:val="000000" w:themeColor="text1"/>
          <w:sz w:val="32"/>
          <w:szCs w:val="32"/>
        </w:rPr>
        <w:t xml:space="preserve"> </w:t>
      </w:r>
    </w:p>
    <w:p w14:paraId="350EE5B9" w14:textId="5698ADF8" w:rsidR="00CD605B" w:rsidRPr="000548FA" w:rsidRDefault="00242FE1"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 xml:space="preserve">People who require modified social housing wait, on average, longer than people who do not require modified housing. During January 2025, people on the Housing Register who required modified housing waited </w:t>
      </w:r>
      <w:r w:rsidR="006B57A7" w:rsidRPr="000548FA">
        <w:rPr>
          <w:rFonts w:eastAsia="Verdana" w:cs="Verdana"/>
          <w:color w:val="000000" w:themeColor="text1"/>
          <w:sz w:val="32"/>
          <w:szCs w:val="32"/>
        </w:rPr>
        <w:t>an average of 410 days to be housed, compared to 371 days for those who did not require modified housing. The difference is much more stark for those on the Transfer Register: people who needed to move into modified social housing waited an average of 1,115 to be transferred, compared to 417 days for non-modified housing.</w:t>
      </w:r>
      <w:r w:rsidR="006B57A7" w:rsidRPr="000548FA">
        <w:rPr>
          <w:rStyle w:val="FootnoteReference"/>
          <w:rFonts w:eastAsia="Verdana" w:cs="Verdana"/>
          <w:color w:val="000000" w:themeColor="text1"/>
          <w:sz w:val="32"/>
          <w:szCs w:val="32"/>
        </w:rPr>
        <w:footnoteReference w:id="55"/>
      </w:r>
    </w:p>
    <w:p w14:paraId="0820EF3A" w14:textId="6EF65BA0" w:rsidR="0859BABD" w:rsidRPr="000548FA" w:rsidRDefault="61459636" w:rsidP="000548FA">
      <w:pPr>
        <w:pStyle w:val="Heading4"/>
        <w:spacing w:line="360" w:lineRule="auto"/>
        <w:rPr>
          <w:iCs w:val="0"/>
          <w:sz w:val="32"/>
          <w:szCs w:val="32"/>
        </w:rPr>
      </w:pPr>
      <w:r w:rsidRPr="000548FA">
        <w:rPr>
          <w:iCs w:val="0"/>
          <w:sz w:val="32"/>
          <w:szCs w:val="32"/>
        </w:rPr>
        <w:t>Disabled people in care face system-based barriers to</w:t>
      </w:r>
      <w:r w:rsidR="75DCB711" w:rsidRPr="000548FA">
        <w:rPr>
          <w:iCs w:val="0"/>
          <w:sz w:val="32"/>
          <w:szCs w:val="32"/>
        </w:rPr>
        <w:t xml:space="preserve"> </w:t>
      </w:r>
      <w:r w:rsidRPr="000548FA">
        <w:rPr>
          <w:iCs w:val="0"/>
          <w:sz w:val="32"/>
          <w:szCs w:val="32"/>
        </w:rPr>
        <w:t>accessing social housing</w:t>
      </w:r>
    </w:p>
    <w:p w14:paraId="7D93E60C" w14:textId="3B4171D1" w:rsidR="0859BABD" w:rsidRPr="000548FA" w:rsidRDefault="553B45C6" w:rsidP="000548FA">
      <w:pPr>
        <w:pStyle w:val="ParaLevel1"/>
        <w:spacing w:line="360" w:lineRule="auto"/>
        <w:rPr>
          <w:sz w:val="32"/>
          <w:szCs w:val="32"/>
        </w:rPr>
      </w:pPr>
      <w:r w:rsidRPr="000548FA">
        <w:rPr>
          <w:sz w:val="32"/>
          <w:szCs w:val="32"/>
        </w:rPr>
        <w:t xml:space="preserve">Disabled people living in residential care may be assessed as having lower housing need than people in other situations such as </w:t>
      </w:r>
      <w:r w:rsidR="0279612D" w:rsidRPr="000548FA">
        <w:rPr>
          <w:sz w:val="32"/>
          <w:szCs w:val="32"/>
        </w:rPr>
        <w:t xml:space="preserve">living in </w:t>
      </w:r>
      <w:r w:rsidRPr="000548FA">
        <w:rPr>
          <w:sz w:val="32"/>
          <w:szCs w:val="32"/>
        </w:rPr>
        <w:t>overcrowded homes or housing with poor security of tenure.</w:t>
      </w:r>
      <w:r w:rsidR="55C20DC3" w:rsidRPr="000548FA">
        <w:rPr>
          <w:sz w:val="32"/>
          <w:szCs w:val="32"/>
        </w:rPr>
        <w:t xml:space="preserve"> </w:t>
      </w:r>
      <w:r w:rsidR="00611A0E" w:rsidRPr="000548FA">
        <w:rPr>
          <w:rFonts w:eastAsia="Verdana" w:cs="Verdana"/>
          <w:sz w:val="32"/>
          <w:szCs w:val="32"/>
        </w:rPr>
        <w:t xml:space="preserve">Community </w:t>
      </w:r>
      <w:r w:rsidR="00611A0E" w:rsidRPr="000548FA">
        <w:rPr>
          <w:rFonts w:eastAsia="Verdana" w:cs="Verdana"/>
          <w:sz w:val="32"/>
          <w:szCs w:val="32"/>
        </w:rPr>
        <w:lastRenderedPageBreak/>
        <w:t>Housing Providers (</w:t>
      </w:r>
      <w:r w:rsidR="00DF666B" w:rsidRPr="000548FA">
        <w:rPr>
          <w:rFonts w:eastAsia="Verdana" w:cs="Verdana"/>
          <w:color w:val="000000" w:themeColor="text1"/>
          <w:sz w:val="32"/>
          <w:szCs w:val="32"/>
        </w:rPr>
        <w:t>CHPs</w:t>
      </w:r>
      <w:r w:rsidR="00611A0E" w:rsidRPr="000548FA">
        <w:rPr>
          <w:rFonts w:eastAsia="Verdana" w:cs="Verdana"/>
          <w:color w:val="000000" w:themeColor="text1"/>
          <w:sz w:val="32"/>
          <w:szCs w:val="32"/>
        </w:rPr>
        <w:t>)</w:t>
      </w:r>
      <w:r w:rsidR="00DF666B" w:rsidRPr="000548FA">
        <w:rPr>
          <w:rFonts w:eastAsia="Verdana" w:cs="Verdana"/>
          <w:color w:val="000000" w:themeColor="text1"/>
          <w:sz w:val="32"/>
          <w:szCs w:val="32"/>
        </w:rPr>
        <w:t xml:space="preserve"> and the disability community have</w:t>
      </w:r>
      <w:r w:rsidR="00A344A9" w:rsidRPr="000548FA">
        <w:rPr>
          <w:rFonts w:eastAsia="Verdana" w:cs="Verdana"/>
          <w:color w:val="000000" w:themeColor="text1"/>
          <w:sz w:val="32"/>
          <w:szCs w:val="32"/>
        </w:rPr>
        <w:t xml:space="preserve"> said </w:t>
      </w:r>
      <w:r w:rsidR="4331F6FF" w:rsidRPr="000548FA">
        <w:rPr>
          <w:rFonts w:eastAsia="Verdana" w:cs="Verdana"/>
          <w:color w:val="000000" w:themeColor="text1"/>
          <w:sz w:val="32"/>
          <w:szCs w:val="32"/>
        </w:rPr>
        <w:t xml:space="preserve">that social housing policy settings and practices do not help people to move </w:t>
      </w:r>
      <w:r w:rsidR="00CD605B" w:rsidRPr="000548FA">
        <w:rPr>
          <w:rFonts w:eastAsia="Verdana" w:cs="Verdana"/>
          <w:color w:val="000000" w:themeColor="text1"/>
          <w:sz w:val="32"/>
          <w:szCs w:val="32"/>
        </w:rPr>
        <w:t>away from</w:t>
      </w:r>
      <w:r w:rsidR="4331F6FF" w:rsidRPr="000548FA">
        <w:rPr>
          <w:rFonts w:eastAsia="Verdana" w:cs="Verdana"/>
          <w:color w:val="000000" w:themeColor="text1"/>
          <w:sz w:val="32"/>
          <w:szCs w:val="32"/>
        </w:rPr>
        <w:t xml:space="preserve"> living in traditional community residential </w:t>
      </w:r>
      <w:r w:rsidR="00AC45BB" w:rsidRPr="000548FA">
        <w:rPr>
          <w:rFonts w:eastAsia="Verdana" w:cs="Verdana"/>
          <w:color w:val="000000" w:themeColor="text1"/>
          <w:sz w:val="32"/>
          <w:szCs w:val="32"/>
        </w:rPr>
        <w:t>care settings</w:t>
      </w:r>
      <w:r w:rsidR="4331F6FF" w:rsidRPr="000548FA">
        <w:rPr>
          <w:rFonts w:eastAsia="Verdana" w:cs="Verdana"/>
          <w:color w:val="000000" w:themeColor="text1"/>
          <w:sz w:val="32"/>
          <w:szCs w:val="32"/>
        </w:rPr>
        <w:t>.</w:t>
      </w:r>
      <w:r w:rsidR="00A344A9" w:rsidRPr="000548FA">
        <w:rPr>
          <w:rStyle w:val="FootnoteReference"/>
          <w:rFonts w:eastAsia="Verdana" w:cs="Verdana"/>
          <w:color w:val="000000" w:themeColor="text1"/>
          <w:sz w:val="32"/>
          <w:szCs w:val="32"/>
          <w:lang w:val="en-NZ"/>
        </w:rPr>
        <w:footnoteReference w:id="56"/>
      </w:r>
    </w:p>
    <w:p w14:paraId="0A56F205" w14:textId="6CE8F284" w:rsidR="0859BABD" w:rsidRPr="000548FA" w:rsidRDefault="00EF171A" w:rsidP="000548FA">
      <w:pPr>
        <w:pStyle w:val="ParaLevel1"/>
        <w:spacing w:line="360" w:lineRule="auto"/>
        <w:rPr>
          <w:rFonts w:eastAsia="Verdana" w:cs="Verdana"/>
          <w:color w:val="000000" w:themeColor="text1"/>
          <w:sz w:val="32"/>
          <w:szCs w:val="32"/>
        </w:rPr>
      </w:pPr>
      <w:r w:rsidRPr="000548FA">
        <w:rPr>
          <w:sz w:val="32"/>
          <w:szCs w:val="32"/>
        </w:rPr>
        <w:t>T</w:t>
      </w:r>
      <w:r w:rsidR="00CE6F5C" w:rsidRPr="000548FA">
        <w:rPr>
          <w:sz w:val="32"/>
          <w:szCs w:val="32"/>
        </w:rPr>
        <w:t xml:space="preserve">he demand for social housing far outstrips current supply. As of 31 December </w:t>
      </w:r>
      <w:r w:rsidR="00CE6F5C" w:rsidRPr="000548FA">
        <w:rPr>
          <w:rFonts w:eastAsia="Verdana" w:cs="Verdana"/>
          <w:color w:val="000000" w:themeColor="text1"/>
          <w:sz w:val="32"/>
          <w:szCs w:val="32"/>
        </w:rPr>
        <w:t>2024</w:t>
      </w:r>
      <w:r w:rsidR="00CE6F5C" w:rsidRPr="000548FA">
        <w:rPr>
          <w:sz w:val="32"/>
          <w:szCs w:val="32"/>
        </w:rPr>
        <w:t>, there were 24,933 applicants on the MSD Housing Register (including the Transfer Register).</w:t>
      </w:r>
      <w:r w:rsidR="00CE6F5C" w:rsidRPr="000548FA">
        <w:rPr>
          <w:rStyle w:val="FootnoteReference"/>
          <w:sz w:val="32"/>
          <w:szCs w:val="32"/>
          <w:lang w:val="en-NZ"/>
        </w:rPr>
        <w:footnoteReference w:id="57"/>
      </w:r>
      <w:r w:rsidR="00CE6F5C" w:rsidRPr="000548FA">
        <w:rPr>
          <w:sz w:val="32"/>
          <w:szCs w:val="32"/>
        </w:rPr>
        <w:t xml:space="preserve"> </w:t>
      </w:r>
      <w:r w:rsidR="537F7736" w:rsidRPr="000548FA">
        <w:rPr>
          <w:sz w:val="32"/>
          <w:szCs w:val="32"/>
        </w:rPr>
        <w:t>Currently, people are prioritised for social housing through the Social Allocation System</w:t>
      </w:r>
      <w:r w:rsidR="0859BABD" w:rsidRPr="000548FA">
        <w:rPr>
          <w:rStyle w:val="FootnoteReference"/>
          <w:sz w:val="32"/>
          <w:szCs w:val="32"/>
          <w:lang w:val="en-NZ"/>
        </w:rPr>
        <w:footnoteReference w:id="58"/>
      </w:r>
      <w:r w:rsidR="3CF54759" w:rsidRPr="000548FA">
        <w:rPr>
          <w:sz w:val="32"/>
          <w:szCs w:val="32"/>
        </w:rPr>
        <w:t xml:space="preserve"> </w:t>
      </w:r>
      <w:r w:rsidR="77CA2D72" w:rsidRPr="000548FA">
        <w:rPr>
          <w:sz w:val="32"/>
          <w:szCs w:val="32"/>
        </w:rPr>
        <w:t>(SAS) administered by MSD.</w:t>
      </w:r>
      <w:r w:rsidR="00402B65" w:rsidRPr="000548FA">
        <w:rPr>
          <w:rStyle w:val="FootnoteReference"/>
          <w:sz w:val="32"/>
          <w:szCs w:val="32"/>
          <w:lang w:val="en-NZ"/>
        </w:rPr>
        <w:footnoteReference w:id="59"/>
      </w:r>
      <w:r w:rsidR="77CA2D72" w:rsidRPr="000548FA">
        <w:rPr>
          <w:sz w:val="32"/>
          <w:szCs w:val="32"/>
        </w:rPr>
        <w:t xml:space="preserve"> The SAS criteria includes ’adequacy’</w:t>
      </w:r>
      <w:r w:rsidR="0859BABD" w:rsidRPr="000548FA">
        <w:rPr>
          <w:rStyle w:val="FootnoteReference"/>
          <w:sz w:val="32"/>
          <w:szCs w:val="32"/>
          <w:lang w:val="en-NZ"/>
        </w:rPr>
        <w:footnoteReference w:id="60"/>
      </w:r>
      <w:r w:rsidR="77CA2D72" w:rsidRPr="000548FA">
        <w:rPr>
          <w:sz w:val="32"/>
          <w:szCs w:val="32"/>
        </w:rPr>
        <w:t xml:space="preserve"> as a criterion</w:t>
      </w:r>
      <w:r w:rsidR="00C9111B" w:rsidRPr="000548FA">
        <w:rPr>
          <w:sz w:val="32"/>
          <w:szCs w:val="32"/>
        </w:rPr>
        <w:t xml:space="preserve"> which</w:t>
      </w:r>
      <w:r w:rsidR="4BB8F5D1" w:rsidRPr="000548FA">
        <w:rPr>
          <w:sz w:val="32"/>
          <w:szCs w:val="32"/>
        </w:rPr>
        <w:t xml:space="preserve"> considers, for example, </w:t>
      </w:r>
      <w:r w:rsidR="004F78A5" w:rsidRPr="000548FA">
        <w:rPr>
          <w:sz w:val="32"/>
          <w:szCs w:val="32"/>
        </w:rPr>
        <w:t xml:space="preserve">whether </w:t>
      </w:r>
      <w:r w:rsidR="00875E05" w:rsidRPr="000548FA">
        <w:rPr>
          <w:sz w:val="32"/>
          <w:szCs w:val="32"/>
        </w:rPr>
        <w:t>a person’s housing</w:t>
      </w:r>
      <w:r w:rsidR="4BB8F5D1" w:rsidRPr="000548FA">
        <w:rPr>
          <w:sz w:val="32"/>
          <w:szCs w:val="32"/>
        </w:rPr>
        <w:t xml:space="preserve"> presents a severe and significant health and safety risk.</w:t>
      </w:r>
      <w:r w:rsidR="34C86798" w:rsidRPr="000548FA">
        <w:rPr>
          <w:sz w:val="32"/>
          <w:szCs w:val="32"/>
        </w:rPr>
        <w:t xml:space="preserve"> </w:t>
      </w:r>
      <w:r w:rsidR="75A0CA30" w:rsidRPr="000548FA">
        <w:rPr>
          <w:rFonts w:eastAsia="Verdana" w:cs="Verdana"/>
          <w:color w:val="000000" w:themeColor="text1"/>
          <w:sz w:val="32"/>
          <w:szCs w:val="32"/>
        </w:rPr>
        <w:t xml:space="preserve">Living in residential care </w:t>
      </w:r>
      <w:r w:rsidR="00F272BD" w:rsidRPr="000548FA">
        <w:rPr>
          <w:rFonts w:eastAsia="Verdana" w:cs="Verdana"/>
          <w:color w:val="000000" w:themeColor="text1"/>
          <w:sz w:val="32"/>
          <w:szCs w:val="32"/>
        </w:rPr>
        <w:t xml:space="preserve">or in a group home setting </w:t>
      </w:r>
      <w:r w:rsidR="75A0CA30" w:rsidRPr="000548FA">
        <w:rPr>
          <w:rFonts w:eastAsia="Verdana" w:cs="Verdana"/>
          <w:color w:val="000000" w:themeColor="text1"/>
          <w:sz w:val="32"/>
          <w:szCs w:val="32"/>
        </w:rPr>
        <w:t xml:space="preserve">does not preclude someone from being eligible for social housing. However, the fact that residential care facilities would be </w:t>
      </w:r>
      <w:r w:rsidR="75A0CA30" w:rsidRPr="000548FA">
        <w:rPr>
          <w:rFonts w:eastAsia="Verdana" w:cs="Verdana"/>
          <w:color w:val="000000" w:themeColor="text1"/>
          <w:sz w:val="32"/>
          <w:szCs w:val="32"/>
        </w:rPr>
        <w:lastRenderedPageBreak/>
        <w:t>considered adequate</w:t>
      </w:r>
      <w:r w:rsidR="00D911D8" w:rsidRPr="000548FA">
        <w:rPr>
          <w:rFonts w:eastAsia="Verdana" w:cs="Verdana"/>
          <w:color w:val="000000" w:themeColor="text1"/>
          <w:sz w:val="32"/>
          <w:szCs w:val="32"/>
        </w:rPr>
        <w:t xml:space="preserve"> </w:t>
      </w:r>
      <w:r w:rsidR="75A0CA30" w:rsidRPr="000548FA">
        <w:rPr>
          <w:rFonts w:eastAsia="Verdana" w:cs="Verdana"/>
          <w:color w:val="000000" w:themeColor="text1"/>
          <w:sz w:val="32"/>
          <w:szCs w:val="32"/>
        </w:rPr>
        <w:t xml:space="preserve">housing means disabled people living </w:t>
      </w:r>
      <w:r w:rsidR="7672D25E" w:rsidRPr="000548FA">
        <w:rPr>
          <w:rFonts w:eastAsia="Verdana" w:cs="Verdana"/>
          <w:color w:val="000000" w:themeColor="text1"/>
          <w:sz w:val="32"/>
          <w:szCs w:val="32"/>
        </w:rPr>
        <w:t xml:space="preserve">in care are less likely to </w:t>
      </w:r>
      <w:r w:rsidR="00FB37E1" w:rsidRPr="000548FA">
        <w:rPr>
          <w:rFonts w:eastAsia="Verdana" w:cs="Verdana"/>
          <w:color w:val="000000" w:themeColor="text1"/>
          <w:sz w:val="32"/>
          <w:szCs w:val="32"/>
        </w:rPr>
        <w:t>be prioritised for social housing</w:t>
      </w:r>
      <w:r w:rsidR="7672D25E" w:rsidRPr="000548FA">
        <w:rPr>
          <w:rFonts w:eastAsia="Verdana" w:cs="Verdana"/>
          <w:color w:val="000000" w:themeColor="text1"/>
          <w:sz w:val="32"/>
          <w:szCs w:val="32"/>
        </w:rPr>
        <w:t xml:space="preserve">. </w:t>
      </w:r>
    </w:p>
    <w:p w14:paraId="6394CDF7" w14:textId="7F7AA506" w:rsidR="00442A18" w:rsidRPr="000548FA" w:rsidRDefault="379B9B83" w:rsidP="000548FA">
      <w:pPr>
        <w:pStyle w:val="ParaLevel1"/>
        <w:spacing w:line="360" w:lineRule="auto"/>
        <w:rPr>
          <w:sz w:val="32"/>
          <w:szCs w:val="32"/>
        </w:rPr>
      </w:pPr>
      <w:r w:rsidRPr="000548FA">
        <w:rPr>
          <w:rFonts w:eastAsia="Verdana" w:cs="Verdana"/>
          <w:color w:val="000000" w:themeColor="text1"/>
          <w:sz w:val="32"/>
          <w:szCs w:val="32"/>
        </w:rPr>
        <w:t xml:space="preserve">In addition, some </w:t>
      </w:r>
      <w:r w:rsidR="00611A0E" w:rsidRPr="000548FA">
        <w:rPr>
          <w:rFonts w:eastAsia="Verdana" w:cs="Verdana"/>
          <w:color w:val="000000" w:themeColor="text1"/>
          <w:sz w:val="32"/>
          <w:szCs w:val="32"/>
        </w:rPr>
        <w:t>CHPs</w:t>
      </w:r>
      <w:r w:rsidRPr="000548FA">
        <w:rPr>
          <w:rFonts w:eastAsia="Verdana" w:cs="Verdana"/>
          <w:color w:val="000000" w:themeColor="text1"/>
          <w:sz w:val="32"/>
          <w:szCs w:val="32"/>
        </w:rPr>
        <w:t xml:space="preserve"> have told </w:t>
      </w:r>
      <w:r w:rsidR="009F0E1E" w:rsidRPr="000548FA">
        <w:rPr>
          <w:rFonts w:eastAsia="Verdana" w:cs="Verdana"/>
          <w:color w:val="000000" w:themeColor="text1"/>
          <w:sz w:val="32"/>
          <w:szCs w:val="32"/>
        </w:rPr>
        <w:t>Whaikaha</w:t>
      </w:r>
      <w:r w:rsidRPr="000548FA">
        <w:rPr>
          <w:rFonts w:eastAsia="Verdana" w:cs="Verdana"/>
          <w:color w:val="000000" w:themeColor="text1"/>
          <w:sz w:val="32"/>
          <w:szCs w:val="32"/>
        </w:rPr>
        <w:t xml:space="preserve"> they find it difficult to match disabled </w:t>
      </w:r>
      <w:r w:rsidR="487E8163" w:rsidRPr="000548FA">
        <w:rPr>
          <w:rFonts w:eastAsia="Verdana" w:cs="Verdana"/>
          <w:color w:val="000000" w:themeColor="text1"/>
          <w:sz w:val="32"/>
          <w:szCs w:val="32"/>
        </w:rPr>
        <w:t>people to</w:t>
      </w:r>
      <w:r w:rsidRPr="000548FA">
        <w:rPr>
          <w:rFonts w:eastAsia="Verdana" w:cs="Verdana"/>
          <w:color w:val="000000" w:themeColor="text1"/>
          <w:sz w:val="32"/>
          <w:szCs w:val="32"/>
        </w:rPr>
        <w:t xml:space="preserve"> accessible housing</w:t>
      </w:r>
      <w:r w:rsidR="0044482C" w:rsidRPr="000548FA">
        <w:rPr>
          <w:rFonts w:eastAsia="Verdana" w:cs="Verdana"/>
          <w:color w:val="000000" w:themeColor="text1"/>
          <w:sz w:val="32"/>
          <w:szCs w:val="32"/>
        </w:rPr>
        <w:t xml:space="preserve"> as </w:t>
      </w:r>
      <w:r w:rsidRPr="000548FA">
        <w:rPr>
          <w:rFonts w:eastAsia="Verdana" w:cs="Verdana"/>
          <w:color w:val="000000" w:themeColor="text1"/>
          <w:sz w:val="32"/>
          <w:szCs w:val="32"/>
        </w:rPr>
        <w:t xml:space="preserve">those houses </w:t>
      </w:r>
      <w:r w:rsidR="0044482C" w:rsidRPr="000548FA">
        <w:rPr>
          <w:rFonts w:eastAsia="Verdana" w:cs="Verdana"/>
          <w:color w:val="000000" w:themeColor="text1"/>
          <w:sz w:val="32"/>
          <w:szCs w:val="32"/>
        </w:rPr>
        <w:t xml:space="preserve">may be </w:t>
      </w:r>
      <w:r w:rsidRPr="000548FA">
        <w:rPr>
          <w:rFonts w:eastAsia="Verdana" w:cs="Verdana"/>
          <w:color w:val="000000" w:themeColor="text1"/>
          <w:sz w:val="32"/>
          <w:szCs w:val="32"/>
        </w:rPr>
        <w:t>occupied by non-disabled people without accessibility needs.</w:t>
      </w:r>
      <w:r w:rsidR="006A2057" w:rsidRPr="000548FA">
        <w:rPr>
          <w:rFonts w:eastAsia="Verdana" w:cs="Verdana"/>
          <w:color w:val="000000" w:themeColor="text1"/>
          <w:sz w:val="32"/>
          <w:szCs w:val="32"/>
        </w:rPr>
        <w:t xml:space="preserve"> This can also be an issue in Kāinga Ora housing.</w:t>
      </w:r>
      <w:r w:rsidRPr="000548FA">
        <w:rPr>
          <w:rFonts w:eastAsia="Verdana" w:cs="Verdana"/>
          <w:color w:val="000000" w:themeColor="text1"/>
          <w:sz w:val="32"/>
          <w:szCs w:val="32"/>
        </w:rPr>
        <w:t xml:space="preserve"> There is an opportunity for </w:t>
      </w:r>
      <w:r w:rsidR="655308E3" w:rsidRPr="000548FA">
        <w:rPr>
          <w:rFonts w:eastAsia="Verdana" w:cs="Verdana"/>
          <w:color w:val="000000" w:themeColor="text1"/>
          <w:sz w:val="32"/>
          <w:szCs w:val="32"/>
        </w:rPr>
        <w:t>MSD and</w:t>
      </w:r>
      <w:r w:rsidRPr="000548FA">
        <w:rPr>
          <w:rFonts w:eastAsia="Verdana" w:cs="Verdana"/>
          <w:color w:val="000000" w:themeColor="text1"/>
          <w:sz w:val="32"/>
          <w:szCs w:val="32"/>
        </w:rPr>
        <w:t xml:space="preserve"> CHPs to better </w:t>
      </w:r>
      <w:r w:rsidR="000123BE" w:rsidRPr="000548FA">
        <w:rPr>
          <w:rFonts w:eastAsia="Verdana" w:cs="Verdana"/>
          <w:color w:val="000000" w:themeColor="text1"/>
          <w:sz w:val="32"/>
          <w:szCs w:val="32"/>
        </w:rPr>
        <w:t>match</w:t>
      </w:r>
      <w:r w:rsidRPr="000548FA">
        <w:rPr>
          <w:rFonts w:eastAsia="Verdana" w:cs="Verdana"/>
          <w:color w:val="000000" w:themeColor="text1"/>
          <w:sz w:val="32"/>
          <w:szCs w:val="32"/>
        </w:rPr>
        <w:t xml:space="preserve"> accessible housing to disabled people with corresponding accessibility needs.</w:t>
      </w:r>
    </w:p>
    <w:p w14:paraId="2BA056FE" w14:textId="4E121C75" w:rsidR="0859BABD" w:rsidRPr="000548FA" w:rsidRDefault="6573D971" w:rsidP="000548FA">
      <w:pPr>
        <w:pStyle w:val="Heading4"/>
        <w:spacing w:line="360" w:lineRule="auto"/>
        <w:rPr>
          <w:iCs w:val="0"/>
          <w:sz w:val="32"/>
          <w:szCs w:val="32"/>
        </w:rPr>
      </w:pPr>
      <w:r w:rsidRPr="000548FA">
        <w:rPr>
          <w:iCs w:val="0"/>
          <w:sz w:val="32"/>
          <w:szCs w:val="32"/>
        </w:rPr>
        <w:t xml:space="preserve">Disabled people </w:t>
      </w:r>
      <w:r w:rsidR="164F105B" w:rsidRPr="000548FA">
        <w:rPr>
          <w:iCs w:val="0"/>
          <w:sz w:val="32"/>
          <w:szCs w:val="32"/>
        </w:rPr>
        <w:t>face attitudinal barriers which impedes their access to housing</w:t>
      </w:r>
    </w:p>
    <w:p w14:paraId="06FA39DD" w14:textId="317F0932" w:rsidR="00AC7E4C" w:rsidRPr="000548FA" w:rsidRDefault="71D049EA" w:rsidP="000548FA">
      <w:pPr>
        <w:pStyle w:val="ParaLevel1"/>
        <w:spacing w:line="360" w:lineRule="auto"/>
        <w:rPr>
          <w:rFonts w:eastAsia="Verdana"/>
          <w:sz w:val="32"/>
          <w:szCs w:val="32"/>
        </w:rPr>
      </w:pPr>
      <w:r w:rsidRPr="000548FA">
        <w:rPr>
          <w:rFonts w:eastAsia="Verdana" w:cs="Verdana"/>
          <w:color w:val="000000" w:themeColor="text1"/>
          <w:sz w:val="32"/>
          <w:szCs w:val="32"/>
        </w:rPr>
        <w:t xml:space="preserve">Disabled people have </w:t>
      </w:r>
      <w:r w:rsidR="00F356C1" w:rsidRPr="000548FA">
        <w:rPr>
          <w:rFonts w:eastAsia="Verdana" w:cs="Verdana"/>
          <w:color w:val="000000" w:themeColor="text1"/>
          <w:sz w:val="32"/>
          <w:szCs w:val="32"/>
        </w:rPr>
        <w:t>reported</w:t>
      </w:r>
      <w:r w:rsidRPr="000548FA">
        <w:rPr>
          <w:rFonts w:eastAsia="Verdana" w:cs="Verdana"/>
          <w:color w:val="000000" w:themeColor="text1"/>
          <w:sz w:val="32"/>
          <w:szCs w:val="32"/>
        </w:rPr>
        <w:t xml:space="preserve"> that the attitudes of others can create significant barriers to renting or buying housing. </w:t>
      </w:r>
      <w:r w:rsidR="00D83952" w:rsidRPr="000548FA">
        <w:rPr>
          <w:rFonts w:eastAsia="Verdana"/>
          <w:sz w:val="32"/>
          <w:szCs w:val="32"/>
        </w:rPr>
        <w:t>P</w:t>
      </w:r>
      <w:r w:rsidR="00F356C1" w:rsidRPr="000548FA">
        <w:rPr>
          <w:rFonts w:eastAsia="Verdana"/>
          <w:sz w:val="32"/>
          <w:szCs w:val="32"/>
        </w:rPr>
        <w:t>eople</w:t>
      </w:r>
      <w:r w:rsidR="00B44F5C" w:rsidRPr="000548FA">
        <w:rPr>
          <w:rFonts w:eastAsia="Verdana"/>
          <w:sz w:val="32"/>
          <w:szCs w:val="32"/>
        </w:rPr>
        <w:t xml:space="preserve"> in positions of power in the private market – such as landlords</w:t>
      </w:r>
      <w:r w:rsidRPr="000548FA">
        <w:rPr>
          <w:rFonts w:eastAsia="Verdana" w:cs="Verdana"/>
          <w:color w:val="000000" w:themeColor="text1"/>
          <w:sz w:val="32"/>
          <w:szCs w:val="32"/>
        </w:rPr>
        <w:t>, property managers, real estate agents</w:t>
      </w:r>
      <w:r w:rsidR="00B44F5C" w:rsidRPr="000548FA">
        <w:rPr>
          <w:rFonts w:eastAsia="Verdana" w:cs="Verdana"/>
          <w:color w:val="000000" w:themeColor="text1"/>
          <w:sz w:val="32"/>
          <w:szCs w:val="32"/>
        </w:rPr>
        <w:t xml:space="preserve"> – as well as </w:t>
      </w:r>
      <w:r w:rsidR="00D83952" w:rsidRPr="000548FA">
        <w:rPr>
          <w:rFonts w:eastAsia="Verdana" w:cs="Verdana"/>
          <w:color w:val="000000" w:themeColor="text1"/>
          <w:sz w:val="32"/>
          <w:szCs w:val="32"/>
        </w:rPr>
        <w:t xml:space="preserve">those </w:t>
      </w:r>
      <w:r w:rsidR="00B44F5C" w:rsidRPr="000548FA">
        <w:rPr>
          <w:rFonts w:eastAsia="Verdana" w:cs="Verdana"/>
          <w:color w:val="000000" w:themeColor="text1"/>
          <w:sz w:val="32"/>
          <w:szCs w:val="32"/>
        </w:rPr>
        <w:t>in public systems</w:t>
      </w:r>
      <w:r w:rsidRPr="000548FA">
        <w:rPr>
          <w:rFonts w:eastAsia="Verdana" w:cs="Verdana"/>
          <w:color w:val="000000" w:themeColor="text1"/>
          <w:sz w:val="32"/>
          <w:szCs w:val="32"/>
        </w:rPr>
        <w:t xml:space="preserve"> </w:t>
      </w:r>
      <w:r w:rsidR="00D83952" w:rsidRPr="000548FA">
        <w:rPr>
          <w:rFonts w:eastAsia="Verdana" w:cs="Verdana"/>
          <w:color w:val="000000" w:themeColor="text1"/>
          <w:sz w:val="32"/>
          <w:szCs w:val="32"/>
        </w:rPr>
        <w:t xml:space="preserve">such as </w:t>
      </w:r>
      <w:r w:rsidRPr="000548FA">
        <w:rPr>
          <w:rFonts w:eastAsia="Verdana" w:cs="Verdana"/>
          <w:color w:val="000000" w:themeColor="text1"/>
          <w:sz w:val="32"/>
          <w:szCs w:val="32"/>
        </w:rPr>
        <w:t xml:space="preserve">Work and Income and Kāinga Ora staff – </w:t>
      </w:r>
      <w:r w:rsidR="005D0B91" w:rsidRPr="000548FA">
        <w:rPr>
          <w:rFonts w:eastAsia="Verdana" w:cs="Verdana"/>
          <w:color w:val="000000" w:themeColor="text1"/>
          <w:sz w:val="32"/>
          <w:szCs w:val="32"/>
        </w:rPr>
        <w:t>may have</w:t>
      </w:r>
      <w:r w:rsidR="379971D3" w:rsidRPr="000548FA">
        <w:rPr>
          <w:rFonts w:eastAsia="Verdana" w:cs="Verdana"/>
          <w:color w:val="000000" w:themeColor="text1"/>
          <w:sz w:val="32"/>
          <w:szCs w:val="32"/>
        </w:rPr>
        <w:t xml:space="preserve"> </w:t>
      </w:r>
      <w:r w:rsidR="005D0B91" w:rsidRPr="000548FA">
        <w:rPr>
          <w:rFonts w:eastAsia="Verdana" w:cs="Verdana"/>
          <w:color w:val="000000" w:themeColor="text1"/>
          <w:sz w:val="32"/>
          <w:szCs w:val="32"/>
        </w:rPr>
        <w:t>limited</w:t>
      </w:r>
      <w:r w:rsidR="379971D3" w:rsidRPr="000548FA">
        <w:rPr>
          <w:rFonts w:eastAsia="Verdana" w:cs="Verdana"/>
          <w:color w:val="000000" w:themeColor="text1"/>
          <w:sz w:val="32"/>
          <w:szCs w:val="32"/>
        </w:rPr>
        <w:t xml:space="preserve"> understanding of, or</w:t>
      </w:r>
      <w:r w:rsidRPr="000548FA">
        <w:rPr>
          <w:rFonts w:eastAsia="Verdana" w:cs="Verdana"/>
          <w:color w:val="000000" w:themeColor="text1"/>
          <w:sz w:val="32"/>
          <w:szCs w:val="32"/>
        </w:rPr>
        <w:t xml:space="preserve"> negative attitudes towards disability.</w:t>
      </w:r>
      <w:r w:rsidR="0859BABD" w:rsidRPr="000548FA">
        <w:rPr>
          <w:rStyle w:val="FootnoteReference"/>
          <w:rFonts w:eastAsia="Verdana" w:cs="Verdana"/>
          <w:color w:val="000000" w:themeColor="text1"/>
          <w:sz w:val="32"/>
          <w:szCs w:val="32"/>
          <w:lang w:val="en-NZ"/>
        </w:rPr>
        <w:footnoteReference w:id="61"/>
      </w:r>
      <w:r w:rsidRPr="000548FA">
        <w:rPr>
          <w:rFonts w:eastAsia="Verdana" w:cs="Verdana"/>
          <w:color w:val="000000" w:themeColor="text1"/>
          <w:sz w:val="32"/>
          <w:szCs w:val="32"/>
        </w:rPr>
        <w:t xml:space="preserve"> </w:t>
      </w:r>
    </w:p>
    <w:p w14:paraId="16A60D82" w14:textId="3D78BBA1" w:rsidR="0859BABD" w:rsidRPr="000548FA" w:rsidRDefault="71D049EA" w:rsidP="000548FA">
      <w:pPr>
        <w:pStyle w:val="ParaLevel1"/>
        <w:spacing w:line="360" w:lineRule="auto"/>
        <w:rPr>
          <w:rFonts w:eastAsia="Verdana"/>
          <w:sz w:val="32"/>
          <w:szCs w:val="32"/>
        </w:rPr>
      </w:pPr>
      <w:r w:rsidRPr="000548FA">
        <w:rPr>
          <w:rFonts w:eastAsia="Verdana" w:cs="Verdana"/>
          <w:color w:val="000000" w:themeColor="text1"/>
          <w:sz w:val="32"/>
          <w:szCs w:val="32"/>
        </w:rPr>
        <w:lastRenderedPageBreak/>
        <w:t>Disabled people have reported discrimination in accessing the housing market; when implementing accessibility measures in the home; and in the context of their tenure being considered.</w:t>
      </w:r>
      <w:r w:rsidR="0859BABD" w:rsidRPr="000548FA">
        <w:rPr>
          <w:rStyle w:val="FootnoteReference"/>
          <w:rFonts w:eastAsia="Verdana" w:cs="Verdana"/>
          <w:color w:val="000000" w:themeColor="text1"/>
          <w:sz w:val="32"/>
          <w:szCs w:val="32"/>
          <w:lang w:val="en-NZ"/>
        </w:rPr>
        <w:footnoteReference w:id="62"/>
      </w:r>
      <w:r w:rsidRPr="000548FA">
        <w:rPr>
          <w:rFonts w:eastAsia="Verdana" w:cs="Verdana"/>
          <w:color w:val="000000" w:themeColor="text1"/>
          <w:sz w:val="32"/>
          <w:szCs w:val="32"/>
        </w:rPr>
        <w:t xml:space="preserve"> In a competitive rental market, disable</w:t>
      </w:r>
      <w:r w:rsidR="0090561F" w:rsidRPr="000548FA">
        <w:rPr>
          <w:rFonts w:eastAsia="Verdana" w:cs="Verdana"/>
          <w:color w:val="000000" w:themeColor="text1"/>
          <w:sz w:val="32"/>
          <w:szCs w:val="32"/>
        </w:rPr>
        <w:t>d</w:t>
      </w:r>
      <w:r w:rsidRPr="000548FA">
        <w:rPr>
          <w:rFonts w:eastAsia="Verdana" w:cs="Verdana"/>
          <w:color w:val="000000" w:themeColor="text1"/>
          <w:sz w:val="32"/>
          <w:szCs w:val="32"/>
        </w:rPr>
        <w:t xml:space="preserve"> people and those with service animals report feeling at a distinct disadvantage due to being perceived as ’high risk’ tenants.</w:t>
      </w:r>
      <w:r w:rsidR="0859BABD" w:rsidRPr="000548FA">
        <w:rPr>
          <w:rStyle w:val="FootnoteReference"/>
          <w:rFonts w:eastAsia="Verdana" w:cs="Verdana"/>
          <w:color w:val="000000" w:themeColor="text1"/>
          <w:sz w:val="32"/>
          <w:szCs w:val="32"/>
          <w:lang w:val="en-NZ"/>
        </w:rPr>
        <w:footnoteReference w:id="63"/>
      </w:r>
      <w:r w:rsidR="00112326" w:rsidRPr="000548FA">
        <w:rPr>
          <w:rFonts w:eastAsia="Verdana" w:cs="Verdana"/>
          <w:color w:val="000000" w:themeColor="text1"/>
          <w:sz w:val="32"/>
          <w:szCs w:val="32"/>
        </w:rPr>
        <w:t xml:space="preserve"> </w:t>
      </w:r>
      <w:r w:rsidR="00E83773" w:rsidRPr="000548FA">
        <w:rPr>
          <w:rFonts w:eastAsia="Verdana" w:cs="Verdana"/>
          <w:color w:val="000000" w:themeColor="text1"/>
          <w:sz w:val="32"/>
          <w:szCs w:val="32"/>
        </w:rPr>
        <w:t>For</w:t>
      </w:r>
      <w:r w:rsidR="00112326" w:rsidRPr="000548FA">
        <w:rPr>
          <w:rFonts w:eastAsia="Verdana" w:cs="Verdana"/>
          <w:color w:val="000000" w:themeColor="text1"/>
          <w:sz w:val="32"/>
          <w:szCs w:val="32"/>
        </w:rPr>
        <w:t xml:space="preserve"> example, </w:t>
      </w:r>
      <w:r w:rsidR="00F62DEC" w:rsidRPr="000548FA">
        <w:rPr>
          <w:rFonts w:eastAsia="Verdana" w:cs="Verdana"/>
          <w:color w:val="000000" w:themeColor="text1"/>
          <w:sz w:val="32"/>
          <w:szCs w:val="32"/>
        </w:rPr>
        <w:t>disabled people who are wheelchair users report being denied tenanc</w:t>
      </w:r>
      <w:r w:rsidR="00E83773" w:rsidRPr="000548FA">
        <w:rPr>
          <w:rFonts w:eastAsia="Verdana" w:cs="Verdana"/>
          <w:color w:val="000000" w:themeColor="text1"/>
          <w:sz w:val="32"/>
          <w:szCs w:val="32"/>
        </w:rPr>
        <w:t>ies</w:t>
      </w:r>
      <w:r w:rsidR="00F62DEC" w:rsidRPr="000548FA">
        <w:rPr>
          <w:rFonts w:eastAsia="Verdana" w:cs="Verdana"/>
          <w:color w:val="000000" w:themeColor="text1"/>
          <w:sz w:val="32"/>
          <w:szCs w:val="32"/>
        </w:rPr>
        <w:t xml:space="preserve"> due to wear on carpet, despite landlords being able to claim insurance.</w:t>
      </w:r>
      <w:r w:rsidR="00DF76E7" w:rsidRPr="000548FA">
        <w:rPr>
          <w:rFonts w:eastAsia="Verdana" w:cs="Verdana"/>
          <w:color w:val="000000" w:themeColor="text1"/>
          <w:sz w:val="32"/>
          <w:szCs w:val="32"/>
        </w:rPr>
        <w:t xml:space="preserve"> Similarly, landlords and property managers may refuse </w:t>
      </w:r>
      <w:r w:rsidR="00937959" w:rsidRPr="000548FA">
        <w:rPr>
          <w:rFonts w:eastAsia="Verdana" w:cs="Verdana"/>
          <w:color w:val="000000" w:themeColor="text1"/>
          <w:sz w:val="32"/>
          <w:szCs w:val="32"/>
        </w:rPr>
        <w:t>tenancies to those with service animals despite this being illegal.</w:t>
      </w:r>
      <w:r w:rsidR="00B07264" w:rsidRPr="000548FA">
        <w:rPr>
          <w:rFonts w:eastAsia="Verdana" w:cs="Verdana"/>
          <w:color w:val="000000" w:themeColor="text1"/>
          <w:sz w:val="32"/>
          <w:szCs w:val="32"/>
        </w:rPr>
        <w:t xml:space="preserve"> </w:t>
      </w:r>
      <w:r w:rsidR="007C50AA" w:rsidRPr="000548FA">
        <w:rPr>
          <w:rFonts w:eastAsia="Verdana" w:cs="Verdana"/>
          <w:color w:val="000000" w:themeColor="text1"/>
          <w:sz w:val="32"/>
          <w:szCs w:val="32"/>
        </w:rPr>
        <w:t>D</w:t>
      </w:r>
      <w:r w:rsidR="007E59E6" w:rsidRPr="000548FA">
        <w:rPr>
          <w:rFonts w:eastAsia="Verdana" w:cs="Verdana"/>
          <w:color w:val="000000" w:themeColor="text1"/>
          <w:sz w:val="32"/>
          <w:szCs w:val="32"/>
        </w:rPr>
        <w:t xml:space="preserve">iscrimination against disabled people </w:t>
      </w:r>
      <w:r w:rsidR="00427C64" w:rsidRPr="000548FA">
        <w:rPr>
          <w:rFonts w:eastAsia="Verdana" w:cs="Verdana"/>
          <w:color w:val="000000" w:themeColor="text1"/>
          <w:sz w:val="32"/>
          <w:szCs w:val="32"/>
        </w:rPr>
        <w:t xml:space="preserve">in accessing </w:t>
      </w:r>
      <w:r w:rsidR="00CD6C28" w:rsidRPr="000548FA">
        <w:rPr>
          <w:rFonts w:eastAsia="Verdana" w:cs="Verdana"/>
          <w:color w:val="000000" w:themeColor="text1"/>
          <w:sz w:val="32"/>
          <w:szCs w:val="32"/>
        </w:rPr>
        <w:t xml:space="preserve">and staying in rental properties </w:t>
      </w:r>
      <w:r w:rsidR="007E59E6" w:rsidRPr="000548FA">
        <w:rPr>
          <w:rFonts w:eastAsia="Verdana" w:cs="Verdana"/>
          <w:color w:val="000000" w:themeColor="text1"/>
          <w:sz w:val="32"/>
          <w:szCs w:val="32"/>
        </w:rPr>
        <w:t>was highlighted</w:t>
      </w:r>
      <w:r w:rsidR="00775A7B" w:rsidRPr="000548FA">
        <w:rPr>
          <w:rFonts w:eastAsia="Verdana" w:cs="Verdana"/>
          <w:color w:val="000000" w:themeColor="text1"/>
          <w:sz w:val="32"/>
          <w:szCs w:val="32"/>
        </w:rPr>
        <w:t xml:space="preserve"> as an ongoing issue</w:t>
      </w:r>
      <w:r w:rsidR="007E59E6" w:rsidRPr="000548FA">
        <w:rPr>
          <w:rFonts w:eastAsia="Verdana" w:cs="Verdana"/>
          <w:color w:val="000000" w:themeColor="text1"/>
          <w:sz w:val="32"/>
          <w:szCs w:val="32"/>
        </w:rPr>
        <w:t xml:space="preserve"> by the </w:t>
      </w:r>
      <w:r w:rsidR="00775A7B" w:rsidRPr="000548FA">
        <w:rPr>
          <w:rFonts w:eastAsia="Verdana" w:cs="Verdana"/>
          <w:color w:val="000000" w:themeColor="text1"/>
          <w:sz w:val="32"/>
          <w:szCs w:val="32"/>
        </w:rPr>
        <w:t xml:space="preserve">UN </w:t>
      </w:r>
      <w:r w:rsidR="007E59E6" w:rsidRPr="000548FA">
        <w:rPr>
          <w:rFonts w:eastAsia="Verdana" w:cs="Verdana"/>
          <w:color w:val="000000" w:themeColor="text1"/>
          <w:sz w:val="32"/>
          <w:szCs w:val="32"/>
        </w:rPr>
        <w:t xml:space="preserve">Special Rapporteur </w:t>
      </w:r>
      <w:r w:rsidR="00775A7B" w:rsidRPr="000548FA">
        <w:rPr>
          <w:rFonts w:eastAsia="Verdana" w:cs="Verdana"/>
          <w:color w:val="000000" w:themeColor="text1"/>
          <w:sz w:val="32"/>
          <w:szCs w:val="32"/>
        </w:rPr>
        <w:t>on the right to housing.</w:t>
      </w:r>
      <w:r w:rsidR="00775A7B" w:rsidRPr="000548FA">
        <w:rPr>
          <w:rStyle w:val="FootnoteReference"/>
          <w:rFonts w:eastAsia="Verdana" w:cs="Verdana"/>
          <w:color w:val="000000" w:themeColor="text1"/>
          <w:sz w:val="32"/>
          <w:szCs w:val="32"/>
        </w:rPr>
        <w:footnoteReference w:id="64"/>
      </w:r>
    </w:p>
    <w:p w14:paraId="14AA3D2D" w14:textId="77777777" w:rsidR="00DF5C11" w:rsidRPr="000548FA" w:rsidRDefault="00DF5C11" w:rsidP="000548FA">
      <w:pPr>
        <w:pStyle w:val="Heading2"/>
        <w:spacing w:line="360" w:lineRule="auto"/>
        <w:rPr>
          <w:rFonts w:eastAsia="Verdana" w:cs="Verdana"/>
          <w:b w:val="0"/>
          <w:bCs w:val="0"/>
          <w:color w:val="000000" w:themeColor="text1"/>
          <w:sz w:val="36"/>
          <w:szCs w:val="36"/>
        </w:rPr>
      </w:pPr>
      <w:r w:rsidRPr="000548FA">
        <w:rPr>
          <w:sz w:val="36"/>
          <w:szCs w:val="36"/>
        </w:rPr>
        <w:t xml:space="preserve">Work underway </w:t>
      </w:r>
    </w:p>
    <w:p w14:paraId="61F9B545" w14:textId="7483A7CE" w:rsidR="00DF5C11" w:rsidRPr="000548FA" w:rsidRDefault="00DF5C11" w:rsidP="000548FA">
      <w:pPr>
        <w:pStyle w:val="ParaLevel1"/>
        <w:spacing w:line="360" w:lineRule="auto"/>
        <w:rPr>
          <w:rFonts w:eastAsia="Verdana"/>
          <w:sz w:val="32"/>
          <w:szCs w:val="32"/>
        </w:rPr>
      </w:pPr>
      <w:r w:rsidRPr="000548FA">
        <w:rPr>
          <w:rFonts w:eastAsia="Verdana"/>
          <w:sz w:val="32"/>
          <w:szCs w:val="32"/>
        </w:rPr>
        <w:t>There are a number of</w:t>
      </w:r>
      <w:r w:rsidR="006670B1" w:rsidRPr="000548FA">
        <w:rPr>
          <w:rFonts w:eastAsia="Verdana"/>
          <w:sz w:val="32"/>
          <w:szCs w:val="32"/>
        </w:rPr>
        <w:t xml:space="preserve"> supports and</w:t>
      </w:r>
      <w:r w:rsidRPr="000548FA">
        <w:rPr>
          <w:rFonts w:eastAsia="Verdana"/>
          <w:sz w:val="32"/>
          <w:szCs w:val="32"/>
        </w:rPr>
        <w:t xml:space="preserve"> initiatives underway and being planned to improve housing outcomes for disabled people. These are outlined in the table at </w:t>
      </w:r>
      <w:r w:rsidRPr="000548FA">
        <w:rPr>
          <w:rFonts w:eastAsia="Verdana"/>
          <w:b/>
          <w:bCs/>
          <w:sz w:val="32"/>
          <w:szCs w:val="32"/>
        </w:rPr>
        <w:t xml:space="preserve">Appendix </w:t>
      </w:r>
      <w:r w:rsidR="00252AF9" w:rsidRPr="000548FA">
        <w:rPr>
          <w:rFonts w:eastAsia="Verdana"/>
          <w:b/>
          <w:bCs/>
          <w:sz w:val="32"/>
          <w:szCs w:val="32"/>
        </w:rPr>
        <w:t>A</w:t>
      </w:r>
      <w:r w:rsidRPr="000548FA">
        <w:rPr>
          <w:rFonts w:eastAsia="Verdana"/>
          <w:sz w:val="32"/>
          <w:szCs w:val="32"/>
        </w:rPr>
        <w:t>.</w:t>
      </w:r>
    </w:p>
    <w:p w14:paraId="43AC14AC" w14:textId="77777777" w:rsidR="00DF5C11" w:rsidRPr="000548FA" w:rsidRDefault="00DF5C11" w:rsidP="000548FA">
      <w:pPr>
        <w:pStyle w:val="Heading3"/>
        <w:spacing w:line="360" w:lineRule="auto"/>
        <w:rPr>
          <w:sz w:val="32"/>
          <w:szCs w:val="32"/>
        </w:rPr>
      </w:pPr>
      <w:r w:rsidRPr="000548FA">
        <w:rPr>
          <w:sz w:val="32"/>
          <w:szCs w:val="32"/>
        </w:rPr>
        <w:lastRenderedPageBreak/>
        <w:t>There are both existing cross-government initiatives and initiatives led by other agencies relating to disabled people and housing, and further work planned</w:t>
      </w:r>
    </w:p>
    <w:p w14:paraId="3BA1E6F2" w14:textId="14B3B5E4" w:rsidR="00DF5C11" w:rsidRPr="000548FA" w:rsidRDefault="00DF5C11" w:rsidP="000548FA">
      <w:pPr>
        <w:pStyle w:val="Heading4"/>
        <w:spacing w:line="360" w:lineRule="auto"/>
        <w:rPr>
          <w:bCs/>
          <w:iCs w:val="0"/>
          <w:sz w:val="32"/>
          <w:szCs w:val="32"/>
        </w:rPr>
      </w:pPr>
      <w:r w:rsidRPr="000548FA">
        <w:rPr>
          <w:iCs w:val="0"/>
          <w:sz w:val="32"/>
          <w:szCs w:val="32"/>
        </w:rPr>
        <w:t>Multiple agencies – Community Group Housing</w:t>
      </w:r>
    </w:p>
    <w:p w14:paraId="4D25B14C" w14:textId="26D2D342" w:rsidR="00DF5C11" w:rsidRPr="000548FA" w:rsidRDefault="00DF5C11" w:rsidP="000548FA">
      <w:pPr>
        <w:pStyle w:val="ParaLevel1"/>
        <w:spacing w:line="360" w:lineRule="auto"/>
        <w:rPr>
          <w:rFonts w:eastAsia="Verdana" w:cs="Verdana"/>
          <w:sz w:val="32"/>
          <w:szCs w:val="32"/>
        </w:rPr>
      </w:pPr>
      <w:r w:rsidRPr="000548FA">
        <w:rPr>
          <w:rFonts w:eastAsia="Verdana" w:cs="Verdana"/>
          <w:sz w:val="32"/>
          <w:szCs w:val="32"/>
        </w:rPr>
        <w:t xml:space="preserve">Kāinga Ora provides Community Group Housing (CGH) which is distinct from its social housing portfolio and is an enabler of residential community-based service provision to at-risk communities, including disabled people. </w:t>
      </w:r>
    </w:p>
    <w:p w14:paraId="028F8052" w14:textId="6ACC096D" w:rsidR="00DF5C11" w:rsidRPr="000548FA" w:rsidRDefault="00DF5C11" w:rsidP="000548FA">
      <w:pPr>
        <w:pStyle w:val="ParaLevel1"/>
        <w:spacing w:line="360" w:lineRule="auto"/>
        <w:rPr>
          <w:rFonts w:eastAsia="Verdana" w:cs="Verdana"/>
          <w:sz w:val="32"/>
          <w:szCs w:val="32"/>
        </w:rPr>
      </w:pPr>
      <w:r w:rsidRPr="000548FA">
        <w:rPr>
          <w:rFonts w:eastAsia="Verdana" w:cs="Verdana"/>
          <w:sz w:val="32"/>
          <w:szCs w:val="32"/>
        </w:rPr>
        <w:t>CGH properties are leased or rented directly from Kāinga Ora to third party service providers who are funded by government agencies such as Te Whatu Ora. These properties are often modified or built to meet specifications that are harder to find or not available on the private market.</w:t>
      </w:r>
      <w:r w:rsidR="006670B1" w:rsidRPr="000548FA">
        <w:rPr>
          <w:rFonts w:eastAsia="Verdana" w:cs="Verdana"/>
          <w:sz w:val="32"/>
          <w:szCs w:val="32"/>
        </w:rPr>
        <w:t xml:space="preserve"> </w:t>
      </w:r>
      <w:r w:rsidRPr="000548FA">
        <w:rPr>
          <w:rFonts w:eastAsia="Verdana" w:cs="Verdana"/>
          <w:sz w:val="32"/>
          <w:szCs w:val="32"/>
        </w:rPr>
        <w:t>Approximately one third of the CGH portfolio is leased or rent</w:t>
      </w:r>
      <w:r w:rsidR="005E32B8" w:rsidRPr="000548FA">
        <w:rPr>
          <w:rFonts w:eastAsia="Verdana" w:cs="Verdana"/>
          <w:sz w:val="32"/>
          <w:szCs w:val="32"/>
        </w:rPr>
        <w:t>ed</w:t>
      </w:r>
      <w:r w:rsidRPr="000548FA">
        <w:rPr>
          <w:rFonts w:eastAsia="Verdana" w:cs="Verdana"/>
          <w:sz w:val="32"/>
          <w:szCs w:val="32"/>
        </w:rPr>
        <w:t xml:space="preserve"> to disability service providers for residential services.</w:t>
      </w:r>
      <w:r w:rsidRPr="000548FA">
        <w:rPr>
          <w:rStyle w:val="FootnoteReference"/>
          <w:rFonts w:eastAsia="Verdana" w:cs="Verdana"/>
          <w:sz w:val="32"/>
          <w:szCs w:val="32"/>
          <w:lang w:val="en-NZ"/>
        </w:rPr>
        <w:footnoteReference w:id="65"/>
      </w:r>
      <w:r w:rsidRPr="000548FA">
        <w:rPr>
          <w:rFonts w:eastAsia="Verdana" w:cs="Verdana"/>
          <w:sz w:val="32"/>
          <w:szCs w:val="32"/>
        </w:rPr>
        <w:t xml:space="preserve"> </w:t>
      </w:r>
    </w:p>
    <w:p w14:paraId="563A8D60" w14:textId="1D536F3F" w:rsidR="00DF5C11" w:rsidRPr="00FB3800" w:rsidRDefault="005D78E8" w:rsidP="00BC17C1">
      <w:pPr>
        <w:pStyle w:val="ParaLevel1"/>
        <w:pBdr>
          <w:top w:val="single" w:sz="4" w:space="1" w:color="auto"/>
          <w:left w:val="single" w:sz="4" w:space="4" w:color="auto"/>
          <w:bottom w:val="single" w:sz="4" w:space="1" w:color="auto"/>
          <w:right w:val="single" w:sz="4" w:space="4" w:color="auto"/>
        </w:pBdr>
        <w:spacing w:line="360" w:lineRule="auto"/>
        <w:rPr>
          <w:rFonts w:eastAsia="Verdana" w:cs="Verdana"/>
          <w:sz w:val="32"/>
          <w:szCs w:val="32"/>
        </w:rPr>
      </w:pPr>
      <w:r>
        <w:rPr>
          <w:rFonts w:eastAsia="Verdana" w:cs="Verdana"/>
          <w:sz w:val="32"/>
          <w:szCs w:val="32"/>
        </w:rPr>
        <w:t>Redacted</w:t>
      </w:r>
    </w:p>
    <w:p w14:paraId="3FC2AC9A" w14:textId="77777777" w:rsidR="005B6804" w:rsidRDefault="005B6804" w:rsidP="000548FA">
      <w:pPr>
        <w:pStyle w:val="Heading4"/>
        <w:spacing w:line="360" w:lineRule="auto"/>
        <w:rPr>
          <w:iCs w:val="0"/>
          <w:sz w:val="32"/>
          <w:szCs w:val="32"/>
        </w:rPr>
      </w:pPr>
    </w:p>
    <w:p w14:paraId="6ACAA3B6" w14:textId="77777777" w:rsidR="005B6804" w:rsidRDefault="005B6804" w:rsidP="000548FA">
      <w:pPr>
        <w:pStyle w:val="Heading4"/>
        <w:spacing w:line="360" w:lineRule="auto"/>
        <w:rPr>
          <w:iCs w:val="0"/>
          <w:sz w:val="32"/>
          <w:szCs w:val="32"/>
        </w:rPr>
      </w:pPr>
    </w:p>
    <w:p w14:paraId="1F4E6F93" w14:textId="2A647433" w:rsidR="00DF5C11" w:rsidRPr="000548FA" w:rsidRDefault="00DF5C11" w:rsidP="000548FA">
      <w:pPr>
        <w:pStyle w:val="Heading4"/>
        <w:spacing w:line="360" w:lineRule="auto"/>
        <w:rPr>
          <w:iCs w:val="0"/>
          <w:sz w:val="32"/>
          <w:szCs w:val="32"/>
        </w:rPr>
      </w:pPr>
      <w:r w:rsidRPr="000548FA">
        <w:rPr>
          <w:iCs w:val="0"/>
          <w:sz w:val="32"/>
          <w:szCs w:val="32"/>
        </w:rPr>
        <w:lastRenderedPageBreak/>
        <w:t>Ministry of Housing and Urban Development (HUD)</w:t>
      </w:r>
    </w:p>
    <w:p w14:paraId="1F1B20C3" w14:textId="7D4C71D5" w:rsidR="00DF5C11" w:rsidRPr="000548FA" w:rsidRDefault="00DF5C11" w:rsidP="000548FA">
      <w:pPr>
        <w:pStyle w:val="ParaLevel1"/>
        <w:spacing w:line="360" w:lineRule="auto"/>
        <w:rPr>
          <w:sz w:val="32"/>
          <w:szCs w:val="32"/>
        </w:rPr>
      </w:pPr>
      <w:r w:rsidRPr="000548FA">
        <w:rPr>
          <w:rFonts w:eastAsia="Verdana" w:cs="Verdana"/>
          <w:sz w:val="32"/>
          <w:szCs w:val="32"/>
        </w:rPr>
        <w:t xml:space="preserve">HUD is leading Phase two of an Early Interventions work programme, which sits under the emergency housing delivery plan for Target 8. The scope </w:t>
      </w:r>
      <w:r w:rsidR="006670B1" w:rsidRPr="000548FA">
        <w:rPr>
          <w:rFonts w:eastAsia="Verdana" w:cs="Verdana"/>
          <w:sz w:val="32"/>
          <w:szCs w:val="32"/>
        </w:rPr>
        <w:t xml:space="preserve">of this work is </w:t>
      </w:r>
      <w:r w:rsidRPr="000548FA">
        <w:rPr>
          <w:rFonts w:eastAsia="Verdana" w:cs="Verdana"/>
          <w:sz w:val="32"/>
          <w:szCs w:val="32"/>
        </w:rPr>
        <w:t xml:space="preserve">still to be confirmed by the Minister. </w:t>
      </w:r>
      <w:r w:rsidR="006670B1" w:rsidRPr="000548FA">
        <w:rPr>
          <w:rFonts w:eastAsia="Verdana" w:cs="Verdana"/>
          <w:sz w:val="32"/>
          <w:szCs w:val="32"/>
        </w:rPr>
        <w:t>The</w:t>
      </w:r>
      <w:r w:rsidRPr="000548FA">
        <w:rPr>
          <w:rFonts w:eastAsia="Verdana" w:cs="Verdana"/>
          <w:sz w:val="32"/>
          <w:szCs w:val="32"/>
        </w:rPr>
        <w:t xml:space="preserve"> work takes a system level approach to determine areas for improvement to ensure people receive the right support at the right time to prevent a need for emergency housing from arising. Whaikaha will be involved in forthcoming agency engagement and collaboration in this area.   </w:t>
      </w:r>
      <w:r w:rsidRPr="000548FA">
        <w:rPr>
          <w:sz w:val="32"/>
          <w:szCs w:val="32"/>
        </w:rPr>
        <w:t xml:space="preserve"> </w:t>
      </w:r>
    </w:p>
    <w:p w14:paraId="6EC4A1D1" w14:textId="5B1A0F3A" w:rsidR="00DF5C11" w:rsidRPr="000548FA" w:rsidRDefault="00DF5C11" w:rsidP="000548FA">
      <w:pPr>
        <w:pStyle w:val="ParaLevel1"/>
        <w:spacing w:line="360" w:lineRule="auto"/>
        <w:rPr>
          <w:rFonts w:eastAsia="Verdana"/>
          <w:sz w:val="32"/>
          <w:szCs w:val="32"/>
        </w:rPr>
      </w:pPr>
      <w:r w:rsidRPr="000548FA">
        <w:rPr>
          <w:sz w:val="32"/>
          <w:szCs w:val="32"/>
        </w:rPr>
        <w:t xml:space="preserve">A priority for the Minister of Housing is delivering better social housing. There is an opportunity for the Government to consider targeting social housing and affordable rentals more to the needs of disabled people. HUD is also looking at how to ensure the right kinds of social housing is purchased to meets people’s needs. </w:t>
      </w:r>
    </w:p>
    <w:p w14:paraId="0880CBFC" w14:textId="77777777" w:rsidR="00DF5C11" w:rsidRPr="000548FA" w:rsidRDefault="00DF5C11" w:rsidP="000548FA">
      <w:pPr>
        <w:pStyle w:val="Heading4"/>
        <w:spacing w:line="360" w:lineRule="auto"/>
        <w:rPr>
          <w:iCs w:val="0"/>
          <w:sz w:val="32"/>
          <w:szCs w:val="32"/>
        </w:rPr>
      </w:pPr>
      <w:r w:rsidRPr="000548FA">
        <w:rPr>
          <w:iCs w:val="0"/>
          <w:sz w:val="32"/>
          <w:szCs w:val="32"/>
        </w:rPr>
        <w:t>Kāinga Ora</w:t>
      </w:r>
    </w:p>
    <w:p w14:paraId="501E3C2B" w14:textId="0F6436C3" w:rsidR="00DF5C11" w:rsidRPr="000548FA" w:rsidRDefault="00DF5C11" w:rsidP="000548FA">
      <w:pPr>
        <w:pStyle w:val="ParaLevel1"/>
        <w:spacing w:line="360" w:lineRule="auto"/>
        <w:rPr>
          <w:rStyle w:val="normaltextrun"/>
          <w:sz w:val="32"/>
          <w:szCs w:val="32"/>
        </w:rPr>
      </w:pPr>
      <w:r w:rsidRPr="000548FA">
        <w:rPr>
          <w:rStyle w:val="normaltextrun"/>
          <w:color w:val="000000"/>
          <w:sz w:val="32"/>
          <w:szCs w:val="32"/>
          <w:shd w:val="clear" w:color="auto" w:fill="FFFFFF"/>
        </w:rPr>
        <w:t>The Kāinga Ora accessibility work programme has been focussed on helping to improve accessibility for its customers.  Kāinga Ora published their Accessibility Policy in late 2019. It was intended to be refreshed after 2022, but th</w:t>
      </w:r>
      <w:r w:rsidR="00BC0E92" w:rsidRPr="000548FA">
        <w:rPr>
          <w:rStyle w:val="normaltextrun"/>
          <w:color w:val="000000"/>
          <w:sz w:val="32"/>
          <w:szCs w:val="32"/>
          <w:shd w:val="clear" w:color="auto" w:fill="FFFFFF"/>
        </w:rPr>
        <w:t xml:space="preserve">e refresh </w:t>
      </w:r>
      <w:r w:rsidRPr="000548FA">
        <w:rPr>
          <w:rStyle w:val="normaltextrun"/>
          <w:color w:val="000000"/>
          <w:sz w:val="32"/>
          <w:szCs w:val="32"/>
          <w:shd w:val="clear" w:color="auto" w:fill="FFFFFF"/>
        </w:rPr>
        <w:t xml:space="preserve">has been paused until Kāinga Ora </w:t>
      </w:r>
      <w:r w:rsidRPr="000548FA">
        <w:rPr>
          <w:rStyle w:val="normaltextrun"/>
          <w:color w:val="000000"/>
          <w:sz w:val="32"/>
          <w:szCs w:val="32"/>
          <w:shd w:val="clear" w:color="auto" w:fill="FFFFFF"/>
        </w:rPr>
        <w:lastRenderedPageBreak/>
        <w:t xml:space="preserve">has clarity on the government’s priorities related to its work programme. </w:t>
      </w:r>
    </w:p>
    <w:p w14:paraId="32F70B3F" w14:textId="142C19C5" w:rsidR="00DF5C11" w:rsidRPr="000548FA" w:rsidRDefault="00134150" w:rsidP="000548FA">
      <w:pPr>
        <w:pStyle w:val="ParaLevel1"/>
        <w:spacing w:line="360" w:lineRule="auto"/>
        <w:rPr>
          <w:rStyle w:val="normaltextrun"/>
          <w:sz w:val="32"/>
          <w:szCs w:val="32"/>
        </w:rPr>
      </w:pPr>
      <w:r w:rsidRPr="000548FA">
        <w:rPr>
          <w:rStyle w:val="normaltextrun"/>
          <w:color w:val="000000"/>
          <w:sz w:val="32"/>
          <w:szCs w:val="32"/>
          <w:shd w:val="clear" w:color="auto" w:fill="FFFFFF"/>
        </w:rPr>
        <w:t>Kāinga Ora has an ongoing</w:t>
      </w:r>
      <w:r w:rsidR="00DF5C11" w:rsidRPr="000548FA">
        <w:rPr>
          <w:rStyle w:val="normaltextrun"/>
          <w:color w:val="000000"/>
          <w:sz w:val="32"/>
          <w:szCs w:val="32"/>
          <w:shd w:val="clear" w:color="auto" w:fill="FFFFFF"/>
        </w:rPr>
        <w:t xml:space="preserve"> accessibility work programme</w:t>
      </w:r>
      <w:r w:rsidRPr="000548FA">
        <w:rPr>
          <w:rStyle w:val="CommentReference"/>
          <w:sz w:val="32"/>
          <w:szCs w:val="32"/>
        </w:rPr>
        <w:t>, g</w:t>
      </w:r>
      <w:r w:rsidR="00DF5C11" w:rsidRPr="000548FA">
        <w:rPr>
          <w:rStyle w:val="normaltextrun"/>
          <w:color w:val="000000"/>
          <w:sz w:val="32"/>
          <w:szCs w:val="32"/>
          <w:shd w:val="clear" w:color="auto" w:fill="FFFFFF"/>
        </w:rPr>
        <w:t xml:space="preserve">uided by the outcomes in the </w:t>
      </w:r>
      <w:r w:rsidR="00BC0E92" w:rsidRPr="000548FA">
        <w:rPr>
          <w:rStyle w:val="normaltextrun"/>
          <w:color w:val="000000"/>
          <w:sz w:val="32"/>
          <w:szCs w:val="32"/>
          <w:shd w:val="clear" w:color="auto" w:fill="FFFFFF"/>
        </w:rPr>
        <w:t xml:space="preserve">existing </w:t>
      </w:r>
      <w:r w:rsidR="00DF5C11" w:rsidRPr="000548FA">
        <w:rPr>
          <w:rStyle w:val="normaltextrun"/>
          <w:color w:val="000000"/>
          <w:sz w:val="32"/>
          <w:szCs w:val="32"/>
          <w:shd w:val="clear" w:color="auto" w:fill="FFFFFF"/>
        </w:rPr>
        <w:t>Accessibility Policy:</w:t>
      </w:r>
    </w:p>
    <w:p w14:paraId="4A77509E" w14:textId="191DA4E7" w:rsidR="00DF5C11" w:rsidRPr="000548FA" w:rsidRDefault="00DF5C11" w:rsidP="000548FA">
      <w:pPr>
        <w:pStyle w:val="ParaLevel2"/>
        <w:tabs>
          <w:tab w:val="clear" w:pos="567"/>
        </w:tabs>
        <w:spacing w:line="360" w:lineRule="auto"/>
        <w:rPr>
          <w:rStyle w:val="normaltextrun"/>
          <w:sz w:val="32"/>
          <w:szCs w:val="32"/>
        </w:rPr>
      </w:pPr>
      <w:r w:rsidRPr="000548FA">
        <w:rPr>
          <w:b/>
          <w:bCs/>
          <w:sz w:val="32"/>
          <w:szCs w:val="32"/>
        </w:rPr>
        <w:t>Increasing the number of universally designed properties</w:t>
      </w:r>
      <w:r w:rsidRPr="000548FA">
        <w:rPr>
          <w:sz w:val="32"/>
          <w:szCs w:val="32"/>
        </w:rPr>
        <w:t xml:space="preserve"> - </w:t>
      </w:r>
      <w:r w:rsidRPr="000548FA">
        <w:rPr>
          <w:rStyle w:val="normaltextrun"/>
          <w:color w:val="000000"/>
          <w:sz w:val="32"/>
          <w:szCs w:val="32"/>
          <w:shd w:val="clear" w:color="auto" w:fill="FFFFFF"/>
        </w:rPr>
        <w:t xml:space="preserve">Kāinga Ora plays a key role in delivering universally designed homes in New Zealand. This is particularly important as New Zealand is behind considering international standards in addressing the housing accessibility needs of an aging population. </w:t>
      </w:r>
    </w:p>
    <w:p w14:paraId="5E5CAA58" w14:textId="408F1238" w:rsidR="00DF5C11" w:rsidRPr="000548FA" w:rsidRDefault="00DF5C11" w:rsidP="000548FA">
      <w:pPr>
        <w:pStyle w:val="ParaLevel2"/>
        <w:tabs>
          <w:tab w:val="clear" w:pos="567"/>
        </w:tabs>
        <w:spacing w:line="360" w:lineRule="auto"/>
        <w:rPr>
          <w:rStyle w:val="eop"/>
          <w:sz w:val="32"/>
          <w:szCs w:val="32"/>
        </w:rPr>
      </w:pPr>
      <w:r w:rsidRPr="000548FA">
        <w:rPr>
          <w:b/>
          <w:bCs/>
          <w:sz w:val="32"/>
          <w:szCs w:val="32"/>
        </w:rPr>
        <w:t>Modifications –</w:t>
      </w:r>
      <w:r w:rsidRPr="000548FA">
        <w:rPr>
          <w:sz w:val="32"/>
          <w:szCs w:val="32"/>
        </w:rPr>
        <w:t xml:space="preserve"> </w:t>
      </w:r>
      <w:r w:rsidRPr="000548FA">
        <w:rPr>
          <w:rStyle w:val="normaltextrun"/>
          <w:sz w:val="32"/>
          <w:szCs w:val="32"/>
        </w:rPr>
        <w:t>Kāinga Ora works with funding agencies</w:t>
      </w:r>
      <w:r w:rsidR="006670B1" w:rsidRPr="000548FA">
        <w:rPr>
          <w:rStyle w:val="normaltextrun"/>
          <w:sz w:val="32"/>
          <w:szCs w:val="32"/>
        </w:rPr>
        <w:t xml:space="preserve"> (MSD and ACC)</w:t>
      </w:r>
      <w:r w:rsidRPr="000548FA">
        <w:rPr>
          <w:rStyle w:val="normaltextrun"/>
          <w:sz w:val="32"/>
          <w:szCs w:val="32"/>
        </w:rPr>
        <w:t xml:space="preserve"> to allow its properties to be modified to meet the needs of its customers so they can live well in their homes.</w:t>
      </w:r>
      <w:r w:rsidRPr="000548FA">
        <w:rPr>
          <w:rStyle w:val="FootnoteReference"/>
          <w:sz w:val="32"/>
          <w:szCs w:val="32"/>
          <w:lang w:val="en-NZ"/>
        </w:rPr>
        <w:footnoteReference w:id="66"/>
      </w:r>
      <w:r w:rsidRPr="000548FA">
        <w:rPr>
          <w:rStyle w:val="normaltextrun"/>
          <w:sz w:val="32"/>
          <w:szCs w:val="32"/>
        </w:rPr>
        <w:t xml:space="preserve"> This will be a priority workstream for 2025. Throughout 2024, Kāinga Ora has worked to improve its own modification processes.</w:t>
      </w:r>
    </w:p>
    <w:p w14:paraId="23FFCFDB" w14:textId="77777777" w:rsidR="00DF5C11" w:rsidRPr="000548FA" w:rsidRDefault="00DF5C11" w:rsidP="000548FA">
      <w:pPr>
        <w:pStyle w:val="ParaLevel2"/>
        <w:tabs>
          <w:tab w:val="clear" w:pos="567"/>
        </w:tabs>
        <w:spacing w:line="360" w:lineRule="auto"/>
        <w:rPr>
          <w:rStyle w:val="eop"/>
          <w:sz w:val="32"/>
          <w:szCs w:val="32"/>
        </w:rPr>
      </w:pPr>
      <w:r w:rsidRPr="000548FA">
        <w:rPr>
          <w:b/>
          <w:bCs/>
          <w:sz w:val="32"/>
          <w:szCs w:val="32"/>
        </w:rPr>
        <w:t>Asset data -</w:t>
      </w:r>
      <w:r w:rsidRPr="000548FA">
        <w:rPr>
          <w:sz w:val="32"/>
          <w:szCs w:val="32"/>
        </w:rPr>
        <w:t xml:space="preserve"> </w:t>
      </w:r>
      <w:r w:rsidRPr="000548FA">
        <w:rPr>
          <w:rStyle w:val="normaltextrun"/>
          <w:sz w:val="32"/>
          <w:szCs w:val="32"/>
        </w:rPr>
        <w:t xml:space="preserve">Kāinga Ora has incorporated a one-time modification/accessibility assessment into its Health and Safety Annual Inspection programme. Kāinga Ora assesses areas that have been modified, such as </w:t>
      </w:r>
      <w:r w:rsidRPr="000548FA">
        <w:rPr>
          <w:rStyle w:val="normaltextrun"/>
          <w:sz w:val="32"/>
          <w:szCs w:val="32"/>
        </w:rPr>
        <w:lastRenderedPageBreak/>
        <w:t>bathrooms and kitchens, including in the Supported Housing portfolio.</w:t>
      </w:r>
      <w:r w:rsidRPr="000548FA">
        <w:rPr>
          <w:rStyle w:val="FootnoteReference"/>
          <w:sz w:val="32"/>
          <w:szCs w:val="32"/>
          <w:lang w:val="en-NZ"/>
        </w:rPr>
        <w:footnoteReference w:id="67"/>
      </w:r>
      <w:r w:rsidRPr="000548FA">
        <w:rPr>
          <w:rStyle w:val="normaltextrun"/>
          <w:sz w:val="32"/>
          <w:szCs w:val="32"/>
        </w:rPr>
        <w:t xml:space="preserve"> The assessment is due to be completed at the end of June 2025.</w:t>
      </w:r>
      <w:r w:rsidRPr="000548FA">
        <w:rPr>
          <w:rStyle w:val="eop"/>
          <w:sz w:val="32"/>
          <w:szCs w:val="32"/>
        </w:rPr>
        <w:t> </w:t>
      </w:r>
    </w:p>
    <w:p w14:paraId="0B73CEE9" w14:textId="128C99D3" w:rsidR="00B20A58" w:rsidRPr="000548FA" w:rsidRDefault="00DF5C11" w:rsidP="000548FA">
      <w:pPr>
        <w:pStyle w:val="ParaLevel2"/>
        <w:tabs>
          <w:tab w:val="clear" w:pos="567"/>
        </w:tabs>
        <w:spacing w:line="360" w:lineRule="auto"/>
        <w:rPr>
          <w:rStyle w:val="eop"/>
          <w:rFonts w:cs="Calibri"/>
          <w:sz w:val="32"/>
          <w:szCs w:val="32"/>
        </w:rPr>
      </w:pPr>
      <w:bookmarkStart w:id="1" w:name="_Hlk191544188"/>
      <w:r w:rsidRPr="000548FA">
        <w:rPr>
          <w:b/>
          <w:bCs/>
          <w:sz w:val="32"/>
          <w:szCs w:val="32"/>
        </w:rPr>
        <w:t xml:space="preserve">Improving data about customer need - </w:t>
      </w:r>
      <w:r w:rsidRPr="000548FA">
        <w:rPr>
          <w:rStyle w:val="normaltextrun"/>
          <w:sz w:val="32"/>
          <w:szCs w:val="32"/>
        </w:rPr>
        <w:t>Kāinga Ora ha</w:t>
      </w:r>
      <w:r w:rsidR="00CD20FB" w:rsidRPr="000548FA">
        <w:rPr>
          <w:rStyle w:val="normaltextrun"/>
          <w:sz w:val="32"/>
          <w:szCs w:val="32"/>
        </w:rPr>
        <w:t>ve</w:t>
      </w:r>
      <w:r w:rsidRPr="000548FA">
        <w:rPr>
          <w:rStyle w:val="normaltextrun"/>
          <w:sz w:val="32"/>
          <w:szCs w:val="32"/>
        </w:rPr>
        <w:t xml:space="preserve"> deployed natural language processing </w:t>
      </w:r>
      <w:r w:rsidR="00C53E3B" w:rsidRPr="000548FA">
        <w:rPr>
          <w:rStyle w:val="normaltextrun"/>
          <w:sz w:val="32"/>
          <w:szCs w:val="32"/>
        </w:rPr>
        <w:t xml:space="preserve">(NLP) </w:t>
      </w:r>
      <w:r w:rsidRPr="000548FA">
        <w:rPr>
          <w:rStyle w:val="normaltextrun"/>
          <w:sz w:val="32"/>
          <w:szCs w:val="32"/>
        </w:rPr>
        <w:t>techniques to analyse the data it holds about its customers to identify where there may be an accessibility</w:t>
      </w:r>
      <w:r w:rsidR="00EE4868" w:rsidRPr="000548FA">
        <w:rPr>
          <w:rStyle w:val="normaltextrun"/>
          <w:sz w:val="32"/>
          <w:szCs w:val="32"/>
        </w:rPr>
        <w:t>-</w:t>
      </w:r>
      <w:r w:rsidRPr="000548FA">
        <w:rPr>
          <w:rStyle w:val="normaltextrun"/>
          <w:sz w:val="32"/>
          <w:szCs w:val="32"/>
        </w:rPr>
        <w:t>related need.</w:t>
      </w:r>
      <w:r w:rsidR="00A81B4B" w:rsidRPr="000548FA">
        <w:rPr>
          <w:rStyle w:val="normaltextrun"/>
          <w:sz w:val="32"/>
          <w:szCs w:val="32"/>
        </w:rPr>
        <w:t xml:space="preserve"> </w:t>
      </w:r>
      <w:r w:rsidR="009318F7" w:rsidRPr="000548FA">
        <w:rPr>
          <w:rStyle w:val="normaltextrun"/>
          <w:sz w:val="32"/>
          <w:szCs w:val="32"/>
        </w:rPr>
        <w:t>The second phase of this work will in</w:t>
      </w:r>
      <w:r w:rsidR="00C53E3B" w:rsidRPr="000548FA">
        <w:rPr>
          <w:sz w:val="32"/>
          <w:szCs w:val="32"/>
        </w:rPr>
        <w:t>volve</w:t>
      </w:r>
      <w:r w:rsidR="009318F7" w:rsidRPr="000548FA">
        <w:rPr>
          <w:sz w:val="32"/>
          <w:szCs w:val="32"/>
        </w:rPr>
        <w:t xml:space="preserve"> matching data on customer accessibility needs (NLP</w:t>
      </w:r>
      <w:r w:rsidR="00C53E3B" w:rsidRPr="000548FA">
        <w:rPr>
          <w:sz w:val="32"/>
          <w:szCs w:val="32"/>
        </w:rPr>
        <w:t>-</w:t>
      </w:r>
      <w:r w:rsidR="009318F7" w:rsidRPr="000548FA">
        <w:rPr>
          <w:sz w:val="32"/>
          <w:szCs w:val="32"/>
        </w:rPr>
        <w:t xml:space="preserve">generated information) with </w:t>
      </w:r>
      <w:r w:rsidR="00C53E3B" w:rsidRPr="000548FA">
        <w:rPr>
          <w:sz w:val="32"/>
          <w:szCs w:val="32"/>
        </w:rPr>
        <w:t>Kāīnga Ora</w:t>
      </w:r>
      <w:r w:rsidR="009318F7" w:rsidRPr="000548FA">
        <w:rPr>
          <w:sz w:val="32"/>
          <w:szCs w:val="32"/>
        </w:rPr>
        <w:t xml:space="preserve"> data on asset modifications and accessibilit</w:t>
      </w:r>
      <w:r w:rsidR="00787583" w:rsidRPr="000548FA">
        <w:rPr>
          <w:sz w:val="32"/>
          <w:szCs w:val="32"/>
        </w:rPr>
        <w:t>y</w:t>
      </w:r>
      <w:r w:rsidR="00631380" w:rsidRPr="000548FA">
        <w:rPr>
          <w:sz w:val="32"/>
          <w:szCs w:val="32"/>
        </w:rPr>
        <w:t xml:space="preserve"> </w:t>
      </w:r>
      <w:r w:rsidR="009318F7" w:rsidRPr="000548FA">
        <w:rPr>
          <w:sz w:val="32"/>
          <w:szCs w:val="32"/>
        </w:rPr>
        <w:t>to create a map that captur</w:t>
      </w:r>
      <w:r w:rsidR="005B01F7" w:rsidRPr="000548FA">
        <w:rPr>
          <w:sz w:val="32"/>
          <w:szCs w:val="32"/>
        </w:rPr>
        <w:t>es</w:t>
      </w:r>
      <w:r w:rsidR="009318F7" w:rsidRPr="000548FA">
        <w:rPr>
          <w:sz w:val="32"/>
          <w:szCs w:val="32"/>
        </w:rPr>
        <w:t xml:space="preserve"> both accessibility </w:t>
      </w:r>
      <w:r w:rsidR="00F412F3" w:rsidRPr="000548FA">
        <w:rPr>
          <w:sz w:val="32"/>
          <w:szCs w:val="32"/>
        </w:rPr>
        <w:t>needs</w:t>
      </w:r>
      <w:r w:rsidR="009318F7" w:rsidRPr="000548FA">
        <w:rPr>
          <w:sz w:val="32"/>
          <w:szCs w:val="32"/>
        </w:rPr>
        <w:t xml:space="preserve"> </w:t>
      </w:r>
      <w:r w:rsidR="00B20A58" w:rsidRPr="000548FA">
        <w:rPr>
          <w:sz w:val="32"/>
          <w:szCs w:val="32"/>
        </w:rPr>
        <w:t xml:space="preserve">and </w:t>
      </w:r>
      <w:r w:rsidR="009318F7" w:rsidRPr="000548FA">
        <w:rPr>
          <w:sz w:val="32"/>
          <w:szCs w:val="32"/>
        </w:rPr>
        <w:t xml:space="preserve">the accessibility provisions within </w:t>
      </w:r>
      <w:r w:rsidR="00F412F3" w:rsidRPr="000548FA">
        <w:rPr>
          <w:sz w:val="32"/>
          <w:szCs w:val="32"/>
        </w:rPr>
        <w:t>Kāinga Ora</w:t>
      </w:r>
      <w:r w:rsidR="009318F7" w:rsidRPr="000548FA">
        <w:rPr>
          <w:sz w:val="32"/>
          <w:szCs w:val="32"/>
        </w:rPr>
        <w:t xml:space="preserve"> assets.</w:t>
      </w:r>
    </w:p>
    <w:bookmarkEnd w:id="1"/>
    <w:p w14:paraId="44BC69F0" w14:textId="3383ED5F" w:rsidR="00676A46" w:rsidRPr="000548FA" w:rsidRDefault="00DF5C11" w:rsidP="000548FA">
      <w:pPr>
        <w:pStyle w:val="ParaLevel2"/>
        <w:tabs>
          <w:tab w:val="clear" w:pos="567"/>
        </w:tabs>
        <w:spacing w:line="360" w:lineRule="auto"/>
        <w:rPr>
          <w:sz w:val="32"/>
          <w:szCs w:val="32"/>
        </w:rPr>
      </w:pPr>
      <w:r w:rsidRPr="000548FA">
        <w:rPr>
          <w:rStyle w:val="normaltextrun"/>
          <w:sz w:val="32"/>
          <w:szCs w:val="32"/>
        </w:rPr>
        <w:t xml:space="preserve">Kāinga Ora has established a </w:t>
      </w:r>
      <w:r w:rsidRPr="000548FA">
        <w:rPr>
          <w:rStyle w:val="normaltextrun"/>
          <w:b/>
          <w:bCs/>
          <w:sz w:val="32"/>
          <w:szCs w:val="32"/>
        </w:rPr>
        <w:t>Disabled Customer Working Group</w:t>
      </w:r>
      <w:r w:rsidRPr="000548FA">
        <w:rPr>
          <w:rStyle w:val="normaltextrun"/>
          <w:sz w:val="32"/>
          <w:szCs w:val="32"/>
        </w:rPr>
        <w:t xml:space="preserve"> pilot.</w:t>
      </w:r>
      <w:r w:rsidRPr="000548FA">
        <w:rPr>
          <w:rStyle w:val="FootnoteReference"/>
          <w:sz w:val="32"/>
          <w:szCs w:val="32"/>
          <w:lang w:val="en-NZ"/>
        </w:rPr>
        <w:footnoteReference w:id="68"/>
      </w:r>
      <w:r w:rsidRPr="000548FA">
        <w:rPr>
          <w:rStyle w:val="normaltextrun"/>
          <w:sz w:val="32"/>
          <w:szCs w:val="32"/>
        </w:rPr>
        <w:t xml:space="preserve"> The group is made up of 8 </w:t>
      </w:r>
      <w:r w:rsidR="00AE2022" w:rsidRPr="000548FA">
        <w:rPr>
          <w:rStyle w:val="normaltextrun"/>
          <w:sz w:val="32"/>
          <w:szCs w:val="32"/>
        </w:rPr>
        <w:t>people</w:t>
      </w:r>
      <w:r w:rsidR="003053A5" w:rsidRPr="000548FA">
        <w:rPr>
          <w:rStyle w:val="normaltextrun"/>
          <w:sz w:val="32"/>
          <w:szCs w:val="32"/>
        </w:rPr>
        <w:t>,</w:t>
      </w:r>
      <w:r w:rsidR="00AE2022" w:rsidRPr="000548FA">
        <w:rPr>
          <w:rStyle w:val="normaltextrun"/>
          <w:sz w:val="32"/>
          <w:szCs w:val="32"/>
        </w:rPr>
        <w:t xml:space="preserve"> including </w:t>
      </w:r>
      <w:r w:rsidRPr="000548FA">
        <w:rPr>
          <w:rStyle w:val="normaltextrun"/>
          <w:sz w:val="32"/>
          <w:szCs w:val="32"/>
        </w:rPr>
        <w:t xml:space="preserve">Kāinga Ora customers who are </w:t>
      </w:r>
      <w:r w:rsidRPr="000548FA">
        <w:rPr>
          <w:rStyle w:val="normaltextrun"/>
          <w:sz w:val="32"/>
          <w:szCs w:val="32"/>
        </w:rPr>
        <w:lastRenderedPageBreak/>
        <w:t xml:space="preserve">disabled, </w:t>
      </w:r>
      <w:r w:rsidR="00AE2022" w:rsidRPr="000548FA">
        <w:rPr>
          <w:rStyle w:val="normaltextrun"/>
          <w:sz w:val="32"/>
          <w:szCs w:val="32"/>
        </w:rPr>
        <w:t>and a</w:t>
      </w:r>
      <w:r w:rsidRPr="000548FA">
        <w:rPr>
          <w:rStyle w:val="normaltextrun"/>
          <w:sz w:val="32"/>
          <w:szCs w:val="32"/>
        </w:rPr>
        <w:t xml:space="preserve"> </w:t>
      </w:r>
      <w:r w:rsidR="0080600D" w:rsidRPr="000548FA">
        <w:rPr>
          <w:rStyle w:val="normaltextrun"/>
          <w:sz w:val="32"/>
          <w:szCs w:val="32"/>
        </w:rPr>
        <w:t>parent/caregiver</w:t>
      </w:r>
      <w:r w:rsidRPr="000548FA">
        <w:rPr>
          <w:rStyle w:val="normaltextrun"/>
          <w:sz w:val="32"/>
          <w:szCs w:val="32"/>
        </w:rPr>
        <w:t xml:space="preserve"> </w:t>
      </w:r>
      <w:r w:rsidR="0080600D" w:rsidRPr="000548FA">
        <w:rPr>
          <w:rStyle w:val="normaltextrun"/>
          <w:sz w:val="32"/>
          <w:szCs w:val="32"/>
        </w:rPr>
        <w:t>of a disabled child</w:t>
      </w:r>
      <w:r w:rsidRPr="000548FA">
        <w:rPr>
          <w:rStyle w:val="normaltextrun"/>
          <w:sz w:val="32"/>
          <w:szCs w:val="32"/>
        </w:rPr>
        <w:t xml:space="preserve">. </w:t>
      </w:r>
      <w:r w:rsidR="0080600D" w:rsidRPr="000548FA">
        <w:rPr>
          <w:rStyle w:val="normaltextrun"/>
          <w:sz w:val="32"/>
          <w:szCs w:val="32"/>
        </w:rPr>
        <w:t>Member</w:t>
      </w:r>
      <w:r w:rsidR="00C517A0" w:rsidRPr="000548FA">
        <w:rPr>
          <w:rStyle w:val="normaltextrun"/>
          <w:sz w:val="32"/>
          <w:szCs w:val="32"/>
        </w:rPr>
        <w:t xml:space="preserve">s of the group are spread throughout New Zealand and include representation from tāngata whaikaha Māori. </w:t>
      </w:r>
      <w:r w:rsidRPr="000548FA">
        <w:rPr>
          <w:rStyle w:val="normaltextrun"/>
          <w:sz w:val="32"/>
          <w:szCs w:val="32"/>
        </w:rPr>
        <w:t>The focus of this group is to hear the voices and lived experience of customers to inform operational and strategic initiatives across Kāinga Ora.</w:t>
      </w:r>
      <w:r w:rsidR="003F4D41" w:rsidRPr="000548FA">
        <w:rPr>
          <w:rStyle w:val="normaltextrun"/>
          <w:sz w:val="32"/>
          <w:szCs w:val="32"/>
        </w:rPr>
        <w:t xml:space="preserve"> It began meeting in February 2025, and will conclude in June 2025 at which point an evaluation of the pilot will be undertaken.</w:t>
      </w:r>
    </w:p>
    <w:p w14:paraId="43906412" w14:textId="77777777" w:rsidR="00376344" w:rsidRPr="000548FA" w:rsidRDefault="00376344" w:rsidP="000548FA">
      <w:pPr>
        <w:spacing w:before="0" w:after="0" w:line="360" w:lineRule="auto"/>
        <w:rPr>
          <w:rFonts w:eastAsiaTheme="majorEastAsia"/>
          <w:b/>
          <w:sz w:val="32"/>
          <w:szCs w:val="32"/>
        </w:rPr>
      </w:pPr>
      <w:r w:rsidRPr="000548FA">
        <w:rPr>
          <w:iCs/>
          <w:sz w:val="32"/>
          <w:szCs w:val="32"/>
        </w:rPr>
        <w:br w:type="page"/>
      </w:r>
    </w:p>
    <w:p w14:paraId="431BD998" w14:textId="608AB00A" w:rsidR="00DF5C11" w:rsidRPr="000548FA" w:rsidRDefault="00DF5C11" w:rsidP="000548FA">
      <w:pPr>
        <w:pStyle w:val="Heading4"/>
        <w:spacing w:line="360" w:lineRule="auto"/>
        <w:rPr>
          <w:iCs w:val="0"/>
          <w:sz w:val="32"/>
          <w:szCs w:val="32"/>
        </w:rPr>
      </w:pPr>
      <w:r w:rsidRPr="000548FA">
        <w:rPr>
          <w:iCs w:val="0"/>
          <w:sz w:val="32"/>
          <w:szCs w:val="32"/>
        </w:rPr>
        <w:lastRenderedPageBreak/>
        <w:t>Te Puni Kōkiri</w:t>
      </w:r>
    </w:p>
    <w:p w14:paraId="1E77699F" w14:textId="77777777" w:rsidR="00DF5C11" w:rsidRPr="000548FA" w:rsidRDefault="00DF5C11" w:rsidP="000548FA">
      <w:pPr>
        <w:pStyle w:val="ParaLevel1"/>
        <w:spacing w:line="360" w:lineRule="auto"/>
        <w:rPr>
          <w:sz w:val="32"/>
          <w:szCs w:val="32"/>
        </w:rPr>
      </w:pPr>
      <w:r w:rsidRPr="000548FA">
        <w:rPr>
          <w:sz w:val="32"/>
          <w:szCs w:val="32"/>
        </w:rPr>
        <w:t>Te Puni Kōkiri provides grant funding to support repairs to whānau-owned homes. This funding seeks to improve the basic quality of Māori housing stock, reduce the number of whānau Māori living in unsafe or substandard housing, and build the capability of whānau homeowners to repair and maintain their homes.</w:t>
      </w:r>
      <w:r w:rsidRPr="000548FA">
        <w:rPr>
          <w:rStyle w:val="FootnoteReference"/>
          <w:sz w:val="32"/>
          <w:szCs w:val="32"/>
          <w:lang w:val="en-NZ"/>
        </w:rPr>
        <w:footnoteReference w:id="69"/>
      </w:r>
      <w:r w:rsidRPr="000548FA">
        <w:rPr>
          <w:sz w:val="32"/>
          <w:szCs w:val="32"/>
        </w:rPr>
        <w:t xml:space="preserve"> One of the eligibility criteria for funding is that there must be a vulnerable person living in the whare, such as kaumātua, tamariki, or pakeke with chronic illness or disability. </w:t>
      </w:r>
    </w:p>
    <w:p w14:paraId="661BC496" w14:textId="77777777" w:rsidR="00DF5C11" w:rsidRPr="000548FA" w:rsidRDefault="00DF5C11" w:rsidP="000548FA">
      <w:pPr>
        <w:pStyle w:val="ParaLevel1"/>
        <w:spacing w:line="360" w:lineRule="auto"/>
        <w:rPr>
          <w:sz w:val="32"/>
          <w:szCs w:val="32"/>
        </w:rPr>
      </w:pPr>
      <w:r w:rsidRPr="000548FA">
        <w:rPr>
          <w:sz w:val="32"/>
          <w:szCs w:val="32"/>
        </w:rPr>
        <w:t>From 2017-2022, Te Puni Kōkiri funded the contracting of a total of 424 houses, 2074 repairs to existing whānau-owned homes, and $5.6 million into capability building programmes.</w:t>
      </w:r>
      <w:r w:rsidRPr="000548FA">
        <w:rPr>
          <w:rStyle w:val="FootnoteReference"/>
          <w:sz w:val="32"/>
          <w:szCs w:val="32"/>
          <w:lang w:val="en-NZ"/>
        </w:rPr>
        <w:footnoteReference w:id="70"/>
      </w:r>
      <w:r w:rsidRPr="000548FA">
        <w:rPr>
          <w:sz w:val="32"/>
          <w:szCs w:val="32"/>
        </w:rPr>
        <w:t xml:space="preserve"> In 2023/24, through community-based rōpū there were 767 critical repairs contracted on Māori-owned homes.</w:t>
      </w:r>
      <w:r w:rsidRPr="000548FA">
        <w:rPr>
          <w:rStyle w:val="FootnoteReference"/>
          <w:sz w:val="32"/>
          <w:szCs w:val="32"/>
          <w:lang w:val="en-NZ"/>
        </w:rPr>
        <w:footnoteReference w:id="71"/>
      </w:r>
    </w:p>
    <w:p w14:paraId="5251A7CD" w14:textId="77777777" w:rsidR="00DF5C11" w:rsidRPr="000548FA" w:rsidRDefault="00DF5C11" w:rsidP="000548FA">
      <w:pPr>
        <w:pStyle w:val="Heading4"/>
        <w:spacing w:line="360" w:lineRule="auto"/>
        <w:rPr>
          <w:iCs w:val="0"/>
          <w:sz w:val="32"/>
          <w:szCs w:val="32"/>
        </w:rPr>
      </w:pPr>
      <w:r w:rsidRPr="000548FA">
        <w:rPr>
          <w:iCs w:val="0"/>
          <w:sz w:val="32"/>
          <w:szCs w:val="32"/>
        </w:rPr>
        <w:t>Ministry of Business, Innovation and Employment (MBIE)</w:t>
      </w:r>
    </w:p>
    <w:p w14:paraId="717919E8" w14:textId="77777777" w:rsidR="00554FE1" w:rsidRPr="000548FA" w:rsidRDefault="00DF5C11" w:rsidP="000548FA">
      <w:pPr>
        <w:pStyle w:val="ParaLevel1"/>
        <w:spacing w:line="360" w:lineRule="auto"/>
        <w:rPr>
          <w:sz w:val="32"/>
          <w:szCs w:val="32"/>
        </w:rPr>
      </w:pPr>
      <w:r w:rsidRPr="000548FA">
        <w:rPr>
          <w:sz w:val="32"/>
          <w:szCs w:val="32"/>
        </w:rPr>
        <w:lastRenderedPageBreak/>
        <w:t xml:space="preserve">MBIE is undertaking the first full review of the fire safety provisions in the building code in over 10 years. </w:t>
      </w:r>
      <w:r w:rsidRPr="000548FA">
        <w:rPr>
          <w:rFonts w:eastAsia="Verdana" w:cs="Verdana"/>
          <w:sz w:val="32"/>
          <w:szCs w:val="32"/>
        </w:rPr>
        <w:t>The aim of the review is to enhance and improve the fire safety requirements in the building regulatory system. As part of the review, MBIE has identified gaps in the Building Code for fire alerting and the means of escape from fire for at risk people, such as the elderly or disabled people.</w:t>
      </w:r>
    </w:p>
    <w:p w14:paraId="757012B0" w14:textId="74B2266D" w:rsidR="00DF5C11" w:rsidRPr="000548FA" w:rsidRDefault="00DF5C11" w:rsidP="000548FA">
      <w:pPr>
        <w:pStyle w:val="ParaLevel1"/>
        <w:spacing w:line="360" w:lineRule="auto"/>
        <w:rPr>
          <w:sz w:val="32"/>
          <w:szCs w:val="32"/>
        </w:rPr>
      </w:pPr>
      <w:r w:rsidRPr="000548FA">
        <w:rPr>
          <w:rFonts w:eastAsia="Verdana" w:cs="Verdana"/>
          <w:sz w:val="32"/>
          <w:szCs w:val="32"/>
        </w:rPr>
        <w:t>During 2024, the review continued engaging with the disabled community to ensure a clear understanding of the issues disabled people face regarding fire</w:t>
      </w:r>
      <w:r w:rsidRPr="000548FA">
        <w:rPr>
          <w:rFonts w:eastAsia="Verdana"/>
          <w:sz w:val="32"/>
          <w:szCs w:val="32"/>
        </w:rPr>
        <w:t xml:space="preserve"> safety. MBIE will assess the next steps on broader building accessibility issues once the fire safety review is complete. The review is expected to continue during 2025 with the aim of </w:t>
      </w:r>
      <w:r w:rsidR="003D6BB0" w:rsidRPr="000548FA">
        <w:rPr>
          <w:rFonts w:eastAsia="Verdana"/>
          <w:sz w:val="32"/>
          <w:szCs w:val="32"/>
        </w:rPr>
        <w:t>seeking Cabinet decisions</w:t>
      </w:r>
      <w:r w:rsidRPr="000548FA">
        <w:rPr>
          <w:rFonts w:eastAsia="Verdana"/>
          <w:sz w:val="32"/>
          <w:szCs w:val="32"/>
        </w:rPr>
        <w:t xml:space="preserve"> on proposed changes</w:t>
      </w:r>
      <w:r w:rsidR="003D6BB0" w:rsidRPr="000548FA">
        <w:rPr>
          <w:rFonts w:eastAsia="Verdana"/>
          <w:sz w:val="32"/>
          <w:szCs w:val="32"/>
        </w:rPr>
        <w:t xml:space="preserve"> and regulations</w:t>
      </w:r>
      <w:r w:rsidRPr="000548FA">
        <w:rPr>
          <w:rFonts w:eastAsia="Verdana"/>
          <w:sz w:val="32"/>
          <w:szCs w:val="32"/>
        </w:rPr>
        <w:t>, in 2026.</w:t>
      </w:r>
    </w:p>
    <w:p w14:paraId="6789E26C" w14:textId="77777777" w:rsidR="00DF5C11" w:rsidRPr="000548FA" w:rsidRDefault="00DF5C11" w:rsidP="000548FA">
      <w:pPr>
        <w:pStyle w:val="Heading4"/>
        <w:spacing w:line="360" w:lineRule="auto"/>
        <w:rPr>
          <w:iCs w:val="0"/>
          <w:sz w:val="32"/>
          <w:szCs w:val="32"/>
        </w:rPr>
      </w:pPr>
      <w:r w:rsidRPr="000548FA">
        <w:rPr>
          <w:iCs w:val="0"/>
          <w:sz w:val="32"/>
          <w:szCs w:val="32"/>
        </w:rPr>
        <w:t>Local Government</w:t>
      </w:r>
    </w:p>
    <w:p w14:paraId="7514AC30" w14:textId="3AC2546E" w:rsidR="003D6BB0" w:rsidRPr="000548FA" w:rsidRDefault="00C744DD" w:rsidP="000548FA">
      <w:pPr>
        <w:pStyle w:val="ParaLevel1"/>
        <w:spacing w:line="360" w:lineRule="auto"/>
        <w:rPr>
          <w:sz w:val="32"/>
          <w:szCs w:val="32"/>
        </w:rPr>
      </w:pPr>
      <w:r w:rsidRPr="000548FA">
        <w:rPr>
          <w:sz w:val="32"/>
          <w:szCs w:val="32"/>
        </w:rPr>
        <w:t>Many l</w:t>
      </w:r>
      <w:r w:rsidR="00D044E5" w:rsidRPr="000548FA">
        <w:rPr>
          <w:sz w:val="32"/>
          <w:szCs w:val="32"/>
        </w:rPr>
        <w:t xml:space="preserve">ocal councils </w:t>
      </w:r>
      <w:r w:rsidR="00D33691" w:rsidRPr="000548FA">
        <w:rPr>
          <w:sz w:val="32"/>
          <w:szCs w:val="32"/>
        </w:rPr>
        <w:t xml:space="preserve">operate council rental housing, some of which </w:t>
      </w:r>
      <w:r w:rsidR="00145364" w:rsidRPr="000548FA">
        <w:rPr>
          <w:sz w:val="32"/>
          <w:szCs w:val="32"/>
        </w:rPr>
        <w:t>is</w:t>
      </w:r>
      <w:r w:rsidR="00D33691" w:rsidRPr="000548FA">
        <w:rPr>
          <w:sz w:val="32"/>
          <w:szCs w:val="32"/>
        </w:rPr>
        <w:t xml:space="preserve"> subsidise</w:t>
      </w:r>
      <w:r w:rsidR="00145364" w:rsidRPr="000548FA">
        <w:rPr>
          <w:sz w:val="32"/>
          <w:szCs w:val="32"/>
        </w:rPr>
        <w:t>d</w:t>
      </w:r>
      <w:r w:rsidR="00557111" w:rsidRPr="000548FA">
        <w:rPr>
          <w:sz w:val="32"/>
          <w:szCs w:val="32"/>
        </w:rPr>
        <w:t>.</w:t>
      </w:r>
      <w:r w:rsidR="00145364" w:rsidRPr="000548FA">
        <w:rPr>
          <w:rStyle w:val="FootnoteReference"/>
          <w:sz w:val="32"/>
          <w:szCs w:val="32"/>
        </w:rPr>
        <w:footnoteReference w:id="72"/>
      </w:r>
      <w:r w:rsidR="00557111" w:rsidRPr="000548FA">
        <w:rPr>
          <w:sz w:val="32"/>
          <w:szCs w:val="32"/>
        </w:rPr>
        <w:t xml:space="preserve"> </w:t>
      </w:r>
      <w:r w:rsidR="00145364" w:rsidRPr="000548FA">
        <w:rPr>
          <w:sz w:val="32"/>
          <w:szCs w:val="32"/>
        </w:rPr>
        <w:t>S</w:t>
      </w:r>
      <w:r w:rsidR="00DF5C11" w:rsidRPr="000548FA">
        <w:rPr>
          <w:sz w:val="32"/>
          <w:szCs w:val="32"/>
        </w:rPr>
        <w:t xml:space="preserve">ome local councils have introduced specific initiatives to support better housing </w:t>
      </w:r>
      <w:r w:rsidR="00DF5C11" w:rsidRPr="000548FA">
        <w:rPr>
          <w:sz w:val="32"/>
          <w:szCs w:val="32"/>
        </w:rPr>
        <w:lastRenderedPageBreak/>
        <w:t>outcomes</w:t>
      </w:r>
      <w:r w:rsidR="00C000A7" w:rsidRPr="000548FA">
        <w:rPr>
          <w:sz w:val="32"/>
          <w:szCs w:val="32"/>
        </w:rPr>
        <w:t>, particularly in accessibility,</w:t>
      </w:r>
      <w:r w:rsidR="00DF5C11" w:rsidRPr="000548FA">
        <w:rPr>
          <w:sz w:val="32"/>
          <w:szCs w:val="32"/>
        </w:rPr>
        <w:t xml:space="preserve"> for disabled people.</w:t>
      </w:r>
    </w:p>
    <w:p w14:paraId="79815C66" w14:textId="77777777" w:rsidR="00DF5C11" w:rsidRPr="000548FA" w:rsidRDefault="00DF5C11" w:rsidP="000548FA">
      <w:pPr>
        <w:pStyle w:val="ParaLevel2"/>
        <w:tabs>
          <w:tab w:val="clear" w:pos="567"/>
        </w:tabs>
        <w:spacing w:line="360" w:lineRule="auto"/>
        <w:rPr>
          <w:sz w:val="32"/>
          <w:szCs w:val="32"/>
        </w:rPr>
      </w:pPr>
      <w:r w:rsidRPr="000548FA">
        <w:rPr>
          <w:sz w:val="32"/>
          <w:szCs w:val="32"/>
        </w:rPr>
        <w:t>Tauranga City Council adopted an Accessible Tauranga Action &amp; Investment Plan 2023-2033.</w:t>
      </w:r>
      <w:r w:rsidRPr="000548FA">
        <w:rPr>
          <w:rStyle w:val="FootnoteReference"/>
          <w:sz w:val="32"/>
          <w:szCs w:val="32"/>
          <w:lang w:val="en-NZ"/>
        </w:rPr>
        <w:footnoteReference w:id="73"/>
      </w:r>
      <w:r w:rsidRPr="000548FA">
        <w:rPr>
          <w:sz w:val="32"/>
          <w:szCs w:val="32"/>
        </w:rPr>
        <w:t xml:space="preserve"> The Plan includes actions specific to housing, with the aspiration that everyone has access to a healthy, accessible, safe, and secure home with services and facilities nearby.</w:t>
      </w:r>
    </w:p>
    <w:p w14:paraId="72C2A96A" w14:textId="77777777" w:rsidR="00DF5C11" w:rsidRPr="000548FA" w:rsidRDefault="00DF5C11" w:rsidP="000548FA">
      <w:pPr>
        <w:pStyle w:val="ParaLevel2"/>
        <w:tabs>
          <w:tab w:val="clear" w:pos="567"/>
        </w:tabs>
        <w:spacing w:line="360" w:lineRule="auto"/>
        <w:rPr>
          <w:sz w:val="32"/>
          <w:szCs w:val="32"/>
        </w:rPr>
      </w:pPr>
      <w:r w:rsidRPr="000548FA">
        <w:rPr>
          <w:sz w:val="32"/>
          <w:szCs w:val="32"/>
        </w:rPr>
        <w:t>Hamilton City Council adopted a Disability Action Plan in 2022. The Plan includes a goal to embed the principles of universal design, so every new-build community facility project is accessible to everyone.</w:t>
      </w:r>
      <w:r w:rsidRPr="000548FA">
        <w:rPr>
          <w:rStyle w:val="FootnoteReference"/>
          <w:sz w:val="32"/>
          <w:szCs w:val="32"/>
          <w:lang w:val="en-NZ"/>
        </w:rPr>
        <w:footnoteReference w:id="74"/>
      </w:r>
      <w:r w:rsidRPr="000548FA">
        <w:rPr>
          <w:sz w:val="32"/>
          <w:szCs w:val="32"/>
        </w:rPr>
        <w:t xml:space="preserve"> The council also incentivises developers to achieve Lifemark certifications in residential developments in the central city.</w:t>
      </w:r>
      <w:r w:rsidRPr="000548FA">
        <w:rPr>
          <w:rStyle w:val="FootnoteReference"/>
          <w:sz w:val="32"/>
          <w:szCs w:val="32"/>
          <w:lang w:val="en-NZ"/>
        </w:rPr>
        <w:footnoteReference w:id="75"/>
      </w:r>
    </w:p>
    <w:p w14:paraId="30EA4B28" w14:textId="63A0DB13" w:rsidR="00DF5C11" w:rsidRPr="000548FA" w:rsidRDefault="00DF5C11" w:rsidP="000548FA">
      <w:pPr>
        <w:pStyle w:val="ParaLevel2"/>
        <w:tabs>
          <w:tab w:val="clear" w:pos="567"/>
        </w:tabs>
        <w:spacing w:line="360" w:lineRule="auto"/>
        <w:rPr>
          <w:sz w:val="32"/>
          <w:szCs w:val="32"/>
        </w:rPr>
      </w:pPr>
      <w:r w:rsidRPr="000548FA">
        <w:rPr>
          <w:sz w:val="32"/>
          <w:szCs w:val="32"/>
        </w:rPr>
        <w:t>Thames-Coromandel District Council adopted a Disability Strategy and changed its district plan in 2016 to incentivise residential plans including universal design standards.</w:t>
      </w:r>
      <w:r w:rsidRPr="000548FA">
        <w:rPr>
          <w:rStyle w:val="FootnoteReference"/>
          <w:sz w:val="32"/>
          <w:szCs w:val="32"/>
          <w:lang w:val="en-NZ"/>
        </w:rPr>
        <w:footnoteReference w:id="76"/>
      </w:r>
      <w:r w:rsidRPr="000548FA">
        <w:rPr>
          <w:sz w:val="32"/>
          <w:szCs w:val="32"/>
        </w:rPr>
        <w:t xml:space="preserve">  In October 2024, Lifemark </w:t>
      </w:r>
      <w:r w:rsidRPr="000548FA">
        <w:rPr>
          <w:sz w:val="32"/>
          <w:szCs w:val="32"/>
        </w:rPr>
        <w:lastRenderedPageBreak/>
        <w:t>reported that 50% of all new residential buildings annually are voluntarily built to a Lifemark standard in Thames-Coromandel, with most exceeding minimum standards.</w:t>
      </w:r>
      <w:r w:rsidRPr="000548FA">
        <w:rPr>
          <w:rStyle w:val="FootnoteReference"/>
          <w:sz w:val="32"/>
          <w:szCs w:val="32"/>
          <w:lang w:val="en-NZ"/>
        </w:rPr>
        <w:footnoteReference w:id="77"/>
      </w:r>
    </w:p>
    <w:p w14:paraId="522E5BF4" w14:textId="77777777" w:rsidR="00AE466A" w:rsidRPr="000548FA" w:rsidRDefault="00AE466A" w:rsidP="000548FA">
      <w:pPr>
        <w:pStyle w:val="Heading4"/>
        <w:spacing w:line="360" w:lineRule="auto"/>
        <w:rPr>
          <w:iCs w:val="0"/>
          <w:sz w:val="32"/>
          <w:szCs w:val="32"/>
        </w:rPr>
      </w:pPr>
      <w:r w:rsidRPr="000548FA">
        <w:rPr>
          <w:iCs w:val="0"/>
          <w:sz w:val="32"/>
          <w:szCs w:val="32"/>
        </w:rPr>
        <w:t>Multiple agencies – response to United Nations Committee recommendations</w:t>
      </w:r>
    </w:p>
    <w:p w14:paraId="578A8458" w14:textId="77777777" w:rsidR="00AE466A" w:rsidRPr="000548FA" w:rsidRDefault="00AE466A" w:rsidP="000548FA">
      <w:pPr>
        <w:pStyle w:val="ParaLevel1"/>
        <w:spacing w:line="360" w:lineRule="auto"/>
        <w:rPr>
          <w:sz w:val="32"/>
          <w:szCs w:val="32"/>
        </w:rPr>
      </w:pPr>
      <w:r w:rsidRPr="000548FA">
        <w:rPr>
          <w:sz w:val="32"/>
          <w:szCs w:val="32"/>
        </w:rPr>
        <w:t xml:space="preserve">A range of government agencies have agreed actions to implement the UN Committee’s Concluding Observations (recommendations), including actions related to housing. </w:t>
      </w:r>
    </w:p>
    <w:p w14:paraId="7804029A" w14:textId="77777777" w:rsidR="00AE466A" w:rsidRPr="000548FA" w:rsidRDefault="00AE466A" w:rsidP="000548FA">
      <w:pPr>
        <w:pStyle w:val="ParaLevel2"/>
        <w:spacing w:line="360" w:lineRule="auto"/>
        <w:rPr>
          <w:sz w:val="32"/>
          <w:szCs w:val="32"/>
        </w:rPr>
      </w:pPr>
      <w:r w:rsidRPr="000548FA">
        <w:rPr>
          <w:sz w:val="32"/>
          <w:szCs w:val="32"/>
        </w:rPr>
        <w:t xml:space="preserve">CO 16(b) recommended adopting an accessibility strategy underpinned by the principle of universal design. Whaikaha is responding to this by </w:t>
      </w:r>
      <w:r w:rsidRPr="000548FA">
        <w:rPr>
          <w:rFonts w:eastAsia="Verdana" w:cs="Verdana"/>
          <w:sz w:val="32"/>
          <w:szCs w:val="32"/>
        </w:rPr>
        <w:t>developing a work programme to enable government to make concrete, tangible improvements in accessibility within the current regulatory framework.</w:t>
      </w:r>
    </w:p>
    <w:p w14:paraId="4CE4B798" w14:textId="77777777" w:rsidR="00AE466A" w:rsidRPr="000548FA" w:rsidRDefault="00AE466A" w:rsidP="000548FA">
      <w:pPr>
        <w:pStyle w:val="ParaLevel2"/>
        <w:spacing w:line="360" w:lineRule="auto"/>
        <w:rPr>
          <w:sz w:val="32"/>
          <w:szCs w:val="32"/>
        </w:rPr>
      </w:pPr>
      <w:r w:rsidRPr="000548FA">
        <w:rPr>
          <w:sz w:val="32"/>
          <w:szCs w:val="32"/>
        </w:rPr>
        <w:t xml:space="preserve">The MSD DSS Taskforce is considering CO 40(b) and 40(c) in their work to implement the recommendations from the Independent Review and improve the sustainability of DSS. These recommendations include developing measures to remove barriers for disabled people to choose where and with whom they live, and </w:t>
      </w:r>
      <w:r w:rsidRPr="000548FA">
        <w:rPr>
          <w:sz w:val="32"/>
          <w:szCs w:val="32"/>
        </w:rPr>
        <w:lastRenderedPageBreak/>
        <w:t>developing a comprehensive deinstitutionalisation strategy.</w:t>
      </w:r>
    </w:p>
    <w:p w14:paraId="7D64208D" w14:textId="77777777" w:rsidR="00AE466A" w:rsidRPr="000548FA" w:rsidRDefault="00AE466A" w:rsidP="000548FA">
      <w:pPr>
        <w:pStyle w:val="ParaLevel1"/>
        <w:spacing w:line="360" w:lineRule="auto"/>
        <w:rPr>
          <w:sz w:val="32"/>
          <w:szCs w:val="32"/>
        </w:rPr>
      </w:pPr>
      <w:r w:rsidRPr="000548FA">
        <w:rPr>
          <w:sz w:val="32"/>
          <w:szCs w:val="32"/>
        </w:rPr>
        <w:t>There are also a range of further Concluding Observations which will be considered in the refresh of the New Zealand Disability Strategy (NZDS).</w:t>
      </w:r>
    </w:p>
    <w:p w14:paraId="0541B55E" w14:textId="084BD463" w:rsidR="00AE466A" w:rsidRPr="000548FA" w:rsidRDefault="00AE466A" w:rsidP="000548FA">
      <w:pPr>
        <w:pStyle w:val="ParaLevel2"/>
        <w:spacing w:line="360" w:lineRule="auto"/>
        <w:rPr>
          <w:sz w:val="32"/>
          <w:szCs w:val="32"/>
        </w:rPr>
      </w:pPr>
      <w:r w:rsidRPr="000548FA">
        <w:rPr>
          <w:sz w:val="32"/>
          <w:szCs w:val="32"/>
        </w:rPr>
        <w:t xml:space="preserve">CO 16(a) recommended expediting </w:t>
      </w:r>
      <w:r w:rsidRPr="000548FA">
        <w:rPr>
          <w:rFonts w:eastAsia="Verdana" w:cs="Verdana"/>
          <w:sz w:val="32"/>
          <w:szCs w:val="32"/>
        </w:rPr>
        <w:t xml:space="preserve">implementation of the Building Act of 2004 and </w:t>
      </w:r>
      <w:r w:rsidR="000B1300" w:rsidRPr="000548FA">
        <w:rPr>
          <w:rFonts w:eastAsia="Verdana" w:cs="Verdana"/>
          <w:sz w:val="32"/>
          <w:szCs w:val="32"/>
        </w:rPr>
        <w:t>committing</w:t>
      </w:r>
      <w:r w:rsidRPr="000548FA">
        <w:rPr>
          <w:rFonts w:eastAsia="Verdana" w:cs="Verdana"/>
          <w:sz w:val="32"/>
          <w:szCs w:val="32"/>
        </w:rPr>
        <w:t xml:space="preserve"> to targets and time frames for implementation measures</w:t>
      </w:r>
      <w:r w:rsidRPr="000548FA">
        <w:rPr>
          <w:sz w:val="32"/>
          <w:szCs w:val="32"/>
        </w:rPr>
        <w:t>. MBIE is the responsible agency for this recommendation.</w:t>
      </w:r>
    </w:p>
    <w:p w14:paraId="44D7793E" w14:textId="519FBC85" w:rsidR="00AE466A" w:rsidRPr="000548FA" w:rsidRDefault="00AE466A" w:rsidP="000548FA">
      <w:pPr>
        <w:pStyle w:val="ParaLevel2"/>
        <w:spacing w:line="360" w:lineRule="auto"/>
        <w:rPr>
          <w:sz w:val="32"/>
          <w:szCs w:val="32"/>
        </w:rPr>
      </w:pPr>
      <w:r w:rsidRPr="000548FA">
        <w:rPr>
          <w:sz w:val="32"/>
          <w:szCs w:val="32"/>
        </w:rPr>
        <w:t>CO 16(c) recommends adopting the principle of universal design, committing to a target of 100% accessibility for any newly built public housing and introducing mandatory accessibility requirements for new housing in the private sector. HUD will consider actions to improve accessibility within the levers it controls</w:t>
      </w:r>
      <w:r w:rsidR="000774F8">
        <w:rPr>
          <w:sz w:val="32"/>
          <w:szCs w:val="32"/>
        </w:rPr>
        <w:t>,</w:t>
      </w:r>
      <w:r w:rsidR="003E3D84">
        <w:rPr>
          <w:sz w:val="32"/>
          <w:szCs w:val="32"/>
        </w:rPr>
        <w:t xml:space="preserve"> noting that geographic barriers</w:t>
      </w:r>
      <w:r w:rsidR="00263084" w:rsidRPr="00263084">
        <w:rPr>
          <w:sz w:val="32"/>
          <w:szCs w:val="32"/>
        </w:rPr>
        <w:t xml:space="preserve"> </w:t>
      </w:r>
      <w:r w:rsidR="00263084" w:rsidRPr="000548FA">
        <w:rPr>
          <w:sz w:val="32"/>
          <w:szCs w:val="32"/>
        </w:rPr>
        <w:t>present a practical challenge to a 100% target</w:t>
      </w:r>
      <w:r w:rsidR="00B21051">
        <w:rPr>
          <w:sz w:val="32"/>
          <w:szCs w:val="32"/>
        </w:rPr>
        <w:t>.</w:t>
      </w:r>
      <w:r w:rsidRPr="000548FA">
        <w:rPr>
          <w:sz w:val="32"/>
          <w:szCs w:val="32"/>
        </w:rPr>
        <w:t xml:space="preserve"> Responsibility for housing built in the private sector sits with MBIE</w:t>
      </w:r>
      <w:r w:rsidR="00B21051">
        <w:rPr>
          <w:sz w:val="32"/>
          <w:szCs w:val="32"/>
        </w:rPr>
        <w:t>.</w:t>
      </w:r>
      <w:r w:rsidRPr="000548FA">
        <w:rPr>
          <w:sz w:val="32"/>
          <w:szCs w:val="32"/>
        </w:rPr>
        <w:t xml:space="preserve"> </w:t>
      </w:r>
    </w:p>
    <w:p w14:paraId="19530BCE" w14:textId="0200A04E" w:rsidR="00AE466A" w:rsidRPr="000548FA" w:rsidRDefault="00AE466A" w:rsidP="000548FA">
      <w:pPr>
        <w:pStyle w:val="ParaLevel2"/>
        <w:spacing w:line="360" w:lineRule="auto"/>
        <w:rPr>
          <w:sz w:val="32"/>
          <w:szCs w:val="32"/>
        </w:rPr>
      </w:pPr>
      <w:r w:rsidRPr="000548FA">
        <w:rPr>
          <w:sz w:val="32"/>
          <w:szCs w:val="32"/>
        </w:rPr>
        <w:t xml:space="preserve">CO 34 recommends urgent action to safeguard disabled people from abuse and neglect in institutions, and remove disabled people from institutional settings. The Department of Corrections is leading cross-agency work to make improvements in this area. Oranga </w:t>
      </w:r>
      <w:r w:rsidRPr="000548FA">
        <w:rPr>
          <w:sz w:val="32"/>
          <w:szCs w:val="32"/>
        </w:rPr>
        <w:lastRenderedPageBreak/>
        <w:t>Tamariki is also considering future actions through the development of the NZDS.</w:t>
      </w:r>
    </w:p>
    <w:p w14:paraId="7BC5A55F" w14:textId="77777777" w:rsidR="00DF5C11" w:rsidRPr="000548FA" w:rsidRDefault="00DF5C11" w:rsidP="000548FA">
      <w:pPr>
        <w:pStyle w:val="Heading3"/>
        <w:spacing w:line="360" w:lineRule="auto"/>
        <w:rPr>
          <w:sz w:val="32"/>
          <w:szCs w:val="32"/>
        </w:rPr>
      </w:pPr>
      <w:r w:rsidRPr="000548FA">
        <w:rPr>
          <w:sz w:val="32"/>
          <w:szCs w:val="32"/>
        </w:rPr>
        <w:t>Non-government groups are taking action to improve housing outcomes for disabled people</w:t>
      </w:r>
    </w:p>
    <w:p w14:paraId="2F9EDDB7" w14:textId="594285BC" w:rsidR="00DF5C11" w:rsidRPr="000548FA" w:rsidRDefault="00DF5C11" w:rsidP="000548FA">
      <w:pPr>
        <w:pStyle w:val="Heading4"/>
        <w:spacing w:line="360" w:lineRule="auto"/>
        <w:rPr>
          <w:iCs w:val="0"/>
          <w:sz w:val="32"/>
          <w:szCs w:val="32"/>
        </w:rPr>
      </w:pPr>
      <w:r w:rsidRPr="000548FA">
        <w:rPr>
          <w:iCs w:val="0"/>
          <w:sz w:val="32"/>
          <w:szCs w:val="32"/>
        </w:rPr>
        <w:t>Community Housing Providers (CHP)</w:t>
      </w:r>
    </w:p>
    <w:p w14:paraId="7CAC72C5" w14:textId="04E6C069" w:rsidR="00DF5C11" w:rsidRPr="000548FA" w:rsidRDefault="00DF5C11" w:rsidP="000548FA">
      <w:pPr>
        <w:pStyle w:val="ParaLevel1"/>
        <w:spacing w:line="360" w:lineRule="auto"/>
        <w:rPr>
          <w:rFonts w:eastAsia="Verdana"/>
          <w:sz w:val="32"/>
          <w:szCs w:val="32"/>
        </w:rPr>
      </w:pPr>
      <w:r w:rsidRPr="000548FA">
        <w:rPr>
          <w:rFonts w:eastAsia="Verdana"/>
          <w:sz w:val="32"/>
          <w:szCs w:val="32"/>
        </w:rPr>
        <w:t xml:space="preserve">There are currently 88 </w:t>
      </w:r>
      <w:r w:rsidR="00B77BA2" w:rsidRPr="000548FA">
        <w:rPr>
          <w:rFonts w:eastAsia="Verdana"/>
          <w:sz w:val="32"/>
          <w:szCs w:val="32"/>
        </w:rPr>
        <w:t>CHPs</w:t>
      </w:r>
      <w:r w:rsidRPr="000548FA">
        <w:rPr>
          <w:rFonts w:eastAsia="Verdana"/>
          <w:sz w:val="32"/>
          <w:szCs w:val="32"/>
        </w:rPr>
        <w:t xml:space="preserve"> which manage 18,800 properties across New Zealand.</w:t>
      </w:r>
      <w:r w:rsidRPr="000548FA">
        <w:rPr>
          <w:rStyle w:val="FootnoteReference"/>
          <w:rFonts w:eastAsia="Verdana"/>
          <w:sz w:val="32"/>
          <w:szCs w:val="32"/>
          <w:lang w:val="en-NZ"/>
        </w:rPr>
        <w:footnoteReference w:id="78"/>
      </w:r>
      <w:r w:rsidRPr="000548FA">
        <w:rPr>
          <w:rFonts w:eastAsia="Verdana"/>
          <w:sz w:val="32"/>
          <w:szCs w:val="32"/>
        </w:rPr>
        <w:t xml:space="preserve"> </w:t>
      </w:r>
      <w:r w:rsidR="008044F3" w:rsidRPr="000548FA">
        <w:rPr>
          <w:rFonts w:eastAsia="Verdana"/>
          <w:sz w:val="32"/>
          <w:szCs w:val="32"/>
        </w:rPr>
        <w:t xml:space="preserve">Some CHPs have a particular focus on disabled people. </w:t>
      </w:r>
      <w:r w:rsidRPr="000548FA">
        <w:rPr>
          <w:rFonts w:eastAsia="Verdana"/>
          <w:sz w:val="32"/>
          <w:szCs w:val="32"/>
        </w:rPr>
        <w:t xml:space="preserve">Accessible Properties </w:t>
      </w:r>
      <w:r w:rsidR="008044F3" w:rsidRPr="000548FA">
        <w:rPr>
          <w:rFonts w:eastAsia="Verdana"/>
          <w:sz w:val="32"/>
          <w:szCs w:val="32"/>
        </w:rPr>
        <w:t>provides</w:t>
      </w:r>
      <w:r w:rsidRPr="000548FA">
        <w:rPr>
          <w:rFonts w:eastAsia="Verdana"/>
          <w:sz w:val="32"/>
          <w:szCs w:val="32"/>
        </w:rPr>
        <w:t xml:space="preserve"> accessible homes for disabled and older people, although they also rent a number of properties to non-disabled people. </w:t>
      </w:r>
      <w:r w:rsidR="008044F3" w:rsidRPr="000548FA">
        <w:rPr>
          <w:rFonts w:eastAsia="Verdana"/>
          <w:sz w:val="32"/>
          <w:szCs w:val="32"/>
        </w:rPr>
        <w:t>Homes of Choice is a CHP providing homes to disabled people, tailored to their needs.</w:t>
      </w:r>
    </w:p>
    <w:p w14:paraId="35E11145" w14:textId="18FDC0DD" w:rsidR="00B93CF9" w:rsidRPr="000548FA" w:rsidRDefault="00B93CF9" w:rsidP="000548FA">
      <w:pPr>
        <w:pStyle w:val="Heading4"/>
        <w:spacing w:line="360" w:lineRule="auto"/>
        <w:rPr>
          <w:iCs w:val="0"/>
          <w:sz w:val="32"/>
          <w:szCs w:val="32"/>
        </w:rPr>
      </w:pPr>
      <w:r w:rsidRPr="000548FA">
        <w:rPr>
          <w:iCs w:val="0"/>
          <w:sz w:val="32"/>
          <w:szCs w:val="32"/>
        </w:rPr>
        <w:t>Research and monitoring</w:t>
      </w:r>
    </w:p>
    <w:p w14:paraId="18820ED6" w14:textId="58DB0CA0" w:rsidR="00163F4A" w:rsidRPr="000548FA" w:rsidRDefault="00023A92" w:rsidP="000548FA">
      <w:pPr>
        <w:pStyle w:val="ParaLevel1"/>
        <w:spacing w:line="360" w:lineRule="auto"/>
        <w:rPr>
          <w:rFonts w:eastAsia="Verdana"/>
          <w:sz w:val="32"/>
          <w:szCs w:val="32"/>
        </w:rPr>
      </w:pPr>
      <w:r w:rsidRPr="000548FA">
        <w:rPr>
          <w:rFonts w:eastAsia="Verdana"/>
          <w:sz w:val="32"/>
          <w:szCs w:val="32"/>
        </w:rPr>
        <w:t xml:space="preserve">Flourishing Together is </w:t>
      </w:r>
      <w:r w:rsidR="00736310" w:rsidRPr="000548FA">
        <w:rPr>
          <w:rFonts w:eastAsia="Verdana"/>
          <w:sz w:val="32"/>
          <w:szCs w:val="32"/>
        </w:rPr>
        <w:t xml:space="preserve">a 3-year </w:t>
      </w:r>
      <w:r w:rsidR="00710F00" w:rsidRPr="000548FA">
        <w:rPr>
          <w:rFonts w:eastAsia="Verdana"/>
          <w:sz w:val="32"/>
          <w:szCs w:val="32"/>
        </w:rPr>
        <w:t xml:space="preserve">research </w:t>
      </w:r>
      <w:r w:rsidR="00736310" w:rsidRPr="000548FA">
        <w:rPr>
          <w:rFonts w:eastAsia="Verdana"/>
          <w:sz w:val="32"/>
          <w:szCs w:val="32"/>
        </w:rPr>
        <w:t xml:space="preserve">project </w:t>
      </w:r>
      <w:r w:rsidR="00C6607D" w:rsidRPr="000548FA">
        <w:rPr>
          <w:rFonts w:eastAsia="Verdana"/>
          <w:sz w:val="32"/>
          <w:szCs w:val="32"/>
        </w:rPr>
        <w:t>conducted via 4 universities</w:t>
      </w:r>
      <w:r w:rsidR="00C6607D" w:rsidRPr="000548FA">
        <w:rPr>
          <w:rStyle w:val="FootnoteReference"/>
          <w:rFonts w:eastAsia="Verdana"/>
          <w:sz w:val="32"/>
          <w:szCs w:val="32"/>
        </w:rPr>
        <w:footnoteReference w:id="79"/>
      </w:r>
      <w:r w:rsidR="00C6607D" w:rsidRPr="000548FA">
        <w:rPr>
          <w:rFonts w:eastAsia="Verdana"/>
          <w:sz w:val="32"/>
          <w:szCs w:val="32"/>
        </w:rPr>
        <w:t xml:space="preserve"> </w:t>
      </w:r>
      <w:r w:rsidR="00EC3E67" w:rsidRPr="000548FA">
        <w:rPr>
          <w:rFonts w:eastAsia="Verdana"/>
          <w:sz w:val="32"/>
          <w:szCs w:val="32"/>
        </w:rPr>
        <w:t>in partnership with tāngata whaikaha and disable</w:t>
      </w:r>
      <w:r w:rsidR="00463F7E" w:rsidRPr="000548FA">
        <w:rPr>
          <w:rFonts w:eastAsia="Verdana"/>
          <w:sz w:val="32"/>
          <w:szCs w:val="32"/>
        </w:rPr>
        <w:t>d people</w:t>
      </w:r>
      <w:r w:rsidR="00D7121A" w:rsidRPr="000548FA">
        <w:rPr>
          <w:rFonts w:eastAsia="Verdana"/>
          <w:sz w:val="32"/>
          <w:szCs w:val="32"/>
        </w:rPr>
        <w:t>.</w:t>
      </w:r>
      <w:r w:rsidR="00D7121A" w:rsidRPr="000548FA">
        <w:rPr>
          <w:rStyle w:val="FootnoteReference"/>
          <w:rFonts w:eastAsia="Verdana"/>
          <w:sz w:val="32"/>
          <w:szCs w:val="32"/>
        </w:rPr>
        <w:footnoteReference w:id="80"/>
      </w:r>
      <w:r w:rsidR="00710F00" w:rsidRPr="000548FA">
        <w:rPr>
          <w:rFonts w:eastAsia="Verdana"/>
          <w:sz w:val="32"/>
          <w:szCs w:val="32"/>
        </w:rPr>
        <w:t xml:space="preserve"> The </w:t>
      </w:r>
      <w:r w:rsidR="00E60158" w:rsidRPr="000548FA">
        <w:rPr>
          <w:rFonts w:eastAsia="Verdana"/>
          <w:sz w:val="32"/>
          <w:szCs w:val="32"/>
        </w:rPr>
        <w:t>study will produce policy recommendations about kāinga</w:t>
      </w:r>
      <w:r w:rsidR="001B6DB4" w:rsidRPr="000548FA">
        <w:rPr>
          <w:rFonts w:eastAsia="Verdana"/>
          <w:sz w:val="32"/>
          <w:szCs w:val="32"/>
        </w:rPr>
        <w:t>,</w:t>
      </w:r>
      <w:r w:rsidR="00E60158" w:rsidRPr="000548FA">
        <w:rPr>
          <w:rFonts w:eastAsia="Verdana"/>
          <w:sz w:val="32"/>
          <w:szCs w:val="32"/>
        </w:rPr>
        <w:t xml:space="preserve"> and resources to improve the meaningful involvement of disabled people in policy-development processes.</w:t>
      </w:r>
      <w:r w:rsidR="00947A3E" w:rsidRPr="000548FA">
        <w:rPr>
          <w:rStyle w:val="FootnoteReference"/>
          <w:rFonts w:eastAsia="Verdana"/>
          <w:sz w:val="32"/>
          <w:szCs w:val="32"/>
        </w:rPr>
        <w:footnoteReference w:id="81"/>
      </w:r>
      <w:r w:rsidR="00A5434F" w:rsidRPr="000548FA">
        <w:rPr>
          <w:rFonts w:eastAsia="Verdana"/>
          <w:sz w:val="32"/>
          <w:szCs w:val="32"/>
        </w:rPr>
        <w:t xml:space="preserve"> This research, when </w:t>
      </w:r>
      <w:r w:rsidR="00A5434F" w:rsidRPr="000548FA">
        <w:rPr>
          <w:rFonts w:eastAsia="Verdana"/>
          <w:sz w:val="32"/>
          <w:szCs w:val="32"/>
        </w:rPr>
        <w:lastRenderedPageBreak/>
        <w:t>released, could also help</w:t>
      </w:r>
      <w:r w:rsidR="001B6DB4" w:rsidRPr="000548FA">
        <w:rPr>
          <w:rFonts w:eastAsia="Verdana"/>
          <w:sz w:val="32"/>
          <w:szCs w:val="32"/>
        </w:rPr>
        <w:t xml:space="preserve"> to</w:t>
      </w:r>
      <w:r w:rsidR="00A5434F" w:rsidRPr="000548FA">
        <w:rPr>
          <w:rFonts w:eastAsia="Verdana"/>
          <w:sz w:val="32"/>
          <w:szCs w:val="32"/>
        </w:rPr>
        <w:t xml:space="preserve"> inform the </w:t>
      </w:r>
      <w:r w:rsidR="001B6DB4" w:rsidRPr="000548FA">
        <w:rPr>
          <w:rFonts w:eastAsia="Verdana"/>
          <w:sz w:val="32"/>
          <w:szCs w:val="32"/>
        </w:rPr>
        <w:t xml:space="preserve">housing </w:t>
      </w:r>
      <w:r w:rsidR="00A5434F" w:rsidRPr="000548FA">
        <w:rPr>
          <w:rFonts w:eastAsia="Verdana"/>
          <w:sz w:val="32"/>
          <w:szCs w:val="32"/>
        </w:rPr>
        <w:t>Working Group.</w:t>
      </w:r>
    </w:p>
    <w:p w14:paraId="25899AE5" w14:textId="5B4FBF8E" w:rsidR="00DF5C11" w:rsidRPr="000548FA" w:rsidRDefault="00DF5C11" w:rsidP="000548FA">
      <w:pPr>
        <w:pStyle w:val="Heading4"/>
        <w:spacing w:line="360" w:lineRule="auto"/>
        <w:rPr>
          <w:iCs w:val="0"/>
          <w:sz w:val="32"/>
          <w:szCs w:val="32"/>
        </w:rPr>
      </w:pPr>
      <w:r w:rsidRPr="000548FA">
        <w:rPr>
          <w:iCs w:val="0"/>
          <w:sz w:val="32"/>
          <w:szCs w:val="32"/>
        </w:rPr>
        <w:t>Accessibility advocacy</w:t>
      </w:r>
    </w:p>
    <w:p w14:paraId="2B0810D2" w14:textId="77777777" w:rsidR="00DF5C11" w:rsidRPr="000548FA" w:rsidRDefault="00DF5C11" w:rsidP="000548FA">
      <w:pPr>
        <w:pStyle w:val="ParaLevel1"/>
        <w:spacing w:line="360" w:lineRule="auto"/>
        <w:rPr>
          <w:rFonts w:eastAsia="Verdana"/>
          <w:sz w:val="32"/>
          <w:szCs w:val="32"/>
        </w:rPr>
      </w:pPr>
      <w:r w:rsidRPr="000548FA">
        <w:rPr>
          <w:rFonts w:eastAsia="Verdana"/>
          <w:sz w:val="32"/>
          <w:szCs w:val="32"/>
        </w:rPr>
        <w:t>CCS Disability Action is a disability support and advocacy organisation. They have initiatives relevant to housing, including:</w:t>
      </w:r>
    </w:p>
    <w:p w14:paraId="6F7A02A8" w14:textId="77777777" w:rsidR="00DF5C11" w:rsidRPr="000548FA" w:rsidRDefault="00DF5C11" w:rsidP="000548FA">
      <w:pPr>
        <w:pStyle w:val="ParaLevel2"/>
        <w:tabs>
          <w:tab w:val="clear" w:pos="567"/>
        </w:tabs>
        <w:spacing w:line="360" w:lineRule="auto"/>
        <w:rPr>
          <w:rFonts w:eastAsia="Verdana"/>
          <w:sz w:val="32"/>
          <w:szCs w:val="32"/>
        </w:rPr>
      </w:pPr>
      <w:r w:rsidRPr="000548FA">
        <w:rPr>
          <w:rFonts w:eastAsia="Verdana"/>
          <w:sz w:val="32"/>
          <w:szCs w:val="32"/>
        </w:rPr>
        <w:t>Access Advisory Services – advisors and educators work with both the public and private sector to advise on and assess on the accessibility of things such as footpaths, streets, building plans, and existing buildings.</w:t>
      </w:r>
    </w:p>
    <w:p w14:paraId="36C4D3FA" w14:textId="77777777" w:rsidR="00DF5C11" w:rsidRPr="000548FA" w:rsidRDefault="00DF5C11" w:rsidP="000548FA">
      <w:pPr>
        <w:pStyle w:val="ParaLevel2"/>
        <w:tabs>
          <w:tab w:val="clear" w:pos="567"/>
        </w:tabs>
        <w:spacing w:line="360" w:lineRule="auto"/>
        <w:rPr>
          <w:rFonts w:eastAsia="Verdana"/>
          <w:sz w:val="32"/>
          <w:szCs w:val="32"/>
        </w:rPr>
      </w:pPr>
      <w:r w:rsidRPr="000548FA">
        <w:rPr>
          <w:rFonts w:eastAsia="Verdana"/>
          <w:sz w:val="32"/>
          <w:szCs w:val="32"/>
        </w:rPr>
        <w:t>Lifemark – a universal design consultancy. Lifemark develops universal design standards and assesses building projects against their rating system based on universal design principles.</w:t>
      </w:r>
      <w:r w:rsidRPr="000548FA">
        <w:rPr>
          <w:rStyle w:val="FootnoteReference"/>
          <w:rFonts w:eastAsia="Verdana"/>
          <w:sz w:val="32"/>
          <w:szCs w:val="32"/>
          <w:lang w:val="en-NZ"/>
        </w:rPr>
        <w:footnoteReference w:id="82"/>
      </w:r>
      <w:r w:rsidRPr="000548FA">
        <w:rPr>
          <w:rFonts w:eastAsia="Verdana"/>
          <w:sz w:val="32"/>
          <w:szCs w:val="32"/>
        </w:rPr>
        <w:t xml:space="preserve"> </w:t>
      </w:r>
    </w:p>
    <w:p w14:paraId="3804FBDB" w14:textId="77777777" w:rsidR="00DF5C11" w:rsidRPr="000548FA" w:rsidRDefault="00DF5C11" w:rsidP="000548FA">
      <w:pPr>
        <w:pStyle w:val="Heading4"/>
        <w:spacing w:line="360" w:lineRule="auto"/>
        <w:rPr>
          <w:iCs w:val="0"/>
          <w:sz w:val="32"/>
          <w:szCs w:val="32"/>
        </w:rPr>
      </w:pPr>
      <w:r w:rsidRPr="000548FA">
        <w:rPr>
          <w:iCs w:val="0"/>
          <w:sz w:val="32"/>
          <w:szCs w:val="32"/>
        </w:rPr>
        <w:t>Kāinga Māori options</w:t>
      </w:r>
    </w:p>
    <w:p w14:paraId="323ED8D3" w14:textId="50B24E6E" w:rsidR="00DF5C11" w:rsidRPr="000548FA" w:rsidRDefault="00DF5C11" w:rsidP="000548FA">
      <w:pPr>
        <w:pStyle w:val="ParaLevel1"/>
        <w:spacing w:line="360" w:lineRule="auto"/>
        <w:rPr>
          <w:rFonts w:eastAsia="Verdana" w:cs="Verdana"/>
          <w:color w:val="000000" w:themeColor="text1"/>
          <w:sz w:val="32"/>
          <w:szCs w:val="32"/>
          <w:vertAlign w:val="superscript"/>
        </w:rPr>
      </w:pPr>
      <w:r w:rsidRPr="000548FA">
        <w:rPr>
          <w:rStyle w:val="normaltextrun"/>
          <w:rFonts w:eastAsia="Verdana" w:cs="Verdana"/>
          <w:color w:val="000000" w:themeColor="text1"/>
          <w:sz w:val="32"/>
          <w:szCs w:val="32"/>
        </w:rPr>
        <w:t xml:space="preserve">For tāngata whaikaha Māori, living in residential care facilities can alter their connections to communities, whānau and natural supports. Shifting away from community and kāinga can create a cultural </w:t>
      </w:r>
      <w:r w:rsidRPr="000548FA">
        <w:rPr>
          <w:rStyle w:val="normaltextrun"/>
          <w:rFonts w:eastAsia="Verdana" w:cs="Verdana"/>
          <w:color w:val="000000" w:themeColor="text1"/>
          <w:sz w:val="32"/>
          <w:szCs w:val="32"/>
        </w:rPr>
        <w:lastRenderedPageBreak/>
        <w:t xml:space="preserve">disconnection and loss of identity. Increasing choice and control </w:t>
      </w:r>
      <w:r w:rsidR="001C4D4B" w:rsidRPr="000548FA">
        <w:rPr>
          <w:rStyle w:val="normaltextrun"/>
          <w:rFonts w:eastAsia="Verdana" w:cs="Verdana"/>
          <w:color w:val="000000" w:themeColor="text1"/>
          <w:sz w:val="32"/>
          <w:szCs w:val="32"/>
        </w:rPr>
        <w:t xml:space="preserve">in housing </w:t>
      </w:r>
      <w:r w:rsidRPr="000548FA">
        <w:rPr>
          <w:rStyle w:val="normaltextrun"/>
          <w:rFonts w:eastAsia="Verdana" w:cs="Verdana"/>
          <w:color w:val="000000" w:themeColor="text1"/>
          <w:sz w:val="32"/>
          <w:szCs w:val="32"/>
        </w:rPr>
        <w:t>for tāngata whaikaha Māori needs to align with values and principles derived from te ao Māori.</w:t>
      </w:r>
      <w:r w:rsidRPr="000548FA">
        <w:rPr>
          <w:rStyle w:val="FootnoteReference"/>
          <w:rFonts w:eastAsia="Verdana" w:cs="Verdana"/>
          <w:color w:val="000000" w:themeColor="text1"/>
          <w:sz w:val="32"/>
          <w:szCs w:val="32"/>
          <w:lang w:val="en-NZ"/>
        </w:rPr>
        <w:footnoteReference w:id="83"/>
      </w:r>
    </w:p>
    <w:p w14:paraId="3010EF72" w14:textId="258C969E" w:rsidR="00DF5C11" w:rsidRPr="000548FA" w:rsidRDefault="00DF5C11" w:rsidP="000548FA">
      <w:pPr>
        <w:pStyle w:val="ParaLevel1"/>
        <w:spacing w:line="360" w:lineRule="auto"/>
        <w:rPr>
          <w:rStyle w:val="normaltextrun"/>
          <w:rFonts w:eastAsia="Verdana" w:cs="Verdana"/>
          <w:color w:val="000000" w:themeColor="text1"/>
          <w:sz w:val="32"/>
          <w:szCs w:val="32"/>
        </w:rPr>
      </w:pPr>
      <w:r w:rsidRPr="000548FA">
        <w:rPr>
          <w:rStyle w:val="normaltextrun"/>
          <w:rFonts w:eastAsia="Verdana" w:cs="Verdana"/>
          <w:color w:val="000000" w:themeColor="text1"/>
          <w:sz w:val="32"/>
          <w:szCs w:val="32"/>
        </w:rPr>
        <w:t xml:space="preserve">There are initiatives to upgrade marae to be more accessible so that everyone can feel a sense of welcome, belonging and ease whether they are visitors or live on site. For example, Te Hiiri o Mahuta Marae in Manawatū </w:t>
      </w:r>
      <w:r w:rsidR="001C4D4B" w:rsidRPr="000548FA">
        <w:rPr>
          <w:rStyle w:val="normaltextrun"/>
          <w:rFonts w:eastAsia="Verdana" w:cs="Verdana"/>
          <w:color w:val="000000" w:themeColor="text1"/>
          <w:sz w:val="32"/>
          <w:szCs w:val="32"/>
        </w:rPr>
        <w:t>has undergone</w:t>
      </w:r>
      <w:r w:rsidRPr="000548FA">
        <w:rPr>
          <w:rStyle w:val="normaltextrun"/>
          <w:rFonts w:eastAsia="Verdana" w:cs="Verdana"/>
          <w:color w:val="000000" w:themeColor="text1"/>
          <w:sz w:val="32"/>
          <w:szCs w:val="32"/>
        </w:rPr>
        <w:t xml:space="preserve"> significant renovations, including for greater accessibility.</w:t>
      </w:r>
      <w:r w:rsidRPr="000548FA">
        <w:rPr>
          <w:rStyle w:val="FootnoteReference"/>
          <w:rFonts w:eastAsia="Verdana" w:cs="Verdana"/>
          <w:color w:val="000000" w:themeColor="text1"/>
          <w:sz w:val="32"/>
          <w:szCs w:val="32"/>
          <w:lang w:val="en-NZ"/>
        </w:rPr>
        <w:footnoteReference w:id="84"/>
      </w:r>
    </w:p>
    <w:p w14:paraId="14BEA542" w14:textId="60ED27B1" w:rsidR="00DF5C11" w:rsidRPr="000548FA" w:rsidRDefault="00DF5C11" w:rsidP="000548FA">
      <w:pPr>
        <w:pStyle w:val="ParaLevel1"/>
        <w:spacing w:line="360" w:lineRule="auto"/>
        <w:rPr>
          <w:rStyle w:val="normaltextrun"/>
          <w:rFonts w:eastAsia="Verdana" w:cs="Verdana"/>
          <w:color w:val="000000" w:themeColor="text1"/>
          <w:sz w:val="32"/>
          <w:szCs w:val="32"/>
        </w:rPr>
      </w:pPr>
      <w:r w:rsidRPr="000548FA">
        <w:rPr>
          <w:rStyle w:val="normaltextrun"/>
          <w:rFonts w:eastAsia="Verdana" w:cs="Verdana"/>
          <w:color w:val="000000" w:themeColor="text1"/>
          <w:sz w:val="32"/>
          <w:szCs w:val="32"/>
        </w:rPr>
        <w:t>Some marae, in addition to accessing resources such as Choice in Community Living</w:t>
      </w:r>
      <w:r w:rsidR="00496CFE" w:rsidRPr="000548FA">
        <w:rPr>
          <w:rStyle w:val="FootnoteReference"/>
          <w:rFonts w:eastAsia="Verdana" w:cs="Verdana"/>
          <w:color w:val="000000" w:themeColor="text1"/>
          <w:sz w:val="32"/>
          <w:szCs w:val="32"/>
        </w:rPr>
        <w:footnoteReference w:id="85"/>
      </w:r>
      <w:r w:rsidRPr="000548FA">
        <w:rPr>
          <w:rStyle w:val="normaltextrun"/>
          <w:rFonts w:eastAsia="Verdana" w:cs="Verdana"/>
          <w:color w:val="000000" w:themeColor="text1"/>
          <w:sz w:val="32"/>
          <w:szCs w:val="32"/>
        </w:rPr>
        <w:t>, have developed community arrangements where tiny homes may be brought onto the marae as housing for those who want to live in community and enjoy whānau support.</w:t>
      </w:r>
    </w:p>
    <w:p w14:paraId="70D69B55" w14:textId="77777777" w:rsidR="00DF5C11" w:rsidRPr="000548FA" w:rsidRDefault="00DF5C11" w:rsidP="000548FA">
      <w:pPr>
        <w:pStyle w:val="ParaLevel1"/>
        <w:spacing w:line="360" w:lineRule="auto"/>
        <w:rPr>
          <w:rStyle w:val="normaltextrun"/>
          <w:rFonts w:eastAsia="Verdana" w:cs="Verdana"/>
          <w:color w:val="000000" w:themeColor="text1"/>
          <w:sz w:val="32"/>
          <w:szCs w:val="32"/>
        </w:rPr>
      </w:pPr>
      <w:r w:rsidRPr="000548FA">
        <w:rPr>
          <w:rStyle w:val="normaltextrun"/>
          <w:rFonts w:eastAsia="Verdana" w:cs="Verdana"/>
          <w:color w:val="000000" w:themeColor="text1"/>
          <w:sz w:val="32"/>
          <w:szCs w:val="32"/>
        </w:rPr>
        <w:t xml:space="preserve">Whaikaha has established a relationship with Te Matapihi, the independent national peak body for Māori </w:t>
      </w:r>
      <w:r w:rsidRPr="000548FA">
        <w:rPr>
          <w:rStyle w:val="normaltextrun"/>
          <w:rFonts w:eastAsia="Verdana" w:cs="Verdana"/>
          <w:color w:val="000000" w:themeColor="text1"/>
          <w:sz w:val="32"/>
          <w:szCs w:val="32"/>
        </w:rPr>
        <w:lastRenderedPageBreak/>
        <w:t>housing. We will continue to engage with Te Matapihi and explore opportunities for collaboration.</w:t>
      </w:r>
    </w:p>
    <w:p w14:paraId="7411FB38" w14:textId="77777777" w:rsidR="00DF5C11" w:rsidRPr="000548FA" w:rsidRDefault="00DF5C11" w:rsidP="000548FA">
      <w:pPr>
        <w:pStyle w:val="Heading4"/>
        <w:spacing w:line="360" w:lineRule="auto"/>
        <w:rPr>
          <w:iCs w:val="0"/>
          <w:sz w:val="32"/>
          <w:szCs w:val="32"/>
        </w:rPr>
      </w:pPr>
      <w:r w:rsidRPr="000548FA">
        <w:rPr>
          <w:iCs w:val="0"/>
          <w:sz w:val="32"/>
          <w:szCs w:val="32"/>
        </w:rPr>
        <w:t>Private sector</w:t>
      </w:r>
    </w:p>
    <w:p w14:paraId="70DF908C" w14:textId="1862F653" w:rsidR="00DF5C11" w:rsidRPr="000548FA" w:rsidRDefault="00DF5C11"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 xml:space="preserve">Various private sector agencies are cognisant of the growing need for accessible housing. </w:t>
      </w:r>
      <w:r w:rsidR="001C4D4B" w:rsidRPr="000548FA">
        <w:rPr>
          <w:rFonts w:eastAsia="Verdana" w:cs="Verdana"/>
          <w:color w:val="000000" w:themeColor="text1"/>
          <w:sz w:val="32"/>
          <w:szCs w:val="32"/>
        </w:rPr>
        <w:t>Government agencies</w:t>
      </w:r>
      <w:r w:rsidRPr="000548FA">
        <w:rPr>
          <w:rFonts w:eastAsia="Verdana" w:cs="Verdana"/>
          <w:color w:val="000000" w:themeColor="text1"/>
          <w:sz w:val="32"/>
          <w:szCs w:val="32"/>
        </w:rPr>
        <w:t xml:space="preserve"> could collaborate with the below organisations and others to advise on and promote accessible housing. </w:t>
      </w:r>
    </w:p>
    <w:p w14:paraId="4BB938C7" w14:textId="77777777" w:rsidR="00DF5C11" w:rsidRPr="000548FA" w:rsidRDefault="00DF5C11" w:rsidP="000548FA">
      <w:pPr>
        <w:pStyle w:val="ParaLevel1"/>
        <w:spacing w:line="360" w:lineRule="auto"/>
        <w:rPr>
          <w:rFonts w:eastAsia="Verdana" w:cs="Verdana"/>
          <w:color w:val="000000" w:themeColor="text1"/>
          <w:sz w:val="32"/>
          <w:szCs w:val="32"/>
        </w:rPr>
      </w:pPr>
      <w:r w:rsidRPr="000548FA">
        <w:rPr>
          <w:rFonts w:eastAsia="Verdana" w:cs="Verdana"/>
          <w:color w:val="000000" w:themeColor="text1"/>
          <w:sz w:val="32"/>
          <w:szCs w:val="32"/>
        </w:rPr>
        <w:t>A new housing development in Upper Hutt garnered attention for including accessible cottages designed in consultation with disability advocate Pati Umaga.</w:t>
      </w:r>
      <w:r w:rsidRPr="000548FA">
        <w:rPr>
          <w:rStyle w:val="FootnoteReference"/>
          <w:rFonts w:eastAsia="Verdana" w:cs="Verdana"/>
          <w:color w:val="000000" w:themeColor="text1"/>
          <w:sz w:val="32"/>
          <w:szCs w:val="32"/>
          <w:lang w:val="en-NZ"/>
        </w:rPr>
        <w:footnoteReference w:id="86"/>
      </w:r>
    </w:p>
    <w:p w14:paraId="1BC4161E" w14:textId="1B76B032" w:rsidR="00DF5C11" w:rsidRPr="000548FA" w:rsidRDefault="00DF5C11" w:rsidP="000548FA">
      <w:pPr>
        <w:pStyle w:val="ParaLevel1"/>
        <w:spacing w:line="360" w:lineRule="auto"/>
        <w:rPr>
          <w:rFonts w:eastAsia="Verdana" w:cs="Verdana"/>
          <w:color w:val="000000" w:themeColor="text1"/>
          <w:sz w:val="32"/>
          <w:szCs w:val="32"/>
        </w:rPr>
      </w:pPr>
      <w:r w:rsidRPr="000548FA">
        <w:rPr>
          <w:rFonts w:eastAsia="Verdana"/>
          <w:sz w:val="32"/>
          <w:szCs w:val="32"/>
        </w:rPr>
        <w:t xml:space="preserve">GibbonsCo is a property development company which contacted Whaikaha about their desire to provide universally designed housing to those in need. Whaikaha </w:t>
      </w:r>
      <w:r w:rsidR="056C7BD5" w:rsidRPr="000548FA">
        <w:rPr>
          <w:rFonts w:eastAsia="Verdana"/>
          <w:sz w:val="32"/>
          <w:szCs w:val="32"/>
        </w:rPr>
        <w:t>had</w:t>
      </w:r>
      <w:r w:rsidRPr="000548FA">
        <w:rPr>
          <w:rFonts w:eastAsia="Verdana"/>
          <w:sz w:val="32"/>
          <w:szCs w:val="32"/>
        </w:rPr>
        <w:t xml:space="preserve"> an initial meeting with GibbonsCo to discuss their plans.</w:t>
      </w:r>
    </w:p>
    <w:p w14:paraId="4C913EFC" w14:textId="77777777" w:rsidR="00DF5C11" w:rsidRPr="000548FA" w:rsidRDefault="00DF5C11" w:rsidP="000548FA">
      <w:pPr>
        <w:pStyle w:val="ParaLevel1"/>
        <w:spacing w:line="360" w:lineRule="auto"/>
        <w:rPr>
          <w:rFonts w:eastAsia="Verdana" w:cs="Verdana"/>
          <w:color w:val="000000" w:themeColor="text1"/>
          <w:sz w:val="32"/>
          <w:szCs w:val="32"/>
        </w:rPr>
      </w:pPr>
      <w:r w:rsidRPr="000548FA">
        <w:rPr>
          <w:rFonts w:eastAsia="Verdana"/>
          <w:sz w:val="32"/>
          <w:szCs w:val="32"/>
        </w:rPr>
        <w:t>HouseMe contacted the Minister for Disability Issues in July 2024 inviting her to visit their head office and showroom of their new unit designed for people who are wheelchair users or have mobility impairments.</w:t>
      </w:r>
    </w:p>
    <w:p w14:paraId="4D6C34B4" w14:textId="14B14913" w:rsidR="00256C96" w:rsidRPr="000548FA" w:rsidRDefault="00B77BA2" w:rsidP="000548FA">
      <w:pPr>
        <w:pStyle w:val="Heading2"/>
        <w:spacing w:line="360" w:lineRule="auto"/>
        <w:rPr>
          <w:sz w:val="36"/>
          <w:szCs w:val="36"/>
        </w:rPr>
      </w:pPr>
      <w:r w:rsidRPr="000548FA">
        <w:rPr>
          <w:sz w:val="36"/>
          <w:szCs w:val="36"/>
        </w:rPr>
        <w:lastRenderedPageBreak/>
        <w:t>Examples of actions taken to improve housing outcomes for disabled people overseas</w:t>
      </w:r>
    </w:p>
    <w:p w14:paraId="4B2EC577" w14:textId="6B93556D" w:rsidR="00256C96" w:rsidRPr="000548FA" w:rsidRDefault="00256C96" w:rsidP="000548FA">
      <w:pPr>
        <w:pStyle w:val="Heading3"/>
        <w:spacing w:line="360" w:lineRule="auto"/>
        <w:rPr>
          <w:sz w:val="32"/>
          <w:szCs w:val="32"/>
        </w:rPr>
      </w:pPr>
      <w:r w:rsidRPr="000548FA">
        <w:rPr>
          <w:sz w:val="32"/>
          <w:szCs w:val="32"/>
        </w:rPr>
        <w:t>Incentivising building accessible homes</w:t>
      </w:r>
    </w:p>
    <w:p w14:paraId="5C5A4B88" w14:textId="10A55315" w:rsidR="00256C96" w:rsidRPr="000548FA" w:rsidRDefault="00256C96" w:rsidP="000548FA">
      <w:pPr>
        <w:pStyle w:val="ParaLevel1"/>
        <w:spacing w:line="360" w:lineRule="auto"/>
        <w:rPr>
          <w:rFonts w:eastAsia="Verdana"/>
          <w:sz w:val="32"/>
          <w:szCs w:val="32"/>
        </w:rPr>
      </w:pPr>
      <w:r w:rsidRPr="000548FA">
        <w:rPr>
          <w:rFonts w:eastAsia="Verdana"/>
          <w:sz w:val="32"/>
          <w:szCs w:val="32"/>
        </w:rPr>
        <w:t xml:space="preserve">Kāinga Tipu – The Centre for Housing Research (CHRANZ) noted that regulation on its own does not work, with the three most successful strategies to encourage the supply of accessible housing </w:t>
      </w:r>
      <w:r w:rsidR="001C4D4B" w:rsidRPr="000548FA">
        <w:rPr>
          <w:rFonts w:eastAsia="Verdana"/>
          <w:sz w:val="32"/>
          <w:szCs w:val="32"/>
        </w:rPr>
        <w:t>being</w:t>
      </w:r>
      <w:r w:rsidRPr="000548FA">
        <w:rPr>
          <w:rFonts w:eastAsia="Verdana"/>
          <w:sz w:val="32"/>
          <w:szCs w:val="32"/>
        </w:rPr>
        <w:t>: adopting accessible or universal housing design principles in regulatory requirements; providing design advice and assistance; and financial incentives.</w:t>
      </w:r>
      <w:r w:rsidRPr="000548FA">
        <w:rPr>
          <w:rStyle w:val="FootnoteReference"/>
          <w:rFonts w:eastAsia="Verdana"/>
          <w:sz w:val="32"/>
          <w:szCs w:val="32"/>
          <w:lang w:val="en-NZ"/>
        </w:rPr>
        <w:footnoteReference w:id="87"/>
      </w:r>
    </w:p>
    <w:p w14:paraId="0F10906D" w14:textId="4602E36B" w:rsidR="00256C96" w:rsidRPr="000548FA" w:rsidRDefault="00256C96" w:rsidP="000548FA">
      <w:pPr>
        <w:pStyle w:val="ParaLevel1"/>
        <w:spacing w:line="360" w:lineRule="auto"/>
        <w:rPr>
          <w:rFonts w:eastAsia="Verdana"/>
          <w:sz w:val="32"/>
          <w:szCs w:val="32"/>
        </w:rPr>
      </w:pPr>
      <w:r w:rsidRPr="000548FA">
        <w:rPr>
          <w:rFonts w:eastAsia="Verdana"/>
          <w:sz w:val="32"/>
          <w:szCs w:val="32"/>
        </w:rPr>
        <w:t>A range of countries use incentives to encourage the construction of accessible and universally designed properties. While somewhat dated, a paper commissioned by CHRANZ noted initiatives in Japan, Norway, Canada, and Australian states to incentivise accessible builds.</w:t>
      </w:r>
      <w:r w:rsidRPr="000548FA">
        <w:rPr>
          <w:rStyle w:val="FootnoteReference"/>
          <w:rFonts w:eastAsia="Verdana"/>
          <w:sz w:val="32"/>
          <w:szCs w:val="32"/>
          <w:lang w:val="en-NZ"/>
        </w:rPr>
        <w:footnoteReference w:id="88"/>
      </w:r>
      <w:r w:rsidRPr="000548FA">
        <w:rPr>
          <w:rFonts w:eastAsia="Verdana"/>
          <w:sz w:val="32"/>
          <w:szCs w:val="32"/>
        </w:rPr>
        <w:t xml:space="preserve"> These include measures such as mortgage and home loan incentives, and preferential planning processes.</w:t>
      </w:r>
      <w:r w:rsidR="00C35FF4" w:rsidRPr="000548FA">
        <w:rPr>
          <w:rFonts w:eastAsia="Verdana"/>
          <w:sz w:val="32"/>
          <w:szCs w:val="32"/>
        </w:rPr>
        <w:t xml:space="preserve"> Singapore’s Building and Construction Authority </w:t>
      </w:r>
      <w:r w:rsidR="00605E9E" w:rsidRPr="000548FA">
        <w:rPr>
          <w:rFonts w:eastAsia="Verdana"/>
          <w:sz w:val="32"/>
          <w:szCs w:val="32"/>
        </w:rPr>
        <w:t>has a Universal Design self-assessment framework to encourage integration of user-</w:t>
      </w:r>
      <w:r w:rsidR="00605E9E" w:rsidRPr="000548FA">
        <w:rPr>
          <w:rFonts w:eastAsia="Verdana"/>
          <w:sz w:val="32"/>
          <w:szCs w:val="32"/>
        </w:rPr>
        <w:lastRenderedPageBreak/>
        <w:t>friendly features and indicate levels of accessibility to the public.</w:t>
      </w:r>
      <w:r w:rsidR="00605E9E" w:rsidRPr="000548FA">
        <w:rPr>
          <w:rStyle w:val="FootnoteReference"/>
          <w:rFonts w:eastAsia="Verdana"/>
          <w:sz w:val="32"/>
          <w:szCs w:val="32"/>
          <w:lang w:val="en-NZ"/>
        </w:rPr>
        <w:footnoteReference w:id="89"/>
      </w:r>
      <w:r w:rsidR="00605E9E" w:rsidRPr="000548FA">
        <w:rPr>
          <w:rFonts w:eastAsia="Verdana"/>
          <w:sz w:val="32"/>
          <w:szCs w:val="32"/>
        </w:rPr>
        <w:t xml:space="preserve"> Outstanding projects are recognised with Universal Design Excellence Awards.</w:t>
      </w:r>
    </w:p>
    <w:p w14:paraId="09816E48" w14:textId="77777777" w:rsidR="00256C96" w:rsidRPr="000548FA" w:rsidRDefault="00256C96" w:rsidP="000548FA">
      <w:pPr>
        <w:pStyle w:val="Heading3"/>
        <w:spacing w:line="360" w:lineRule="auto"/>
        <w:rPr>
          <w:sz w:val="32"/>
          <w:szCs w:val="32"/>
        </w:rPr>
      </w:pPr>
      <w:r w:rsidRPr="000548FA">
        <w:rPr>
          <w:sz w:val="32"/>
          <w:szCs w:val="32"/>
        </w:rPr>
        <w:t>Legislating accessibility standards in residential housing</w:t>
      </w:r>
    </w:p>
    <w:p w14:paraId="45707AFA" w14:textId="760CB924" w:rsidR="00256C96" w:rsidRPr="000548FA" w:rsidRDefault="00256C96" w:rsidP="000548FA">
      <w:pPr>
        <w:pStyle w:val="ParaLevel1"/>
        <w:spacing w:line="360" w:lineRule="auto"/>
        <w:rPr>
          <w:rFonts w:eastAsia="Verdana"/>
          <w:sz w:val="32"/>
          <w:szCs w:val="32"/>
        </w:rPr>
      </w:pPr>
      <w:r w:rsidRPr="000548FA">
        <w:rPr>
          <w:rFonts w:eastAsia="Verdana"/>
          <w:sz w:val="32"/>
          <w:szCs w:val="32"/>
        </w:rPr>
        <w:t>Australia introduced a Liveable Housing Design Standard in October 2023, requiring new houses and units to be designed and constructed with certain accessibility features such as an accessible toilet and at least one step-free entrance to the home.</w:t>
      </w:r>
      <w:r w:rsidRPr="000548FA">
        <w:rPr>
          <w:rStyle w:val="FootnoteReference"/>
          <w:rFonts w:eastAsia="Verdana"/>
          <w:sz w:val="32"/>
          <w:szCs w:val="32"/>
          <w:lang w:val="en-NZ"/>
        </w:rPr>
        <w:footnoteReference w:id="90"/>
      </w:r>
      <w:r w:rsidRPr="000548FA">
        <w:rPr>
          <w:rFonts w:eastAsia="Verdana"/>
          <w:sz w:val="32"/>
          <w:szCs w:val="32"/>
        </w:rPr>
        <w:t xml:space="preserve"> </w:t>
      </w:r>
      <w:r w:rsidR="00D62442" w:rsidRPr="000548FA">
        <w:rPr>
          <w:rFonts w:eastAsia="Verdana"/>
          <w:sz w:val="32"/>
          <w:szCs w:val="32"/>
        </w:rPr>
        <w:t xml:space="preserve">This approach builds on a Lifemark-like initiative by </w:t>
      </w:r>
      <w:r w:rsidR="00003853" w:rsidRPr="000548FA">
        <w:rPr>
          <w:rFonts w:eastAsia="Verdana"/>
          <w:sz w:val="32"/>
          <w:szCs w:val="32"/>
        </w:rPr>
        <w:t>mandating</w:t>
      </w:r>
      <w:r w:rsidR="00D62442" w:rsidRPr="000548FA">
        <w:rPr>
          <w:rFonts w:eastAsia="Verdana"/>
          <w:sz w:val="32"/>
          <w:szCs w:val="32"/>
        </w:rPr>
        <w:t xml:space="preserve"> minimum accessibility requirements.</w:t>
      </w:r>
    </w:p>
    <w:p w14:paraId="07507A5C" w14:textId="3170F611" w:rsidR="00256C96" w:rsidRPr="000548FA" w:rsidRDefault="00256C96" w:rsidP="000548FA">
      <w:pPr>
        <w:pStyle w:val="ParaLevel1"/>
        <w:spacing w:line="360" w:lineRule="auto"/>
        <w:rPr>
          <w:rFonts w:eastAsia="Verdana"/>
          <w:sz w:val="32"/>
          <w:szCs w:val="32"/>
        </w:rPr>
      </w:pPr>
      <w:r w:rsidRPr="000548FA">
        <w:rPr>
          <w:rFonts w:eastAsia="Verdana"/>
          <w:sz w:val="32"/>
          <w:szCs w:val="32"/>
        </w:rPr>
        <w:t xml:space="preserve">The United Kingdom has a similar system, with new homes built in the UK required to meet the minimum ‘Visitable </w:t>
      </w:r>
      <w:r w:rsidR="001B4093" w:rsidRPr="000548FA">
        <w:rPr>
          <w:rFonts w:eastAsia="Verdana"/>
          <w:sz w:val="32"/>
          <w:szCs w:val="32"/>
        </w:rPr>
        <w:t>d</w:t>
      </w:r>
      <w:r w:rsidRPr="000548FA">
        <w:rPr>
          <w:rFonts w:eastAsia="Verdana"/>
          <w:sz w:val="32"/>
          <w:szCs w:val="32"/>
        </w:rPr>
        <w:t xml:space="preserve">wellings’ standard, with further ‘Accessible and </w:t>
      </w:r>
      <w:r w:rsidR="001B4093" w:rsidRPr="000548FA">
        <w:rPr>
          <w:rFonts w:eastAsia="Verdana"/>
          <w:sz w:val="32"/>
          <w:szCs w:val="32"/>
        </w:rPr>
        <w:t>a</w:t>
      </w:r>
      <w:r w:rsidRPr="000548FA">
        <w:rPr>
          <w:rFonts w:eastAsia="Verdana"/>
          <w:sz w:val="32"/>
          <w:szCs w:val="32"/>
        </w:rPr>
        <w:t xml:space="preserve">daptable </w:t>
      </w:r>
      <w:r w:rsidR="001B4093" w:rsidRPr="000548FA">
        <w:rPr>
          <w:rFonts w:eastAsia="Verdana"/>
          <w:sz w:val="32"/>
          <w:szCs w:val="32"/>
        </w:rPr>
        <w:t>d</w:t>
      </w:r>
      <w:r w:rsidRPr="000548FA">
        <w:rPr>
          <w:rFonts w:eastAsia="Verdana"/>
          <w:sz w:val="32"/>
          <w:szCs w:val="32"/>
        </w:rPr>
        <w:t xml:space="preserve">wellings’ and ‘Wheelchair </w:t>
      </w:r>
      <w:r w:rsidR="001B4093" w:rsidRPr="000548FA">
        <w:rPr>
          <w:rFonts w:eastAsia="Verdana"/>
          <w:sz w:val="32"/>
          <w:szCs w:val="32"/>
        </w:rPr>
        <w:t>u</w:t>
      </w:r>
      <w:r w:rsidRPr="000548FA">
        <w:rPr>
          <w:rFonts w:eastAsia="Verdana"/>
          <w:sz w:val="32"/>
          <w:szCs w:val="32"/>
        </w:rPr>
        <w:t xml:space="preserve">ser </w:t>
      </w:r>
      <w:r w:rsidR="001B4093" w:rsidRPr="000548FA">
        <w:rPr>
          <w:rFonts w:eastAsia="Verdana"/>
          <w:sz w:val="32"/>
          <w:szCs w:val="32"/>
        </w:rPr>
        <w:t>d</w:t>
      </w:r>
      <w:r w:rsidRPr="000548FA">
        <w:rPr>
          <w:rFonts w:eastAsia="Verdana"/>
          <w:sz w:val="32"/>
          <w:szCs w:val="32"/>
        </w:rPr>
        <w:t>wellings’ providing further optional standards.</w:t>
      </w:r>
      <w:r w:rsidR="00DB7CB9" w:rsidRPr="000548FA">
        <w:rPr>
          <w:rFonts w:eastAsia="Verdana"/>
          <w:sz w:val="32"/>
          <w:szCs w:val="32"/>
        </w:rPr>
        <w:t xml:space="preserve"> </w:t>
      </w:r>
      <w:r w:rsidR="00281521" w:rsidRPr="000548FA">
        <w:rPr>
          <w:rFonts w:eastAsia="Verdana"/>
          <w:sz w:val="32"/>
          <w:szCs w:val="32"/>
        </w:rPr>
        <w:t>T</w:t>
      </w:r>
      <w:r w:rsidR="006B04AD" w:rsidRPr="000548FA">
        <w:rPr>
          <w:rFonts w:eastAsia="Verdana"/>
          <w:sz w:val="32"/>
          <w:szCs w:val="32"/>
        </w:rPr>
        <w:t>he Vis</w:t>
      </w:r>
      <w:r w:rsidR="001B4093" w:rsidRPr="000548FA">
        <w:rPr>
          <w:rFonts w:eastAsia="Verdana"/>
          <w:sz w:val="32"/>
          <w:szCs w:val="32"/>
        </w:rPr>
        <w:t xml:space="preserve">itable dwellings standard is only deemed fulfilled </w:t>
      </w:r>
      <w:r w:rsidR="00FC4B88" w:rsidRPr="000548FA">
        <w:rPr>
          <w:rFonts w:eastAsia="Verdana"/>
          <w:sz w:val="32"/>
          <w:szCs w:val="32"/>
        </w:rPr>
        <w:t xml:space="preserve">where new </w:t>
      </w:r>
      <w:r w:rsidR="003E1845" w:rsidRPr="000548FA">
        <w:rPr>
          <w:rFonts w:eastAsia="Verdana"/>
          <w:sz w:val="32"/>
          <w:szCs w:val="32"/>
        </w:rPr>
        <w:t>dwellings</w:t>
      </w:r>
      <w:r w:rsidR="00FC4B88" w:rsidRPr="000548FA">
        <w:rPr>
          <w:rFonts w:eastAsia="Verdana"/>
          <w:sz w:val="32"/>
          <w:szCs w:val="32"/>
        </w:rPr>
        <w:t xml:space="preserve"> make reasonable provisions for most people – </w:t>
      </w:r>
      <w:r w:rsidR="00FC4B88" w:rsidRPr="000548FA">
        <w:rPr>
          <w:rFonts w:eastAsia="Verdana"/>
          <w:sz w:val="32"/>
          <w:szCs w:val="32"/>
        </w:rPr>
        <w:lastRenderedPageBreak/>
        <w:t>including wheelchair users</w:t>
      </w:r>
      <w:r w:rsidR="006325C5" w:rsidRPr="000548FA">
        <w:rPr>
          <w:rFonts w:eastAsia="Verdana"/>
          <w:sz w:val="32"/>
          <w:szCs w:val="32"/>
        </w:rPr>
        <w:t xml:space="preserve"> – to </w:t>
      </w:r>
      <w:r w:rsidR="003E1845" w:rsidRPr="000548FA">
        <w:rPr>
          <w:rFonts w:eastAsia="Verdana"/>
          <w:sz w:val="32"/>
          <w:szCs w:val="32"/>
        </w:rPr>
        <w:t xml:space="preserve">enter </w:t>
      </w:r>
      <w:r w:rsidR="00F13A41" w:rsidRPr="000548FA">
        <w:rPr>
          <w:rFonts w:eastAsia="Verdana"/>
          <w:sz w:val="32"/>
          <w:szCs w:val="32"/>
        </w:rPr>
        <w:t>the dwelling and access habitable rooms and bathrooms</w:t>
      </w:r>
      <w:r w:rsidR="00FC4B88" w:rsidRPr="000548FA">
        <w:rPr>
          <w:rFonts w:eastAsia="Verdana"/>
          <w:sz w:val="32"/>
          <w:szCs w:val="32"/>
        </w:rPr>
        <w:t>.</w:t>
      </w:r>
      <w:r w:rsidR="00FC4B88" w:rsidRPr="000548FA">
        <w:rPr>
          <w:rStyle w:val="FootnoteReference"/>
          <w:rFonts w:eastAsia="Verdana"/>
          <w:sz w:val="32"/>
          <w:szCs w:val="32"/>
          <w:lang w:val="en-NZ"/>
        </w:rPr>
        <w:footnoteReference w:id="91"/>
      </w:r>
      <w:r w:rsidR="007A6325" w:rsidRPr="000548FA">
        <w:rPr>
          <w:rFonts w:eastAsia="Verdana"/>
          <w:sz w:val="32"/>
          <w:szCs w:val="32"/>
        </w:rPr>
        <w:t xml:space="preserve"> </w:t>
      </w:r>
      <w:r w:rsidR="00113E46" w:rsidRPr="000548FA">
        <w:rPr>
          <w:rFonts w:eastAsia="Verdana"/>
          <w:sz w:val="32"/>
          <w:szCs w:val="32"/>
        </w:rPr>
        <w:t xml:space="preserve">The visitable dwellings standards also apply to </w:t>
      </w:r>
      <w:r w:rsidR="007A6F18" w:rsidRPr="000548FA">
        <w:rPr>
          <w:rFonts w:eastAsia="Verdana"/>
          <w:sz w:val="32"/>
          <w:szCs w:val="32"/>
        </w:rPr>
        <w:t>buildings other than dwellings, such as shops, hotels,</w:t>
      </w:r>
      <w:r w:rsidR="00AD4834" w:rsidRPr="000548FA">
        <w:rPr>
          <w:rFonts w:eastAsia="Verdana"/>
          <w:sz w:val="32"/>
          <w:szCs w:val="32"/>
        </w:rPr>
        <w:t xml:space="preserve"> and</w:t>
      </w:r>
      <w:r w:rsidR="007A6F18" w:rsidRPr="000548FA">
        <w:rPr>
          <w:rFonts w:eastAsia="Verdana"/>
          <w:sz w:val="32"/>
          <w:szCs w:val="32"/>
        </w:rPr>
        <w:t xml:space="preserve"> public buildings</w:t>
      </w:r>
      <w:r w:rsidR="00AD4834" w:rsidRPr="000548FA">
        <w:rPr>
          <w:rFonts w:eastAsia="Verdana"/>
          <w:sz w:val="32"/>
          <w:szCs w:val="32"/>
        </w:rPr>
        <w:t>.</w:t>
      </w:r>
    </w:p>
    <w:p w14:paraId="3572C1A3" w14:textId="175A466E" w:rsidR="00256C96" w:rsidRPr="000548FA" w:rsidRDefault="00280CD6" w:rsidP="000548FA">
      <w:pPr>
        <w:pStyle w:val="ParaLevel1"/>
        <w:spacing w:line="360" w:lineRule="auto"/>
        <w:rPr>
          <w:rFonts w:eastAsia="Verdana"/>
          <w:sz w:val="32"/>
          <w:szCs w:val="32"/>
        </w:rPr>
      </w:pPr>
      <w:r w:rsidRPr="000548FA">
        <w:rPr>
          <w:sz w:val="32"/>
          <w:szCs w:val="32"/>
        </w:rPr>
        <w:t>In New Zealand, the Building Act and Building Code include provisions requiring accessibility features in public buildings</w:t>
      </w:r>
      <w:r w:rsidR="00605E9E" w:rsidRPr="000548FA">
        <w:rPr>
          <w:sz w:val="32"/>
          <w:szCs w:val="32"/>
        </w:rPr>
        <w:t xml:space="preserve"> </w:t>
      </w:r>
      <w:r w:rsidRPr="000548FA">
        <w:rPr>
          <w:sz w:val="32"/>
          <w:szCs w:val="32"/>
        </w:rPr>
        <w:t>and sets specifications for those features. They do not, however, require minimum accessibility features in private and residential buildings.</w:t>
      </w:r>
      <w:r w:rsidRPr="000548FA">
        <w:rPr>
          <w:rFonts w:eastAsia="Verdana"/>
          <w:sz w:val="32"/>
          <w:szCs w:val="32"/>
        </w:rPr>
        <w:t xml:space="preserve"> </w:t>
      </w:r>
      <w:r w:rsidR="007A5913" w:rsidRPr="000548FA">
        <w:rPr>
          <w:rFonts w:eastAsia="Verdana"/>
          <w:sz w:val="32"/>
          <w:szCs w:val="32"/>
        </w:rPr>
        <w:t xml:space="preserve">Disabled people have long advocated for these pieces of legislation to be reviewed. </w:t>
      </w:r>
      <w:r w:rsidR="00256C96" w:rsidRPr="000548FA">
        <w:rPr>
          <w:rFonts w:eastAsia="Verdana"/>
          <w:sz w:val="32"/>
          <w:szCs w:val="32"/>
        </w:rPr>
        <w:t xml:space="preserve">The approach </w:t>
      </w:r>
      <w:r w:rsidRPr="000548FA">
        <w:rPr>
          <w:rFonts w:eastAsia="Verdana"/>
          <w:sz w:val="32"/>
          <w:szCs w:val="32"/>
        </w:rPr>
        <w:t xml:space="preserve">seen overseas </w:t>
      </w:r>
      <w:r w:rsidR="00256C96" w:rsidRPr="000548FA">
        <w:rPr>
          <w:rFonts w:eastAsia="Verdana"/>
          <w:sz w:val="32"/>
          <w:szCs w:val="32"/>
        </w:rPr>
        <w:t>of having legislated minimum standards with optional further standards provides a flexible option to both ensuring greater accessibility in housing, and communicating levels of building accessibility to the public.</w:t>
      </w:r>
    </w:p>
    <w:p w14:paraId="0E7B561F" w14:textId="77777777" w:rsidR="00256C96" w:rsidRPr="000548FA" w:rsidRDefault="00256C96" w:rsidP="000548FA">
      <w:pPr>
        <w:pStyle w:val="Heading3"/>
        <w:spacing w:line="360" w:lineRule="auto"/>
        <w:rPr>
          <w:sz w:val="32"/>
          <w:szCs w:val="32"/>
        </w:rPr>
      </w:pPr>
      <w:r w:rsidRPr="000548FA">
        <w:rPr>
          <w:sz w:val="32"/>
          <w:szCs w:val="32"/>
        </w:rPr>
        <w:t>Facilitating greater ‘searchability’ of accessibility features in housing</w:t>
      </w:r>
    </w:p>
    <w:p w14:paraId="2CA396D0" w14:textId="77777777" w:rsidR="00256C96" w:rsidRPr="000548FA" w:rsidRDefault="00256C96" w:rsidP="000548FA">
      <w:pPr>
        <w:pStyle w:val="ParaLevel1"/>
        <w:spacing w:line="360" w:lineRule="auto"/>
        <w:rPr>
          <w:sz w:val="32"/>
          <w:szCs w:val="32"/>
        </w:rPr>
      </w:pPr>
      <w:r w:rsidRPr="000548FA">
        <w:rPr>
          <w:sz w:val="32"/>
          <w:szCs w:val="32"/>
        </w:rPr>
        <w:t xml:space="preserve">Several countries and two American states have developed public registers of accessible housing to match disabled people with suitable housing. These include </w:t>
      </w:r>
      <w:r w:rsidRPr="000548FA">
        <w:rPr>
          <w:sz w:val="32"/>
          <w:szCs w:val="32"/>
        </w:rPr>
        <w:lastRenderedPageBreak/>
        <w:t>public registers at a local government level in Japan, Norway’s ‘</w:t>
      </w:r>
      <w:hyperlink r:id="rId12">
        <w:r w:rsidRPr="000548FA">
          <w:rPr>
            <w:rStyle w:val="Hyperlink"/>
            <w:sz w:val="32"/>
            <w:szCs w:val="32"/>
          </w:rPr>
          <w:t>Buildings for all</w:t>
        </w:r>
      </w:hyperlink>
      <w:r w:rsidRPr="000548FA">
        <w:rPr>
          <w:sz w:val="32"/>
          <w:szCs w:val="32"/>
        </w:rPr>
        <w:t>’ website, Scotland’s accessible housing register ‘</w:t>
      </w:r>
      <w:hyperlink r:id="rId13">
        <w:r w:rsidRPr="000548FA">
          <w:rPr>
            <w:rStyle w:val="Hyperlink"/>
            <w:sz w:val="32"/>
            <w:szCs w:val="32"/>
          </w:rPr>
          <w:t>Home2Fit</w:t>
        </w:r>
      </w:hyperlink>
      <w:r w:rsidRPr="000548FA">
        <w:rPr>
          <w:sz w:val="32"/>
          <w:szCs w:val="32"/>
        </w:rPr>
        <w:t>’, and state-level registers in Massachusetts’ ‘</w:t>
      </w:r>
      <w:hyperlink r:id="rId14">
        <w:r w:rsidRPr="000548FA">
          <w:rPr>
            <w:rStyle w:val="Hyperlink"/>
            <w:sz w:val="32"/>
            <w:szCs w:val="32"/>
          </w:rPr>
          <w:t>MassAccess</w:t>
        </w:r>
      </w:hyperlink>
      <w:r w:rsidRPr="000548FA">
        <w:rPr>
          <w:sz w:val="32"/>
          <w:szCs w:val="32"/>
        </w:rPr>
        <w:t>’, and Minnesota’s ‘</w:t>
      </w:r>
      <w:hyperlink r:id="rId15">
        <w:r w:rsidRPr="000548FA">
          <w:rPr>
            <w:rStyle w:val="Hyperlink"/>
            <w:sz w:val="32"/>
            <w:szCs w:val="32"/>
          </w:rPr>
          <w:t>Housing Link</w:t>
        </w:r>
      </w:hyperlink>
      <w:r w:rsidRPr="000548FA">
        <w:rPr>
          <w:sz w:val="32"/>
          <w:szCs w:val="32"/>
        </w:rPr>
        <w:t>’.</w:t>
      </w:r>
      <w:r w:rsidRPr="000548FA">
        <w:rPr>
          <w:rStyle w:val="FootnoteReference"/>
          <w:sz w:val="32"/>
          <w:szCs w:val="32"/>
          <w:lang w:val="en-NZ"/>
        </w:rPr>
        <w:footnoteReference w:id="92"/>
      </w:r>
    </w:p>
    <w:p w14:paraId="3ED8DA29" w14:textId="77777777" w:rsidR="00256C96" w:rsidRPr="000548FA" w:rsidRDefault="00256C96" w:rsidP="000548FA">
      <w:pPr>
        <w:pStyle w:val="ParaLevel1"/>
        <w:spacing w:line="360" w:lineRule="auto"/>
        <w:rPr>
          <w:rFonts w:eastAsia="Verdana"/>
          <w:sz w:val="32"/>
          <w:szCs w:val="32"/>
        </w:rPr>
      </w:pPr>
      <w:r w:rsidRPr="000548FA">
        <w:rPr>
          <w:rFonts w:eastAsia="Verdana"/>
          <w:sz w:val="32"/>
          <w:szCs w:val="32"/>
        </w:rPr>
        <w:t>The new UK Government introduced a Renters (Reform) Bill in September 2024. The Bill proposes to introduce a Private Rented Sector Database to make information about private rented sector landlords and their property (or properties) available publicly online.</w:t>
      </w:r>
      <w:r w:rsidRPr="000548FA">
        <w:rPr>
          <w:rStyle w:val="FootnoteReference"/>
          <w:rFonts w:eastAsia="Verdana"/>
          <w:sz w:val="32"/>
          <w:szCs w:val="32"/>
          <w:lang w:val="en-NZ"/>
        </w:rPr>
        <w:footnoteReference w:id="93"/>
      </w:r>
    </w:p>
    <w:p w14:paraId="2036257F" w14:textId="589D1381" w:rsidR="00256C96" w:rsidRPr="000548FA" w:rsidRDefault="001E2DDD" w:rsidP="000548FA">
      <w:pPr>
        <w:pStyle w:val="ParaLevel1"/>
        <w:spacing w:line="360" w:lineRule="auto"/>
        <w:rPr>
          <w:rFonts w:eastAsia="Verdana"/>
          <w:sz w:val="32"/>
          <w:szCs w:val="32"/>
        </w:rPr>
      </w:pPr>
      <w:r w:rsidRPr="000548FA">
        <w:rPr>
          <w:rFonts w:eastAsia="Verdana"/>
          <w:sz w:val="32"/>
          <w:szCs w:val="32"/>
        </w:rPr>
        <w:t xml:space="preserve">There were widespread suggestions </w:t>
      </w:r>
      <w:r w:rsidR="00256C96" w:rsidRPr="000548FA">
        <w:rPr>
          <w:rFonts w:eastAsia="Verdana"/>
          <w:sz w:val="32"/>
          <w:szCs w:val="32"/>
        </w:rPr>
        <w:t>that the proposed database should include accessibility information about properties.</w:t>
      </w:r>
      <w:r w:rsidR="00256C96" w:rsidRPr="000548FA">
        <w:rPr>
          <w:rStyle w:val="FootnoteReference"/>
          <w:rFonts w:eastAsia="Verdana"/>
          <w:sz w:val="32"/>
          <w:szCs w:val="32"/>
          <w:lang w:val="en-NZ"/>
        </w:rPr>
        <w:footnoteReference w:id="94"/>
      </w:r>
      <w:r w:rsidR="00256C96" w:rsidRPr="000548FA">
        <w:rPr>
          <w:rFonts w:eastAsia="Verdana"/>
          <w:sz w:val="32"/>
          <w:szCs w:val="32"/>
        </w:rPr>
        <w:t xml:space="preserve"> </w:t>
      </w:r>
      <w:r w:rsidRPr="000548FA">
        <w:rPr>
          <w:rFonts w:eastAsia="Verdana"/>
          <w:sz w:val="32"/>
          <w:szCs w:val="32"/>
        </w:rPr>
        <w:t>T</w:t>
      </w:r>
      <w:r w:rsidR="00256C96" w:rsidRPr="000548FA">
        <w:rPr>
          <w:rFonts w:eastAsia="Verdana"/>
          <w:sz w:val="32"/>
          <w:szCs w:val="32"/>
        </w:rPr>
        <w:t>he National Residential Landlords Association suggested that the database should be harnessed to ”develop a comprehensive understanding of adaptable or accessible properties at the local level.”</w:t>
      </w:r>
      <w:r w:rsidR="00256C96" w:rsidRPr="000548FA">
        <w:rPr>
          <w:rStyle w:val="FootnoteReference"/>
          <w:rFonts w:eastAsia="Verdana"/>
          <w:sz w:val="32"/>
          <w:szCs w:val="32"/>
          <w:lang w:val="en-NZ"/>
        </w:rPr>
        <w:footnoteReference w:id="95"/>
      </w:r>
      <w:r w:rsidR="00256C96" w:rsidRPr="000548FA">
        <w:rPr>
          <w:rFonts w:eastAsia="Verdana"/>
          <w:sz w:val="32"/>
          <w:szCs w:val="32"/>
        </w:rPr>
        <w:t xml:space="preserve"> </w:t>
      </w:r>
    </w:p>
    <w:p w14:paraId="5849415E" w14:textId="77777777" w:rsidR="00256C96" w:rsidRPr="000548FA" w:rsidRDefault="00256C96" w:rsidP="000548FA">
      <w:pPr>
        <w:pStyle w:val="Heading3"/>
        <w:spacing w:line="360" w:lineRule="auto"/>
        <w:rPr>
          <w:sz w:val="32"/>
          <w:szCs w:val="32"/>
        </w:rPr>
      </w:pPr>
      <w:r w:rsidRPr="000548FA">
        <w:rPr>
          <w:sz w:val="32"/>
          <w:szCs w:val="32"/>
        </w:rPr>
        <w:lastRenderedPageBreak/>
        <w:t>Social housing prioritisation measures</w:t>
      </w:r>
    </w:p>
    <w:p w14:paraId="0D5D90E3" w14:textId="559CAECF" w:rsidR="00256C96" w:rsidRPr="000548FA" w:rsidRDefault="008C30FA" w:rsidP="000548FA">
      <w:pPr>
        <w:pStyle w:val="ParaLevel1"/>
        <w:spacing w:line="360" w:lineRule="auto"/>
        <w:rPr>
          <w:rFonts w:eastAsia="Verdana"/>
          <w:sz w:val="32"/>
          <w:szCs w:val="32"/>
        </w:rPr>
      </w:pPr>
      <w:r w:rsidRPr="000548FA">
        <w:rPr>
          <w:sz w:val="32"/>
          <w:szCs w:val="32"/>
        </w:rPr>
        <w:t xml:space="preserve">Australia, Austria, Bulgaria, Colombia, Czech Republic, Denmark, Estonia, Finland, France, Iceland, Ireland, Japan, Latvia, Lithuania, Luxembourg, Malta, the Netherlands, Portugal, Slovenia, United Kingdom, and the United States </w:t>
      </w:r>
      <w:r w:rsidR="000E400B" w:rsidRPr="000548FA">
        <w:rPr>
          <w:rFonts w:eastAsia="Verdana"/>
          <w:sz w:val="32"/>
          <w:szCs w:val="32"/>
        </w:rPr>
        <w:t>consider disabled people as priority cases in the allocation of social housing units</w:t>
      </w:r>
      <w:r w:rsidR="00256C96" w:rsidRPr="000548FA">
        <w:rPr>
          <w:rFonts w:eastAsia="Verdana"/>
          <w:sz w:val="32"/>
          <w:szCs w:val="32"/>
        </w:rPr>
        <w:t>.</w:t>
      </w:r>
      <w:r w:rsidR="00256C96" w:rsidRPr="000548FA">
        <w:rPr>
          <w:rStyle w:val="FootnoteReference"/>
          <w:rFonts w:eastAsia="Verdana"/>
          <w:sz w:val="32"/>
          <w:szCs w:val="32"/>
          <w:lang w:val="en-NZ"/>
        </w:rPr>
        <w:footnoteReference w:id="96"/>
      </w:r>
      <w:r w:rsidR="001E2DDD" w:rsidRPr="000548FA">
        <w:rPr>
          <w:rFonts w:eastAsia="Verdana"/>
          <w:sz w:val="32"/>
          <w:szCs w:val="32"/>
        </w:rPr>
        <w:t xml:space="preserve"> </w:t>
      </w:r>
    </w:p>
    <w:p w14:paraId="4D54FF03" w14:textId="5B696BE6" w:rsidR="00794582" w:rsidRPr="000548FA" w:rsidRDefault="00D864FD" w:rsidP="000548FA">
      <w:pPr>
        <w:pStyle w:val="Heading2"/>
        <w:spacing w:line="360" w:lineRule="auto"/>
        <w:rPr>
          <w:rFonts w:eastAsia="Verdana" w:cs="Verdana"/>
          <w:color w:val="000000" w:themeColor="text1"/>
          <w:sz w:val="36"/>
          <w:szCs w:val="36"/>
        </w:rPr>
      </w:pPr>
      <w:r w:rsidRPr="000548FA">
        <w:rPr>
          <w:sz w:val="36"/>
          <w:szCs w:val="36"/>
        </w:rPr>
        <w:t>Gaps and opportunities</w:t>
      </w:r>
      <w:r w:rsidR="00EF4391" w:rsidRPr="000548FA">
        <w:rPr>
          <w:sz w:val="36"/>
          <w:szCs w:val="36"/>
        </w:rPr>
        <w:t xml:space="preserve"> for the NZ Disability Strategy</w:t>
      </w:r>
    </w:p>
    <w:p w14:paraId="47B3672B" w14:textId="41536282" w:rsidR="09FFB947" w:rsidRPr="000548FA" w:rsidRDefault="09FFB947" w:rsidP="000548FA">
      <w:pPr>
        <w:pStyle w:val="Heading3"/>
        <w:spacing w:line="360" w:lineRule="auto"/>
        <w:rPr>
          <w:sz w:val="32"/>
          <w:szCs w:val="32"/>
        </w:rPr>
      </w:pPr>
      <w:r w:rsidRPr="000548FA">
        <w:rPr>
          <w:sz w:val="32"/>
          <w:szCs w:val="32"/>
        </w:rPr>
        <w:t>There are key gaps in data, information matching, and prioritisation measures which could be addressed to improve outcomes for disabled people</w:t>
      </w:r>
    </w:p>
    <w:p w14:paraId="56C33167" w14:textId="5B06437B" w:rsidR="52B50F84" w:rsidRPr="000548FA" w:rsidRDefault="52B50F84" w:rsidP="000548FA">
      <w:pPr>
        <w:pStyle w:val="ParaLevel1"/>
        <w:tabs>
          <w:tab w:val="clear" w:pos="567"/>
        </w:tabs>
        <w:spacing w:line="360" w:lineRule="auto"/>
        <w:rPr>
          <w:rFonts w:eastAsia="Verdana"/>
          <w:sz w:val="32"/>
          <w:szCs w:val="32"/>
        </w:rPr>
      </w:pPr>
      <w:r w:rsidRPr="000548FA">
        <w:rPr>
          <w:rFonts w:eastAsia="Verdana"/>
          <w:sz w:val="32"/>
          <w:szCs w:val="32"/>
        </w:rPr>
        <w:t xml:space="preserve">Insufficient data on disabled people’s housing needs, as well as on the accessibility of existing properties, </w:t>
      </w:r>
      <w:r w:rsidR="00CC4EC1" w:rsidRPr="000548FA">
        <w:rPr>
          <w:rFonts w:eastAsia="Verdana"/>
          <w:sz w:val="32"/>
          <w:szCs w:val="32"/>
        </w:rPr>
        <w:t xml:space="preserve">limits </w:t>
      </w:r>
      <w:r w:rsidRPr="000548FA">
        <w:rPr>
          <w:rFonts w:eastAsia="Verdana"/>
          <w:sz w:val="32"/>
          <w:szCs w:val="32"/>
        </w:rPr>
        <w:t>our knowledge of where to target interventions for disabled people</w:t>
      </w:r>
      <w:r w:rsidR="006A0DB1" w:rsidRPr="000548FA">
        <w:rPr>
          <w:rFonts w:eastAsia="Verdana"/>
          <w:sz w:val="32"/>
          <w:szCs w:val="32"/>
        </w:rPr>
        <w:t xml:space="preserve"> and</w:t>
      </w:r>
      <w:r w:rsidR="001C4D4B" w:rsidRPr="000548FA">
        <w:rPr>
          <w:rFonts w:eastAsia="Verdana"/>
          <w:sz w:val="32"/>
          <w:szCs w:val="32"/>
        </w:rPr>
        <w:t xml:space="preserve"> what could be done to</w:t>
      </w:r>
      <w:r w:rsidR="006A0DB1" w:rsidRPr="000548FA">
        <w:rPr>
          <w:rFonts w:eastAsia="Verdana"/>
          <w:sz w:val="32"/>
          <w:szCs w:val="32"/>
        </w:rPr>
        <w:t xml:space="preserve"> match disabled people to appropriate housing.</w:t>
      </w:r>
    </w:p>
    <w:p w14:paraId="259BDD5F" w14:textId="1EE15BE7" w:rsidR="2B09FCD1" w:rsidRPr="000548FA" w:rsidRDefault="236D8E48" w:rsidP="000548FA">
      <w:pPr>
        <w:pStyle w:val="ParaLevel1"/>
        <w:spacing w:line="360" w:lineRule="auto"/>
        <w:rPr>
          <w:rFonts w:eastAsia="Verdana"/>
          <w:sz w:val="32"/>
          <w:szCs w:val="32"/>
        </w:rPr>
      </w:pPr>
      <w:r w:rsidRPr="000548FA">
        <w:rPr>
          <w:rFonts w:eastAsia="Verdana"/>
          <w:sz w:val="32"/>
          <w:szCs w:val="32"/>
        </w:rPr>
        <w:t xml:space="preserve">Data on the number of people in emergency housing </w:t>
      </w:r>
      <w:r w:rsidR="4AE09B33" w:rsidRPr="000548FA">
        <w:rPr>
          <w:rFonts w:eastAsia="Verdana"/>
          <w:sz w:val="32"/>
          <w:szCs w:val="32"/>
        </w:rPr>
        <w:t xml:space="preserve">or on the </w:t>
      </w:r>
      <w:r w:rsidR="00143915" w:rsidRPr="000548FA">
        <w:rPr>
          <w:rFonts w:eastAsia="Verdana"/>
          <w:sz w:val="32"/>
          <w:szCs w:val="32"/>
        </w:rPr>
        <w:t>Housing Register</w:t>
      </w:r>
      <w:r w:rsidR="4AE09B33" w:rsidRPr="000548FA">
        <w:rPr>
          <w:rFonts w:eastAsia="Verdana"/>
          <w:sz w:val="32"/>
          <w:szCs w:val="32"/>
        </w:rPr>
        <w:t xml:space="preserve"> is not disaggregated by disability</w:t>
      </w:r>
      <w:r w:rsidR="00EF4391" w:rsidRPr="000548FA">
        <w:rPr>
          <w:rFonts w:eastAsia="Verdana"/>
          <w:sz w:val="32"/>
          <w:szCs w:val="32"/>
        </w:rPr>
        <w:t>. While</w:t>
      </w:r>
      <w:r w:rsidR="4AE09B33" w:rsidRPr="000548FA">
        <w:rPr>
          <w:rFonts w:eastAsia="Verdana"/>
          <w:sz w:val="32"/>
          <w:szCs w:val="32"/>
        </w:rPr>
        <w:t xml:space="preserve"> MSD can </w:t>
      </w:r>
      <w:r w:rsidR="2EB65750" w:rsidRPr="000548FA">
        <w:rPr>
          <w:rFonts w:eastAsia="Verdana"/>
          <w:sz w:val="32"/>
          <w:szCs w:val="32"/>
        </w:rPr>
        <w:t xml:space="preserve">cross-reference </w:t>
      </w:r>
      <w:r w:rsidR="00EF4391" w:rsidRPr="000548FA">
        <w:rPr>
          <w:rFonts w:eastAsia="Verdana"/>
          <w:sz w:val="32"/>
          <w:szCs w:val="32"/>
        </w:rPr>
        <w:t xml:space="preserve">this </w:t>
      </w:r>
      <w:r w:rsidR="2EB65750" w:rsidRPr="000548FA">
        <w:rPr>
          <w:rFonts w:eastAsia="Verdana"/>
          <w:sz w:val="32"/>
          <w:szCs w:val="32"/>
        </w:rPr>
        <w:t xml:space="preserve">data with </w:t>
      </w:r>
      <w:r w:rsidR="2EB65750" w:rsidRPr="000548FA">
        <w:rPr>
          <w:rFonts w:eastAsia="Verdana"/>
          <w:sz w:val="32"/>
          <w:szCs w:val="32"/>
        </w:rPr>
        <w:lastRenderedPageBreak/>
        <w:t xml:space="preserve">the number of people </w:t>
      </w:r>
      <w:r w:rsidR="00B7214A" w:rsidRPr="000548FA">
        <w:rPr>
          <w:rFonts w:eastAsia="Verdana"/>
          <w:sz w:val="32"/>
          <w:szCs w:val="32"/>
        </w:rPr>
        <w:t>receiving</w:t>
      </w:r>
      <w:r w:rsidR="2EB65750" w:rsidRPr="000548FA">
        <w:rPr>
          <w:rFonts w:eastAsia="Verdana"/>
          <w:sz w:val="32"/>
          <w:szCs w:val="32"/>
        </w:rPr>
        <w:t xml:space="preserve"> disability-related </w:t>
      </w:r>
      <w:r w:rsidR="00834E9D" w:rsidRPr="000548FA">
        <w:rPr>
          <w:rFonts w:eastAsia="Verdana"/>
          <w:sz w:val="32"/>
          <w:szCs w:val="32"/>
        </w:rPr>
        <w:t xml:space="preserve">benefits </w:t>
      </w:r>
      <w:r w:rsidR="7A8E7928" w:rsidRPr="000548FA">
        <w:rPr>
          <w:rFonts w:eastAsia="Verdana"/>
          <w:sz w:val="32"/>
          <w:szCs w:val="32"/>
        </w:rPr>
        <w:t xml:space="preserve">such as </w:t>
      </w:r>
      <w:r w:rsidR="00404B57" w:rsidRPr="000548FA">
        <w:rPr>
          <w:rFonts w:eastAsia="Verdana"/>
          <w:sz w:val="32"/>
          <w:szCs w:val="32"/>
        </w:rPr>
        <w:t xml:space="preserve">Disability Allowance or </w:t>
      </w:r>
      <w:r w:rsidR="7A8E7928" w:rsidRPr="000548FA">
        <w:rPr>
          <w:rFonts w:eastAsia="Verdana"/>
          <w:sz w:val="32"/>
          <w:szCs w:val="32"/>
        </w:rPr>
        <w:t xml:space="preserve">Supported Living </w:t>
      </w:r>
      <w:r w:rsidR="2D945D1E" w:rsidRPr="000548FA">
        <w:rPr>
          <w:rFonts w:eastAsia="Verdana"/>
          <w:sz w:val="32"/>
          <w:szCs w:val="32"/>
        </w:rPr>
        <w:t>P</w:t>
      </w:r>
      <w:r w:rsidR="7A8E7928" w:rsidRPr="000548FA">
        <w:rPr>
          <w:rFonts w:eastAsia="Verdana"/>
          <w:sz w:val="32"/>
          <w:szCs w:val="32"/>
        </w:rPr>
        <w:t>ayment</w:t>
      </w:r>
      <w:r w:rsidR="00EF4391" w:rsidRPr="000548FA">
        <w:rPr>
          <w:rFonts w:eastAsia="Verdana"/>
          <w:sz w:val="32"/>
          <w:szCs w:val="32"/>
        </w:rPr>
        <w:t>,</w:t>
      </w:r>
      <w:r w:rsidR="7A8E7928" w:rsidRPr="000548FA">
        <w:rPr>
          <w:rFonts w:eastAsia="Verdana"/>
          <w:sz w:val="32"/>
          <w:szCs w:val="32"/>
        </w:rPr>
        <w:t xml:space="preserve"> </w:t>
      </w:r>
      <w:r w:rsidR="00A47154" w:rsidRPr="000548FA">
        <w:rPr>
          <w:rFonts w:eastAsia="Verdana"/>
          <w:sz w:val="32"/>
          <w:szCs w:val="32"/>
        </w:rPr>
        <w:t>t</w:t>
      </w:r>
      <w:r w:rsidR="7A8E7928" w:rsidRPr="000548FA">
        <w:rPr>
          <w:rFonts w:eastAsia="Verdana"/>
          <w:sz w:val="32"/>
          <w:szCs w:val="32"/>
        </w:rPr>
        <w:t>his does not</w:t>
      </w:r>
      <w:r w:rsidR="00EF4391" w:rsidRPr="000548FA">
        <w:rPr>
          <w:rFonts w:eastAsia="Verdana"/>
          <w:sz w:val="32"/>
          <w:szCs w:val="32"/>
        </w:rPr>
        <w:t xml:space="preserve"> </w:t>
      </w:r>
      <w:r w:rsidR="7A8E7928" w:rsidRPr="000548FA">
        <w:rPr>
          <w:rFonts w:eastAsia="Verdana"/>
          <w:sz w:val="32"/>
          <w:szCs w:val="32"/>
        </w:rPr>
        <w:t xml:space="preserve">reveal </w:t>
      </w:r>
      <w:r w:rsidR="00CF0B4A" w:rsidRPr="000548FA">
        <w:rPr>
          <w:rFonts w:eastAsia="Verdana"/>
          <w:sz w:val="32"/>
          <w:szCs w:val="32"/>
        </w:rPr>
        <w:t>useful qualitative information about a</w:t>
      </w:r>
      <w:r w:rsidR="7A8E7928" w:rsidRPr="000548FA">
        <w:rPr>
          <w:rFonts w:eastAsia="Verdana"/>
          <w:sz w:val="32"/>
          <w:szCs w:val="32"/>
        </w:rPr>
        <w:t xml:space="preserve"> person’s disability and housing-related needs</w:t>
      </w:r>
      <w:r w:rsidR="00EF4391" w:rsidRPr="000548FA">
        <w:rPr>
          <w:rFonts w:eastAsia="Verdana"/>
          <w:sz w:val="32"/>
          <w:szCs w:val="32"/>
        </w:rPr>
        <w:t>. It also does not provide</w:t>
      </w:r>
      <w:r w:rsidR="79CF54E6" w:rsidRPr="000548FA">
        <w:rPr>
          <w:rFonts w:eastAsia="Verdana"/>
          <w:sz w:val="32"/>
          <w:szCs w:val="32"/>
        </w:rPr>
        <w:t xml:space="preserve"> information about </w:t>
      </w:r>
      <w:r w:rsidR="00E26CCC" w:rsidRPr="000548FA">
        <w:rPr>
          <w:rFonts w:eastAsia="Verdana"/>
          <w:sz w:val="32"/>
          <w:szCs w:val="32"/>
        </w:rPr>
        <w:t>disabled people</w:t>
      </w:r>
      <w:r w:rsidR="79CF54E6" w:rsidRPr="000548FA">
        <w:rPr>
          <w:rFonts w:eastAsia="Verdana"/>
          <w:sz w:val="32"/>
          <w:szCs w:val="32"/>
        </w:rPr>
        <w:t xml:space="preserve"> not receiving </w:t>
      </w:r>
      <w:r w:rsidR="00404B57" w:rsidRPr="000548FA">
        <w:rPr>
          <w:rFonts w:eastAsia="Verdana"/>
          <w:sz w:val="32"/>
          <w:szCs w:val="32"/>
        </w:rPr>
        <w:t>disability-related benefit payments</w:t>
      </w:r>
      <w:r w:rsidR="51D1E962" w:rsidRPr="000548FA">
        <w:rPr>
          <w:rFonts w:eastAsia="Verdana"/>
          <w:sz w:val="32"/>
          <w:szCs w:val="32"/>
        </w:rPr>
        <w:t>.</w:t>
      </w:r>
    </w:p>
    <w:p w14:paraId="00DA69B8" w14:textId="3CA28E70" w:rsidR="00874622" w:rsidRPr="000548FA" w:rsidRDefault="000008DA" w:rsidP="000548FA">
      <w:pPr>
        <w:pStyle w:val="ParaLevel1"/>
        <w:spacing w:line="360" w:lineRule="auto"/>
        <w:rPr>
          <w:rFonts w:eastAsia="Verdana"/>
          <w:sz w:val="32"/>
          <w:szCs w:val="32"/>
        </w:rPr>
      </w:pPr>
      <w:r w:rsidRPr="000548FA">
        <w:rPr>
          <w:rFonts w:eastAsia="Verdana"/>
          <w:sz w:val="32"/>
          <w:szCs w:val="32"/>
        </w:rPr>
        <w:t xml:space="preserve">MSD holds </w:t>
      </w:r>
      <w:r w:rsidR="00711871" w:rsidRPr="000548FA">
        <w:rPr>
          <w:rFonts w:eastAsia="Verdana"/>
          <w:sz w:val="32"/>
          <w:szCs w:val="32"/>
        </w:rPr>
        <w:t>information on t</w:t>
      </w:r>
      <w:r w:rsidR="000C4C43" w:rsidRPr="000548FA">
        <w:rPr>
          <w:rFonts w:eastAsia="Verdana"/>
          <w:sz w:val="32"/>
          <w:szCs w:val="32"/>
        </w:rPr>
        <w:t xml:space="preserve">he number of primary applicants on the Housing Register who require modified housing </w:t>
      </w:r>
      <w:r w:rsidR="00EF4391" w:rsidRPr="000548FA">
        <w:rPr>
          <w:rFonts w:eastAsia="Verdana"/>
          <w:sz w:val="32"/>
          <w:szCs w:val="32"/>
        </w:rPr>
        <w:t>in each region</w:t>
      </w:r>
      <w:r w:rsidR="000C4C43" w:rsidRPr="000548FA">
        <w:rPr>
          <w:rFonts w:eastAsia="Verdana"/>
          <w:sz w:val="32"/>
          <w:szCs w:val="32"/>
        </w:rPr>
        <w:t xml:space="preserve">. </w:t>
      </w:r>
      <w:r w:rsidR="00267F20" w:rsidRPr="000548FA">
        <w:rPr>
          <w:rFonts w:eastAsia="Verdana"/>
          <w:sz w:val="32"/>
          <w:szCs w:val="32"/>
        </w:rPr>
        <w:t xml:space="preserve">Region-based data is helpful in showing where demand for modified housing is greatest. </w:t>
      </w:r>
      <w:r w:rsidR="000C4C43" w:rsidRPr="000548FA">
        <w:rPr>
          <w:rFonts w:eastAsia="Verdana"/>
          <w:sz w:val="32"/>
          <w:szCs w:val="32"/>
        </w:rPr>
        <w:t xml:space="preserve">However, </w:t>
      </w:r>
      <w:r w:rsidR="00A47154" w:rsidRPr="000548FA">
        <w:rPr>
          <w:rFonts w:eastAsia="Verdana"/>
          <w:sz w:val="32"/>
          <w:szCs w:val="32"/>
        </w:rPr>
        <w:t xml:space="preserve">Kāinga Ora indicates that </w:t>
      </w:r>
      <w:r w:rsidR="00267F20" w:rsidRPr="000548FA">
        <w:rPr>
          <w:rFonts w:eastAsia="Verdana"/>
          <w:sz w:val="32"/>
          <w:szCs w:val="32"/>
        </w:rPr>
        <w:t xml:space="preserve">many people do not </w:t>
      </w:r>
      <w:r w:rsidR="00F03A0E" w:rsidRPr="000548FA">
        <w:rPr>
          <w:rFonts w:eastAsia="Verdana"/>
          <w:sz w:val="32"/>
          <w:szCs w:val="32"/>
        </w:rPr>
        <w:t xml:space="preserve">mention their accessibility needs to MSD when applying for the Register as they fear it may reduce their chances of </w:t>
      </w:r>
      <w:r w:rsidR="00AD700F" w:rsidRPr="000548FA">
        <w:rPr>
          <w:rFonts w:eastAsia="Verdana"/>
          <w:sz w:val="32"/>
          <w:szCs w:val="32"/>
        </w:rPr>
        <w:t xml:space="preserve">receiving housing. </w:t>
      </w:r>
      <w:r w:rsidR="006201F8" w:rsidRPr="000548FA">
        <w:rPr>
          <w:rFonts w:eastAsia="Verdana"/>
          <w:sz w:val="32"/>
          <w:szCs w:val="32"/>
        </w:rPr>
        <w:t xml:space="preserve">This can result in disabled people living in unsuitable housing. </w:t>
      </w:r>
      <w:r w:rsidR="0086056E" w:rsidRPr="000548FA">
        <w:rPr>
          <w:rFonts w:eastAsia="Verdana"/>
          <w:sz w:val="32"/>
          <w:szCs w:val="32"/>
        </w:rPr>
        <w:t>Accessibility needs are often discovered in Kāinga Ora pre-housing conversations</w:t>
      </w:r>
      <w:r w:rsidR="008C30FA" w:rsidRPr="000548FA">
        <w:rPr>
          <w:rFonts w:eastAsia="Verdana"/>
          <w:sz w:val="32"/>
          <w:szCs w:val="32"/>
        </w:rPr>
        <w:t xml:space="preserve"> at which point it is often too late to </w:t>
      </w:r>
      <w:r w:rsidR="00252AF9" w:rsidRPr="000548FA">
        <w:rPr>
          <w:rFonts w:eastAsia="Verdana"/>
          <w:sz w:val="32"/>
          <w:szCs w:val="32"/>
        </w:rPr>
        <w:t>change the allocated housing</w:t>
      </w:r>
      <w:r w:rsidR="0086056E" w:rsidRPr="000548FA">
        <w:rPr>
          <w:rFonts w:eastAsia="Verdana"/>
          <w:sz w:val="32"/>
          <w:szCs w:val="32"/>
        </w:rPr>
        <w:t xml:space="preserve">. </w:t>
      </w:r>
    </w:p>
    <w:p w14:paraId="4928EBA6" w14:textId="30768A42" w:rsidR="67160494" w:rsidRPr="000548FA" w:rsidRDefault="67160494" w:rsidP="000548FA">
      <w:pPr>
        <w:pStyle w:val="ParaLevel1"/>
        <w:spacing w:line="360" w:lineRule="auto"/>
        <w:rPr>
          <w:rFonts w:eastAsia="Verdana"/>
          <w:sz w:val="32"/>
          <w:szCs w:val="32"/>
        </w:rPr>
      </w:pPr>
      <w:r w:rsidRPr="000548FA">
        <w:rPr>
          <w:rFonts w:eastAsia="Verdana"/>
          <w:sz w:val="32"/>
          <w:szCs w:val="32"/>
        </w:rPr>
        <w:t xml:space="preserve">There are gaps in information </w:t>
      </w:r>
      <w:r w:rsidR="00EF4391" w:rsidRPr="000548FA">
        <w:rPr>
          <w:rFonts w:eastAsia="Verdana"/>
          <w:sz w:val="32"/>
          <w:szCs w:val="32"/>
        </w:rPr>
        <w:t xml:space="preserve">about </w:t>
      </w:r>
      <w:r w:rsidRPr="000548FA">
        <w:rPr>
          <w:rFonts w:eastAsia="Verdana"/>
          <w:sz w:val="32"/>
          <w:szCs w:val="32"/>
        </w:rPr>
        <w:t xml:space="preserve">disabled people and </w:t>
      </w:r>
      <w:r w:rsidR="00EF4391" w:rsidRPr="000548FA">
        <w:rPr>
          <w:rFonts w:eastAsia="Verdana"/>
          <w:sz w:val="32"/>
          <w:szCs w:val="32"/>
        </w:rPr>
        <w:t xml:space="preserve">accessible </w:t>
      </w:r>
      <w:r w:rsidRPr="000548FA">
        <w:rPr>
          <w:rFonts w:eastAsia="Verdana"/>
          <w:sz w:val="32"/>
          <w:szCs w:val="32"/>
        </w:rPr>
        <w:t xml:space="preserve">properties in both the public and private sectors. In the public sector, Whaikaha has heard from </w:t>
      </w:r>
      <w:r w:rsidR="00DF342D" w:rsidRPr="000548FA">
        <w:rPr>
          <w:rFonts w:eastAsia="Verdana"/>
          <w:sz w:val="32"/>
          <w:szCs w:val="32"/>
        </w:rPr>
        <w:t>CHPs</w:t>
      </w:r>
      <w:r w:rsidR="00564571" w:rsidRPr="000548FA">
        <w:rPr>
          <w:rFonts w:eastAsia="Verdana"/>
          <w:sz w:val="32"/>
          <w:szCs w:val="32"/>
        </w:rPr>
        <w:t>,</w:t>
      </w:r>
      <w:r w:rsidRPr="000548FA">
        <w:rPr>
          <w:rFonts w:eastAsia="Verdana"/>
          <w:sz w:val="32"/>
          <w:szCs w:val="32"/>
        </w:rPr>
        <w:t xml:space="preserve"> disabled people and whānau</w:t>
      </w:r>
      <w:r w:rsidR="7C730869" w:rsidRPr="000548FA">
        <w:rPr>
          <w:rFonts w:eastAsia="Verdana"/>
          <w:sz w:val="32"/>
          <w:szCs w:val="32"/>
        </w:rPr>
        <w:t xml:space="preserve"> </w:t>
      </w:r>
      <w:r w:rsidR="00564571" w:rsidRPr="000548FA">
        <w:rPr>
          <w:rFonts w:eastAsia="Verdana"/>
          <w:sz w:val="32"/>
          <w:szCs w:val="32"/>
        </w:rPr>
        <w:t>regarding</w:t>
      </w:r>
      <w:r w:rsidR="7C730869" w:rsidRPr="000548FA">
        <w:rPr>
          <w:rFonts w:eastAsia="Verdana"/>
          <w:sz w:val="32"/>
          <w:szCs w:val="32"/>
        </w:rPr>
        <w:t xml:space="preserve"> the difficulty in matching disabled people to properties with </w:t>
      </w:r>
      <w:r w:rsidR="7C730869" w:rsidRPr="000548FA">
        <w:rPr>
          <w:rFonts w:eastAsia="Verdana"/>
          <w:sz w:val="32"/>
          <w:szCs w:val="32"/>
        </w:rPr>
        <w:lastRenderedPageBreak/>
        <w:t xml:space="preserve">accessibility features that meet their needs. </w:t>
      </w:r>
      <w:r w:rsidR="3B24BC72" w:rsidRPr="000548FA">
        <w:rPr>
          <w:rFonts w:eastAsia="Verdana"/>
          <w:sz w:val="32"/>
          <w:szCs w:val="32"/>
        </w:rPr>
        <w:t xml:space="preserve">This problem </w:t>
      </w:r>
      <w:r w:rsidR="4E445BB4" w:rsidRPr="000548FA">
        <w:rPr>
          <w:rFonts w:eastAsia="Verdana"/>
          <w:sz w:val="32"/>
          <w:szCs w:val="32"/>
        </w:rPr>
        <w:t xml:space="preserve">also </w:t>
      </w:r>
      <w:r w:rsidR="3B24BC72" w:rsidRPr="000548FA">
        <w:rPr>
          <w:rFonts w:eastAsia="Verdana"/>
          <w:sz w:val="32"/>
          <w:szCs w:val="32"/>
        </w:rPr>
        <w:t xml:space="preserve">exists in the private </w:t>
      </w:r>
      <w:r w:rsidR="3F05E375" w:rsidRPr="000548FA">
        <w:rPr>
          <w:rFonts w:eastAsia="Verdana"/>
          <w:sz w:val="32"/>
          <w:szCs w:val="32"/>
        </w:rPr>
        <w:t xml:space="preserve">sector, with a lack of search functions in private property renting and buying </w:t>
      </w:r>
      <w:r w:rsidR="3E5FB4D5" w:rsidRPr="000548FA">
        <w:rPr>
          <w:rFonts w:eastAsia="Verdana"/>
          <w:sz w:val="32"/>
          <w:szCs w:val="32"/>
        </w:rPr>
        <w:t xml:space="preserve">websites to filter </w:t>
      </w:r>
      <w:r w:rsidR="007B3CD2" w:rsidRPr="000548FA">
        <w:rPr>
          <w:rFonts w:eastAsia="Verdana"/>
          <w:sz w:val="32"/>
          <w:szCs w:val="32"/>
        </w:rPr>
        <w:t xml:space="preserve">properties </w:t>
      </w:r>
      <w:r w:rsidR="3E5FB4D5" w:rsidRPr="000548FA">
        <w:rPr>
          <w:rFonts w:eastAsia="Verdana"/>
          <w:sz w:val="32"/>
          <w:szCs w:val="32"/>
        </w:rPr>
        <w:t>by accessibility features.</w:t>
      </w:r>
    </w:p>
    <w:p w14:paraId="72A186C5" w14:textId="3D72191F" w:rsidR="3E5FB4D5" w:rsidRPr="000548FA" w:rsidRDefault="3E5FB4D5" w:rsidP="000548FA">
      <w:pPr>
        <w:pStyle w:val="ParaLevel1"/>
        <w:spacing w:line="360" w:lineRule="auto"/>
        <w:rPr>
          <w:rFonts w:eastAsia="Verdana"/>
          <w:sz w:val="32"/>
          <w:szCs w:val="32"/>
        </w:rPr>
      </w:pPr>
      <w:r w:rsidRPr="000548FA">
        <w:rPr>
          <w:rFonts w:eastAsia="Verdana"/>
          <w:sz w:val="32"/>
          <w:szCs w:val="32"/>
        </w:rPr>
        <w:t>As discussed, there are regulatory gaps in current prioritisation mechanisms for social housing which inhibit those in residential care settings from exiting care into social housing.</w:t>
      </w:r>
      <w:r w:rsidR="00F03C2A" w:rsidRPr="000548FA">
        <w:rPr>
          <w:rFonts w:eastAsia="Verdana"/>
          <w:sz w:val="32"/>
          <w:szCs w:val="32"/>
        </w:rPr>
        <w:t xml:space="preserve"> </w:t>
      </w:r>
    </w:p>
    <w:p w14:paraId="33E4951B" w14:textId="5EA9C7C7" w:rsidR="28358438" w:rsidRPr="000548FA" w:rsidRDefault="28358438" w:rsidP="000548FA">
      <w:pPr>
        <w:pStyle w:val="Heading3"/>
        <w:spacing w:line="360" w:lineRule="auto"/>
        <w:rPr>
          <w:sz w:val="32"/>
          <w:szCs w:val="32"/>
        </w:rPr>
      </w:pPr>
      <w:r w:rsidRPr="000548FA">
        <w:rPr>
          <w:sz w:val="32"/>
          <w:szCs w:val="32"/>
        </w:rPr>
        <w:t xml:space="preserve">There are a range of initiatives </w:t>
      </w:r>
      <w:r w:rsidR="00A47154" w:rsidRPr="000548FA">
        <w:rPr>
          <w:sz w:val="32"/>
          <w:szCs w:val="32"/>
        </w:rPr>
        <w:t>that</w:t>
      </w:r>
      <w:r w:rsidRPr="000548FA">
        <w:rPr>
          <w:sz w:val="32"/>
          <w:szCs w:val="32"/>
        </w:rPr>
        <w:t xml:space="preserve"> could </w:t>
      </w:r>
      <w:r w:rsidR="00A47154" w:rsidRPr="000548FA">
        <w:rPr>
          <w:sz w:val="32"/>
          <w:szCs w:val="32"/>
        </w:rPr>
        <w:t xml:space="preserve">be </w:t>
      </w:r>
      <w:r w:rsidRPr="000548FA">
        <w:rPr>
          <w:sz w:val="32"/>
          <w:szCs w:val="32"/>
        </w:rPr>
        <w:t>explore</w:t>
      </w:r>
      <w:r w:rsidR="00A47154" w:rsidRPr="000548FA">
        <w:rPr>
          <w:sz w:val="32"/>
          <w:szCs w:val="32"/>
        </w:rPr>
        <w:t>d</w:t>
      </w:r>
      <w:r w:rsidRPr="000548FA">
        <w:rPr>
          <w:sz w:val="32"/>
          <w:szCs w:val="32"/>
        </w:rPr>
        <w:t xml:space="preserve"> </w:t>
      </w:r>
      <w:r w:rsidR="00A47154" w:rsidRPr="000548FA">
        <w:rPr>
          <w:sz w:val="32"/>
          <w:szCs w:val="32"/>
        </w:rPr>
        <w:t xml:space="preserve">during </w:t>
      </w:r>
      <w:r w:rsidRPr="000548FA">
        <w:rPr>
          <w:sz w:val="32"/>
          <w:szCs w:val="32"/>
        </w:rPr>
        <w:t>develop</w:t>
      </w:r>
      <w:r w:rsidR="00A47154" w:rsidRPr="000548FA">
        <w:rPr>
          <w:sz w:val="32"/>
          <w:szCs w:val="32"/>
        </w:rPr>
        <w:t xml:space="preserve">ment of </w:t>
      </w:r>
      <w:r w:rsidRPr="000548FA">
        <w:rPr>
          <w:sz w:val="32"/>
          <w:szCs w:val="32"/>
        </w:rPr>
        <w:t>the NZDS and NZSL Strategies</w:t>
      </w:r>
    </w:p>
    <w:p w14:paraId="0C10696B" w14:textId="190E3840" w:rsidR="28358438" w:rsidRPr="000548FA" w:rsidRDefault="28358438" w:rsidP="000548FA">
      <w:pPr>
        <w:pStyle w:val="ParaLevel1"/>
        <w:spacing w:line="360" w:lineRule="auto"/>
        <w:rPr>
          <w:rFonts w:eastAsia="Verdana"/>
          <w:sz w:val="32"/>
          <w:szCs w:val="32"/>
        </w:rPr>
      </w:pPr>
      <w:r w:rsidRPr="000548FA">
        <w:rPr>
          <w:rFonts w:eastAsia="Verdana"/>
          <w:sz w:val="32"/>
          <w:szCs w:val="32"/>
        </w:rPr>
        <w:t xml:space="preserve">While measures to improve housing outcomes for disabled people will continue to be a long-term and cross-government effort, there are some areas </w:t>
      </w:r>
      <w:r w:rsidR="002A14B6" w:rsidRPr="000548FA">
        <w:rPr>
          <w:rFonts w:eastAsia="Verdana"/>
          <w:sz w:val="32"/>
          <w:szCs w:val="32"/>
        </w:rPr>
        <w:t>where it may be possible</w:t>
      </w:r>
      <w:r w:rsidRPr="000548FA">
        <w:rPr>
          <w:rFonts w:eastAsia="Verdana"/>
          <w:sz w:val="32"/>
          <w:szCs w:val="32"/>
        </w:rPr>
        <w:t xml:space="preserve"> to effect change in the shorter term.</w:t>
      </w:r>
    </w:p>
    <w:p w14:paraId="5A7E464C" w14:textId="245ABC37" w:rsidR="00A14D1E" w:rsidRPr="000548FA" w:rsidRDefault="00A14D1E" w:rsidP="000548FA">
      <w:pPr>
        <w:pStyle w:val="Heading4"/>
        <w:spacing w:line="360" w:lineRule="auto"/>
        <w:rPr>
          <w:iCs w:val="0"/>
          <w:sz w:val="32"/>
          <w:szCs w:val="32"/>
        </w:rPr>
      </w:pPr>
      <w:r w:rsidRPr="000548FA">
        <w:rPr>
          <w:iCs w:val="0"/>
          <w:sz w:val="32"/>
          <w:szCs w:val="32"/>
        </w:rPr>
        <w:t>Opportunities for change in the shorter term</w:t>
      </w:r>
    </w:p>
    <w:p w14:paraId="74C2F544" w14:textId="0FE98D2E" w:rsidR="00A14D1E" w:rsidRPr="000548FA" w:rsidRDefault="00496CFE" w:rsidP="000548FA">
      <w:pPr>
        <w:pStyle w:val="ParaLevel1"/>
        <w:spacing w:line="360" w:lineRule="auto"/>
        <w:rPr>
          <w:rFonts w:eastAsia="Verdana"/>
          <w:sz w:val="32"/>
          <w:szCs w:val="32"/>
        </w:rPr>
      </w:pPr>
      <w:r w:rsidRPr="000548FA">
        <w:rPr>
          <w:rFonts w:eastAsia="Verdana"/>
          <w:sz w:val="32"/>
          <w:szCs w:val="32"/>
        </w:rPr>
        <w:t>Some opportunities for change in</w:t>
      </w:r>
      <w:r w:rsidR="00A14D1E" w:rsidRPr="000548FA">
        <w:rPr>
          <w:rFonts w:eastAsia="Verdana"/>
          <w:sz w:val="32"/>
          <w:szCs w:val="32"/>
        </w:rPr>
        <w:t xml:space="preserve"> the short to medium term</w:t>
      </w:r>
      <w:r w:rsidRPr="000548FA">
        <w:rPr>
          <w:rFonts w:eastAsia="Verdana"/>
          <w:sz w:val="32"/>
          <w:szCs w:val="32"/>
        </w:rPr>
        <w:t xml:space="preserve"> that the Working Group could consider include</w:t>
      </w:r>
      <w:r w:rsidR="00A14D1E" w:rsidRPr="000548FA">
        <w:rPr>
          <w:rFonts w:eastAsia="Verdana"/>
          <w:sz w:val="32"/>
          <w:szCs w:val="32"/>
        </w:rPr>
        <w:t>:</w:t>
      </w:r>
    </w:p>
    <w:p w14:paraId="2E731865" w14:textId="0A20ADFF" w:rsidR="00A14D1E" w:rsidRPr="000548FA" w:rsidRDefault="00A52616" w:rsidP="000548FA">
      <w:pPr>
        <w:pStyle w:val="ParaLevel2"/>
        <w:tabs>
          <w:tab w:val="clear" w:pos="567"/>
        </w:tabs>
        <w:spacing w:line="360" w:lineRule="auto"/>
        <w:rPr>
          <w:rFonts w:eastAsia="Verdana"/>
          <w:sz w:val="32"/>
          <w:szCs w:val="32"/>
        </w:rPr>
      </w:pPr>
      <w:r w:rsidRPr="000548FA">
        <w:rPr>
          <w:rFonts w:eastAsia="Verdana"/>
          <w:sz w:val="32"/>
          <w:szCs w:val="32"/>
        </w:rPr>
        <w:t>exploration of</w:t>
      </w:r>
      <w:r w:rsidR="00A14D1E" w:rsidRPr="000548FA">
        <w:rPr>
          <w:rFonts w:eastAsia="Verdana"/>
          <w:sz w:val="32"/>
          <w:szCs w:val="32"/>
        </w:rPr>
        <w:t xml:space="preserve"> a government-developed and industry-approved voluntary universal design standard. There are currently no government-issued universal design standards in New Zealand</w:t>
      </w:r>
      <w:r w:rsidR="00A47154" w:rsidRPr="000548FA">
        <w:rPr>
          <w:rFonts w:eastAsia="Verdana"/>
          <w:sz w:val="32"/>
          <w:szCs w:val="32"/>
        </w:rPr>
        <w:t xml:space="preserve">. This </w:t>
      </w:r>
      <w:r w:rsidR="00A14D1E" w:rsidRPr="000548FA">
        <w:rPr>
          <w:rFonts w:eastAsia="Verdana"/>
          <w:sz w:val="32"/>
          <w:szCs w:val="32"/>
        </w:rPr>
        <w:t>creates cost and availability barriers to the uptake of accessible design;</w:t>
      </w:r>
    </w:p>
    <w:p w14:paraId="062508C1" w14:textId="7F4B2EB8" w:rsidR="00611A0E" w:rsidRPr="000548FA" w:rsidRDefault="00611A0E" w:rsidP="000548FA">
      <w:pPr>
        <w:pStyle w:val="ParaLevel2"/>
        <w:tabs>
          <w:tab w:val="clear" w:pos="567"/>
        </w:tabs>
        <w:spacing w:line="360" w:lineRule="auto"/>
        <w:rPr>
          <w:rFonts w:eastAsia="Verdana"/>
          <w:sz w:val="32"/>
          <w:szCs w:val="32"/>
        </w:rPr>
      </w:pPr>
      <w:r w:rsidRPr="000548FA">
        <w:rPr>
          <w:rFonts w:eastAsia="Verdana"/>
          <w:sz w:val="32"/>
          <w:szCs w:val="32"/>
        </w:rPr>
        <w:lastRenderedPageBreak/>
        <w:t>improving the availability of housing data disaggregated by disability status, for example, the number of people in Emergency Housing, or on the Housing Register;</w:t>
      </w:r>
    </w:p>
    <w:p w14:paraId="36D7C5CE" w14:textId="00499A89" w:rsidR="00A14D1E" w:rsidRPr="000548FA" w:rsidRDefault="00A14D1E" w:rsidP="000548FA">
      <w:pPr>
        <w:pStyle w:val="ParaLevel2"/>
        <w:tabs>
          <w:tab w:val="clear" w:pos="567"/>
        </w:tabs>
        <w:spacing w:line="360" w:lineRule="auto"/>
        <w:rPr>
          <w:rFonts w:eastAsia="Verdana"/>
          <w:sz w:val="32"/>
          <w:szCs w:val="32"/>
        </w:rPr>
      </w:pPr>
      <w:r w:rsidRPr="000548FA">
        <w:rPr>
          <w:rFonts w:eastAsia="Verdana"/>
          <w:sz w:val="32"/>
          <w:szCs w:val="32"/>
        </w:rPr>
        <w:t>explore options to adjust prioritisation mechanisms for social housing to prioritise disabled people – including those in residential care</w:t>
      </w:r>
      <w:r w:rsidR="00A47154" w:rsidRPr="000548FA">
        <w:rPr>
          <w:rFonts w:eastAsia="Verdana"/>
          <w:sz w:val="32"/>
          <w:szCs w:val="32"/>
        </w:rPr>
        <w:t xml:space="preserve"> who could live independently, given appropriate housing</w:t>
      </w:r>
      <w:r w:rsidRPr="000548FA">
        <w:rPr>
          <w:rFonts w:eastAsia="Verdana"/>
          <w:sz w:val="32"/>
          <w:szCs w:val="32"/>
        </w:rPr>
        <w:t xml:space="preserve"> – for social housing.</w:t>
      </w:r>
      <w:r w:rsidR="00660DE1" w:rsidRPr="000548FA">
        <w:rPr>
          <w:rStyle w:val="FootnoteReference"/>
          <w:rFonts w:eastAsia="Verdana"/>
          <w:sz w:val="32"/>
          <w:szCs w:val="32"/>
        </w:rPr>
        <w:footnoteReference w:id="97"/>
      </w:r>
      <w:r w:rsidRPr="000548FA">
        <w:rPr>
          <w:rFonts w:eastAsia="Verdana"/>
          <w:sz w:val="32"/>
          <w:szCs w:val="32"/>
        </w:rPr>
        <w:t xml:space="preserve"> As part of the same work, Whaikaha could work with HUD</w:t>
      </w:r>
      <w:r w:rsidR="00A55C72" w:rsidRPr="000548FA">
        <w:rPr>
          <w:rFonts w:eastAsia="Verdana"/>
          <w:sz w:val="32"/>
          <w:szCs w:val="32"/>
        </w:rPr>
        <w:t xml:space="preserve"> and MSD</w:t>
      </w:r>
      <w:r w:rsidRPr="000548FA">
        <w:rPr>
          <w:rFonts w:eastAsia="Verdana"/>
          <w:sz w:val="32"/>
          <w:szCs w:val="32"/>
        </w:rPr>
        <w:t xml:space="preserve">, who are </w:t>
      </w:r>
      <w:r w:rsidR="006844C8" w:rsidRPr="000548FA">
        <w:rPr>
          <w:rFonts w:eastAsia="Verdana"/>
          <w:sz w:val="32"/>
          <w:szCs w:val="32"/>
        </w:rPr>
        <w:t>consider</w:t>
      </w:r>
      <w:r w:rsidR="1D0A7989" w:rsidRPr="000548FA">
        <w:rPr>
          <w:rFonts w:eastAsia="Verdana"/>
          <w:sz w:val="32"/>
          <w:szCs w:val="32"/>
        </w:rPr>
        <w:t>ing</w:t>
      </w:r>
      <w:r w:rsidR="006844C8" w:rsidRPr="000548FA">
        <w:rPr>
          <w:rFonts w:eastAsia="Verdana"/>
          <w:sz w:val="32"/>
          <w:szCs w:val="32"/>
        </w:rPr>
        <w:t xml:space="preserve"> who social housing should be </w:t>
      </w:r>
      <w:r w:rsidR="59CB0F8D" w:rsidRPr="000548FA">
        <w:rPr>
          <w:rFonts w:eastAsia="Verdana"/>
          <w:sz w:val="32"/>
          <w:szCs w:val="32"/>
        </w:rPr>
        <w:t>targeted to,</w:t>
      </w:r>
      <w:r w:rsidR="00A91589" w:rsidRPr="000548FA">
        <w:rPr>
          <w:rFonts w:eastAsia="Verdana"/>
          <w:sz w:val="32"/>
          <w:szCs w:val="32"/>
        </w:rPr>
        <w:t xml:space="preserve"> to</w:t>
      </w:r>
      <w:r w:rsidRPr="000548FA">
        <w:rPr>
          <w:rFonts w:eastAsia="Verdana"/>
          <w:sz w:val="32"/>
          <w:szCs w:val="32"/>
        </w:rPr>
        <w:t xml:space="preserve"> advocate for </w:t>
      </w:r>
      <w:r w:rsidR="12C8FFEB" w:rsidRPr="000548FA">
        <w:rPr>
          <w:rFonts w:eastAsia="Verdana"/>
          <w:sz w:val="32"/>
          <w:szCs w:val="32"/>
        </w:rPr>
        <w:t xml:space="preserve">targeting the needs of </w:t>
      </w:r>
      <w:r w:rsidRPr="000548FA">
        <w:rPr>
          <w:rFonts w:eastAsia="Verdana"/>
          <w:sz w:val="32"/>
          <w:szCs w:val="32"/>
        </w:rPr>
        <w:t>disabled people. It is important to note that the provision of social and health services are administered separately from social housing;</w:t>
      </w:r>
    </w:p>
    <w:p w14:paraId="1F9EE19F" w14:textId="77777777" w:rsidR="00A14D1E" w:rsidRPr="000548FA" w:rsidRDefault="00A14D1E" w:rsidP="000548FA">
      <w:pPr>
        <w:pStyle w:val="ParaLevel2"/>
        <w:tabs>
          <w:tab w:val="clear" w:pos="567"/>
        </w:tabs>
        <w:spacing w:line="360" w:lineRule="auto"/>
        <w:rPr>
          <w:rFonts w:eastAsia="Verdana"/>
          <w:sz w:val="32"/>
          <w:szCs w:val="32"/>
        </w:rPr>
      </w:pPr>
      <w:r w:rsidRPr="000548FA">
        <w:rPr>
          <w:rFonts w:eastAsia="Verdana"/>
          <w:sz w:val="32"/>
          <w:szCs w:val="32"/>
        </w:rPr>
        <w:t>support kaupapa Māori approaches to ensuring that tāngata whaikaha Māori and whānau can access appropriate housing. This could include supporting existing initiatives such as accessible marae, working with Te Matapihi to incorporate disability perspectives in existing projects, and advocating for new and emerging kaupapa Māori solutions.</w:t>
      </w:r>
    </w:p>
    <w:p w14:paraId="479AA04F" w14:textId="75DB424B" w:rsidR="00A14D1E" w:rsidRPr="000548FA" w:rsidRDefault="00D219B3" w:rsidP="000548FA">
      <w:pPr>
        <w:pStyle w:val="ParaLevel2"/>
        <w:tabs>
          <w:tab w:val="clear" w:pos="567"/>
        </w:tabs>
        <w:spacing w:line="360" w:lineRule="auto"/>
        <w:rPr>
          <w:rFonts w:eastAsia="Verdana"/>
          <w:sz w:val="32"/>
          <w:szCs w:val="32"/>
        </w:rPr>
      </w:pPr>
      <w:r w:rsidRPr="000548FA">
        <w:rPr>
          <w:rFonts w:eastAsia="Verdana"/>
          <w:sz w:val="32"/>
          <w:szCs w:val="32"/>
        </w:rPr>
        <w:lastRenderedPageBreak/>
        <w:t>(</w:t>
      </w:r>
      <w:r w:rsidR="00A14D1E" w:rsidRPr="000548FA">
        <w:rPr>
          <w:rFonts w:eastAsia="Verdana"/>
          <w:sz w:val="32"/>
          <w:szCs w:val="32"/>
        </w:rPr>
        <w:t>with the Ministry for Pacific Peoples</w:t>
      </w:r>
      <w:r w:rsidRPr="000548FA">
        <w:rPr>
          <w:rFonts w:eastAsia="Verdana"/>
          <w:sz w:val="32"/>
          <w:szCs w:val="32"/>
        </w:rPr>
        <w:t>)</w:t>
      </w:r>
      <w:r w:rsidR="00A14D1E" w:rsidRPr="000548FA">
        <w:rPr>
          <w:rFonts w:eastAsia="Verdana"/>
          <w:sz w:val="32"/>
          <w:szCs w:val="32"/>
        </w:rPr>
        <w:t xml:space="preserve"> consider targeted support programs for Pacific disabled people, for example, expanding the Pacific Housing </w:t>
      </w:r>
      <w:r w:rsidR="00E11089" w:rsidRPr="000548FA">
        <w:rPr>
          <w:rFonts w:eastAsia="Verdana"/>
          <w:sz w:val="32"/>
          <w:szCs w:val="32"/>
        </w:rPr>
        <w:t>Initiative</w:t>
      </w:r>
      <w:r w:rsidR="00E11089" w:rsidRPr="000548FA">
        <w:rPr>
          <w:rStyle w:val="FootnoteReference"/>
          <w:rFonts w:eastAsia="Verdana"/>
          <w:sz w:val="32"/>
          <w:szCs w:val="32"/>
        </w:rPr>
        <w:footnoteReference w:id="98"/>
      </w:r>
      <w:r w:rsidR="00A14D1E" w:rsidRPr="000548FA">
        <w:rPr>
          <w:rFonts w:eastAsia="Verdana"/>
          <w:sz w:val="32"/>
          <w:szCs w:val="32"/>
        </w:rPr>
        <w:t xml:space="preserve"> to include accessibility needs.</w:t>
      </w:r>
    </w:p>
    <w:p w14:paraId="7212F025" w14:textId="537672B9" w:rsidR="00A14D1E" w:rsidRPr="000548FA" w:rsidRDefault="00A14D1E" w:rsidP="000548FA">
      <w:pPr>
        <w:pStyle w:val="ParaLevel2"/>
        <w:tabs>
          <w:tab w:val="clear" w:pos="567"/>
        </w:tabs>
        <w:spacing w:line="360" w:lineRule="auto"/>
        <w:rPr>
          <w:rFonts w:eastAsia="Verdana"/>
          <w:sz w:val="32"/>
          <w:szCs w:val="32"/>
        </w:rPr>
      </w:pPr>
      <w:r w:rsidRPr="000548FA">
        <w:rPr>
          <w:rFonts w:eastAsia="Verdana"/>
          <w:sz w:val="32"/>
          <w:szCs w:val="32"/>
        </w:rPr>
        <w:t>consider whether certain disabled people could be targeted in the Healthy Homes Initiative (HHI).</w:t>
      </w:r>
      <w:r w:rsidRPr="000548FA">
        <w:rPr>
          <w:rStyle w:val="FootnoteReference"/>
          <w:rFonts w:eastAsia="Verdana"/>
          <w:sz w:val="32"/>
          <w:szCs w:val="32"/>
          <w:lang w:val="en-NZ"/>
        </w:rPr>
        <w:footnoteReference w:id="99"/>
      </w:r>
      <w:r w:rsidRPr="000548FA">
        <w:rPr>
          <w:rFonts w:eastAsia="Verdana"/>
          <w:sz w:val="32"/>
          <w:szCs w:val="32"/>
        </w:rPr>
        <w:t xml:space="preserve"> The HHI intervention has significant health and social benefits for participants which could help to improve the poorer housing, health, education, and employment outcomes of disabled people.</w:t>
      </w:r>
    </w:p>
    <w:p w14:paraId="00050C37" w14:textId="2323BD8A" w:rsidR="00A14D1E" w:rsidRPr="000548FA" w:rsidRDefault="00A47154" w:rsidP="000548FA">
      <w:pPr>
        <w:pStyle w:val="ParaLevel2"/>
        <w:tabs>
          <w:tab w:val="clear" w:pos="567"/>
        </w:tabs>
        <w:spacing w:line="360" w:lineRule="auto"/>
        <w:rPr>
          <w:rFonts w:eastAsia="Verdana"/>
          <w:sz w:val="32"/>
          <w:szCs w:val="32"/>
        </w:rPr>
      </w:pPr>
      <w:r w:rsidRPr="000548FA">
        <w:rPr>
          <w:rFonts w:eastAsia="Verdana"/>
          <w:sz w:val="32"/>
          <w:szCs w:val="32"/>
        </w:rPr>
        <w:t>i</w:t>
      </w:r>
      <w:r w:rsidR="3B31AB5A" w:rsidRPr="000548FA">
        <w:rPr>
          <w:rFonts w:eastAsia="Verdana"/>
          <w:sz w:val="32"/>
          <w:szCs w:val="32"/>
        </w:rPr>
        <w:t>mprove</w:t>
      </w:r>
      <w:r w:rsidR="00A14D1E" w:rsidRPr="000548FA">
        <w:rPr>
          <w:rFonts w:eastAsia="Verdana"/>
          <w:sz w:val="32"/>
          <w:szCs w:val="32"/>
        </w:rPr>
        <w:t xml:space="preserve"> awareness of and access to </w:t>
      </w:r>
      <w:r w:rsidRPr="000548FA">
        <w:rPr>
          <w:rFonts w:eastAsia="Verdana"/>
          <w:sz w:val="32"/>
          <w:szCs w:val="32"/>
        </w:rPr>
        <w:t xml:space="preserve">NZSL </w:t>
      </w:r>
      <w:r w:rsidR="00A14D1E" w:rsidRPr="000548FA">
        <w:rPr>
          <w:rFonts w:eastAsia="Verdana"/>
          <w:sz w:val="32"/>
          <w:szCs w:val="32"/>
        </w:rPr>
        <w:t>interpreters for property managers and landlords, and providing information about renters’ rights and the Tenancy Tribunal in NZSL.</w:t>
      </w:r>
    </w:p>
    <w:p w14:paraId="16B8167A" w14:textId="3A1B120D" w:rsidR="00A14D1E" w:rsidRPr="000548FA" w:rsidRDefault="00A47154" w:rsidP="000548FA">
      <w:pPr>
        <w:pStyle w:val="ParaLevel2"/>
        <w:tabs>
          <w:tab w:val="clear" w:pos="567"/>
        </w:tabs>
        <w:spacing w:line="360" w:lineRule="auto"/>
        <w:rPr>
          <w:rFonts w:eastAsia="Verdana"/>
          <w:sz w:val="32"/>
          <w:szCs w:val="32"/>
        </w:rPr>
      </w:pPr>
      <w:r w:rsidRPr="000548FA">
        <w:rPr>
          <w:rFonts w:eastAsia="Verdana"/>
          <w:sz w:val="32"/>
          <w:szCs w:val="32"/>
        </w:rPr>
        <w:t>s</w:t>
      </w:r>
      <w:r w:rsidR="00A14D1E" w:rsidRPr="000548FA">
        <w:rPr>
          <w:rFonts w:eastAsia="Verdana"/>
          <w:sz w:val="32"/>
          <w:szCs w:val="32"/>
        </w:rPr>
        <w:t xml:space="preserve">upport </w:t>
      </w:r>
      <w:r w:rsidRPr="000548FA">
        <w:rPr>
          <w:rFonts w:eastAsia="Verdana"/>
          <w:sz w:val="32"/>
          <w:szCs w:val="32"/>
        </w:rPr>
        <w:t xml:space="preserve">involvement of </w:t>
      </w:r>
      <w:r w:rsidR="00A14D1E" w:rsidRPr="000548FA">
        <w:rPr>
          <w:rFonts w:eastAsia="Verdana"/>
          <w:sz w:val="32"/>
          <w:szCs w:val="32"/>
        </w:rPr>
        <w:t>disabled people, tāngata whaikaha Māori, Pacific disabled people, and whānau in the development of housing policy and initiatives.</w:t>
      </w:r>
    </w:p>
    <w:p w14:paraId="25EF86D8" w14:textId="021C0524" w:rsidR="00A14D1E" w:rsidRPr="000548FA" w:rsidRDefault="00A47154" w:rsidP="000548FA">
      <w:pPr>
        <w:pStyle w:val="ParaLevel2"/>
        <w:tabs>
          <w:tab w:val="clear" w:pos="567"/>
        </w:tabs>
        <w:spacing w:line="360" w:lineRule="auto"/>
        <w:rPr>
          <w:rFonts w:eastAsia="Verdana"/>
          <w:sz w:val="32"/>
          <w:szCs w:val="32"/>
        </w:rPr>
      </w:pPr>
      <w:r w:rsidRPr="000548FA">
        <w:rPr>
          <w:rFonts w:eastAsia="Verdana"/>
          <w:sz w:val="32"/>
          <w:szCs w:val="32"/>
        </w:rPr>
        <w:lastRenderedPageBreak/>
        <w:t>w</w:t>
      </w:r>
      <w:r w:rsidR="00A14D1E" w:rsidRPr="000548FA">
        <w:rPr>
          <w:rFonts w:eastAsia="Verdana"/>
          <w:sz w:val="32"/>
          <w:szCs w:val="32"/>
        </w:rPr>
        <w:t xml:space="preserve">ork with CHPs to develop better methods of matching disabled people to social housing with accessibility features that meet their needs. </w:t>
      </w:r>
    </w:p>
    <w:p w14:paraId="5A21C2B2" w14:textId="0BDAD52F" w:rsidR="00A14D1E" w:rsidRPr="000548FA" w:rsidRDefault="00A47154" w:rsidP="000548FA">
      <w:pPr>
        <w:pStyle w:val="ParaLevel2"/>
        <w:tabs>
          <w:tab w:val="clear" w:pos="567"/>
        </w:tabs>
        <w:spacing w:line="360" w:lineRule="auto"/>
        <w:rPr>
          <w:rFonts w:eastAsia="Verdana"/>
          <w:sz w:val="32"/>
          <w:szCs w:val="32"/>
        </w:rPr>
      </w:pPr>
      <w:r w:rsidRPr="000548FA">
        <w:rPr>
          <w:rFonts w:eastAsia="Verdana"/>
          <w:sz w:val="32"/>
          <w:szCs w:val="32"/>
        </w:rPr>
        <w:t>p</w:t>
      </w:r>
      <w:r w:rsidR="00A14D1E" w:rsidRPr="000548FA">
        <w:rPr>
          <w:rFonts w:eastAsia="Verdana"/>
          <w:sz w:val="32"/>
          <w:szCs w:val="32"/>
        </w:rPr>
        <w:t>romote examples of best practice in accessible design across New Zealand, such as local Government initiatives.</w:t>
      </w:r>
    </w:p>
    <w:p w14:paraId="139252E8" w14:textId="2CEAC631" w:rsidR="00A14D1E" w:rsidRPr="000548FA" w:rsidRDefault="003872F6" w:rsidP="000548FA">
      <w:pPr>
        <w:pStyle w:val="ParaLevel2"/>
        <w:tabs>
          <w:tab w:val="clear" w:pos="567"/>
        </w:tabs>
        <w:spacing w:line="360" w:lineRule="auto"/>
        <w:rPr>
          <w:rFonts w:eastAsia="Verdana"/>
          <w:sz w:val="32"/>
          <w:szCs w:val="32"/>
        </w:rPr>
      </w:pPr>
      <w:r w:rsidRPr="000548FA">
        <w:rPr>
          <w:rFonts w:eastAsia="Verdana"/>
          <w:sz w:val="32"/>
          <w:szCs w:val="32"/>
        </w:rPr>
        <w:t>Work</w:t>
      </w:r>
      <w:r w:rsidR="00A14D1E" w:rsidRPr="000548FA">
        <w:rPr>
          <w:rFonts w:eastAsia="Verdana"/>
          <w:sz w:val="32"/>
          <w:szCs w:val="32"/>
        </w:rPr>
        <w:t xml:space="preserve"> with disabled people </w:t>
      </w:r>
      <w:r w:rsidRPr="000548FA">
        <w:rPr>
          <w:rFonts w:eastAsia="Verdana"/>
          <w:sz w:val="32"/>
          <w:szCs w:val="32"/>
        </w:rPr>
        <w:t xml:space="preserve">to </w:t>
      </w:r>
      <w:r w:rsidR="00A14D1E" w:rsidRPr="000548FA">
        <w:rPr>
          <w:rFonts w:eastAsia="Verdana"/>
          <w:sz w:val="32"/>
          <w:szCs w:val="32"/>
        </w:rPr>
        <w:t>creat</w:t>
      </w:r>
      <w:r w:rsidRPr="000548FA">
        <w:rPr>
          <w:rFonts w:eastAsia="Verdana"/>
          <w:sz w:val="32"/>
          <w:szCs w:val="32"/>
        </w:rPr>
        <w:t>e</w:t>
      </w:r>
      <w:r w:rsidR="00A14D1E" w:rsidRPr="000548FA">
        <w:rPr>
          <w:rFonts w:eastAsia="Verdana"/>
          <w:sz w:val="32"/>
          <w:szCs w:val="32"/>
        </w:rPr>
        <w:t xml:space="preserve"> information resources to </w:t>
      </w:r>
      <w:r w:rsidR="00F403AF" w:rsidRPr="000548FA">
        <w:rPr>
          <w:rFonts w:eastAsia="Verdana"/>
          <w:sz w:val="32"/>
          <w:szCs w:val="32"/>
        </w:rPr>
        <w:t xml:space="preserve">help </w:t>
      </w:r>
      <w:r w:rsidR="00A14D1E" w:rsidRPr="000548FA">
        <w:rPr>
          <w:rFonts w:eastAsia="Verdana"/>
          <w:sz w:val="32"/>
          <w:szCs w:val="32"/>
        </w:rPr>
        <w:t xml:space="preserve">disabled people </w:t>
      </w:r>
      <w:r w:rsidR="00F403AF" w:rsidRPr="000548FA">
        <w:rPr>
          <w:rFonts w:eastAsia="Verdana"/>
          <w:sz w:val="32"/>
          <w:szCs w:val="32"/>
        </w:rPr>
        <w:t xml:space="preserve">and whānau feel more confident to </w:t>
      </w:r>
      <w:r w:rsidR="00A14D1E" w:rsidRPr="000548FA">
        <w:rPr>
          <w:rFonts w:eastAsia="Verdana"/>
          <w:sz w:val="32"/>
          <w:szCs w:val="32"/>
        </w:rPr>
        <w:t>disclos</w:t>
      </w:r>
      <w:r w:rsidR="00F403AF" w:rsidRPr="000548FA">
        <w:rPr>
          <w:rFonts w:eastAsia="Verdana"/>
          <w:sz w:val="32"/>
          <w:szCs w:val="32"/>
        </w:rPr>
        <w:t>e</w:t>
      </w:r>
      <w:r w:rsidR="00A14D1E" w:rsidRPr="000548FA">
        <w:rPr>
          <w:rFonts w:eastAsia="Verdana"/>
          <w:sz w:val="32"/>
          <w:szCs w:val="32"/>
        </w:rPr>
        <w:t xml:space="preserve"> their accessibility-related needs when applying for social housing. </w:t>
      </w:r>
    </w:p>
    <w:p w14:paraId="6FCF3244" w14:textId="038A5DE6" w:rsidR="2EC0CD88" w:rsidRPr="000548FA" w:rsidRDefault="2EC0CD88" w:rsidP="000548FA">
      <w:pPr>
        <w:pStyle w:val="Heading4"/>
        <w:spacing w:line="360" w:lineRule="auto"/>
        <w:rPr>
          <w:iCs w:val="0"/>
          <w:sz w:val="32"/>
          <w:szCs w:val="32"/>
        </w:rPr>
      </w:pPr>
      <w:r w:rsidRPr="000548FA">
        <w:rPr>
          <w:iCs w:val="0"/>
          <w:sz w:val="32"/>
          <w:szCs w:val="32"/>
        </w:rPr>
        <w:t xml:space="preserve">Longer term </w:t>
      </w:r>
      <w:r w:rsidR="45810461" w:rsidRPr="000548FA">
        <w:rPr>
          <w:iCs w:val="0"/>
          <w:sz w:val="32"/>
          <w:szCs w:val="32"/>
        </w:rPr>
        <w:t>opportunities for change</w:t>
      </w:r>
    </w:p>
    <w:p w14:paraId="1B7690AF" w14:textId="544CDB8B" w:rsidR="00A14D1E" w:rsidRPr="000548FA" w:rsidRDefault="00496CFE" w:rsidP="000548FA">
      <w:pPr>
        <w:pStyle w:val="ParaLevel1"/>
        <w:spacing w:line="360" w:lineRule="auto"/>
        <w:rPr>
          <w:rFonts w:eastAsia="Verdana"/>
          <w:sz w:val="32"/>
          <w:szCs w:val="32"/>
        </w:rPr>
      </w:pPr>
      <w:r w:rsidRPr="000548FA">
        <w:rPr>
          <w:sz w:val="32"/>
          <w:szCs w:val="32"/>
        </w:rPr>
        <w:t>Opportunities for change o</w:t>
      </w:r>
      <w:r w:rsidR="00A14D1E" w:rsidRPr="000548FA">
        <w:rPr>
          <w:sz w:val="32"/>
          <w:szCs w:val="32"/>
        </w:rPr>
        <w:t>ver the longer term</w:t>
      </w:r>
      <w:r w:rsidRPr="000548FA">
        <w:rPr>
          <w:sz w:val="32"/>
          <w:szCs w:val="32"/>
        </w:rPr>
        <w:t xml:space="preserve"> could include</w:t>
      </w:r>
      <w:r w:rsidR="00A14D1E" w:rsidRPr="000548FA">
        <w:rPr>
          <w:sz w:val="32"/>
          <w:szCs w:val="32"/>
        </w:rPr>
        <w:t>:</w:t>
      </w:r>
    </w:p>
    <w:p w14:paraId="336FA74F" w14:textId="4B499C0F" w:rsidR="00A14D1E" w:rsidRPr="000548FA" w:rsidRDefault="132EB7DD" w:rsidP="000548FA">
      <w:pPr>
        <w:pStyle w:val="ParaLevel2"/>
        <w:tabs>
          <w:tab w:val="clear" w:pos="567"/>
        </w:tabs>
        <w:spacing w:line="360" w:lineRule="auto"/>
        <w:rPr>
          <w:rFonts w:eastAsia="Verdana"/>
          <w:sz w:val="32"/>
          <w:szCs w:val="32"/>
        </w:rPr>
      </w:pPr>
      <w:r w:rsidRPr="000548FA">
        <w:rPr>
          <w:sz w:val="32"/>
          <w:szCs w:val="32"/>
        </w:rPr>
        <w:t>greater m</w:t>
      </w:r>
      <w:r w:rsidR="7BC628E9" w:rsidRPr="000548FA">
        <w:rPr>
          <w:sz w:val="32"/>
          <w:szCs w:val="32"/>
        </w:rPr>
        <w:t xml:space="preserve">andatory accessibility standards in the Building Code or other regulatory mechanisms. MBIE </w:t>
      </w:r>
      <w:r w:rsidR="423D817A" w:rsidRPr="000548FA">
        <w:rPr>
          <w:sz w:val="32"/>
          <w:szCs w:val="32"/>
        </w:rPr>
        <w:t xml:space="preserve">regularly updates the Building Code. Whaikaha could </w:t>
      </w:r>
      <w:r w:rsidR="001424C0" w:rsidRPr="000548FA">
        <w:rPr>
          <w:sz w:val="32"/>
          <w:szCs w:val="32"/>
        </w:rPr>
        <w:t>work</w:t>
      </w:r>
      <w:r w:rsidR="423D817A" w:rsidRPr="000548FA">
        <w:rPr>
          <w:sz w:val="32"/>
          <w:szCs w:val="32"/>
        </w:rPr>
        <w:t xml:space="preserve"> with MBIE in future refreshes to explore how accessibility could be better embedded in the Code. </w:t>
      </w:r>
    </w:p>
    <w:p w14:paraId="0C93B7E5" w14:textId="61F4C390" w:rsidR="00A14D1E" w:rsidRPr="000548FA" w:rsidRDefault="00A47154" w:rsidP="000548FA">
      <w:pPr>
        <w:pStyle w:val="ParaLevel2"/>
        <w:tabs>
          <w:tab w:val="clear" w:pos="567"/>
        </w:tabs>
        <w:spacing w:line="360" w:lineRule="auto"/>
        <w:rPr>
          <w:rFonts w:eastAsia="Verdana"/>
          <w:sz w:val="32"/>
          <w:szCs w:val="32"/>
        </w:rPr>
      </w:pPr>
      <w:r w:rsidRPr="000548FA">
        <w:rPr>
          <w:sz w:val="32"/>
          <w:szCs w:val="32"/>
        </w:rPr>
        <w:t>a</w:t>
      </w:r>
      <w:r w:rsidR="0B9B1A27" w:rsidRPr="000548FA">
        <w:rPr>
          <w:sz w:val="32"/>
          <w:szCs w:val="32"/>
        </w:rPr>
        <w:t>nalys</w:t>
      </w:r>
      <w:r w:rsidR="00A14D1E" w:rsidRPr="000548FA">
        <w:rPr>
          <w:sz w:val="32"/>
          <w:szCs w:val="32"/>
        </w:rPr>
        <w:t>e</w:t>
      </w:r>
      <w:r w:rsidR="6A929F84" w:rsidRPr="000548FA">
        <w:rPr>
          <w:sz w:val="32"/>
          <w:szCs w:val="32"/>
        </w:rPr>
        <w:t xml:space="preserve"> </w:t>
      </w:r>
      <w:r w:rsidR="0B9B1A27" w:rsidRPr="000548FA">
        <w:rPr>
          <w:sz w:val="32"/>
          <w:szCs w:val="32"/>
        </w:rPr>
        <w:t xml:space="preserve">how other countries have introduced </w:t>
      </w:r>
      <w:r w:rsidR="7BDC00C1" w:rsidRPr="000548FA">
        <w:rPr>
          <w:sz w:val="32"/>
          <w:szCs w:val="32"/>
        </w:rPr>
        <w:t xml:space="preserve">incentives to encourage the private sector to build more accessible housing. </w:t>
      </w:r>
      <w:r w:rsidR="55007A89" w:rsidRPr="000548FA">
        <w:rPr>
          <w:sz w:val="32"/>
          <w:szCs w:val="32"/>
        </w:rPr>
        <w:t>This could inform whether similar incentives could be introduced in New Zealand.</w:t>
      </w:r>
      <w:r w:rsidR="00AD6126" w:rsidRPr="000548FA">
        <w:rPr>
          <w:sz w:val="32"/>
          <w:szCs w:val="32"/>
        </w:rPr>
        <w:t xml:space="preserve"> Other </w:t>
      </w:r>
      <w:r w:rsidR="00DC1BCE" w:rsidRPr="000548FA">
        <w:rPr>
          <w:sz w:val="32"/>
          <w:szCs w:val="32"/>
        </w:rPr>
        <w:t xml:space="preserve">initiatives introduced overseas could also be </w:t>
      </w:r>
      <w:r w:rsidR="00DC1BCE" w:rsidRPr="000548FA">
        <w:rPr>
          <w:sz w:val="32"/>
          <w:szCs w:val="32"/>
        </w:rPr>
        <w:lastRenderedPageBreak/>
        <w:t>analysed to determine how they could fit in the New Zealand context.</w:t>
      </w:r>
    </w:p>
    <w:p w14:paraId="44EA4F60" w14:textId="0F59D774" w:rsidR="001C74CF" w:rsidRPr="000548FA" w:rsidRDefault="00A47154" w:rsidP="000548FA">
      <w:pPr>
        <w:pStyle w:val="ParaLevel2"/>
        <w:tabs>
          <w:tab w:val="clear" w:pos="567"/>
        </w:tabs>
        <w:spacing w:line="360" w:lineRule="auto"/>
        <w:rPr>
          <w:rFonts w:eastAsia="Verdana"/>
          <w:sz w:val="32"/>
          <w:szCs w:val="32"/>
        </w:rPr>
      </w:pPr>
      <w:r w:rsidRPr="000548FA">
        <w:rPr>
          <w:rFonts w:eastAsia="Verdana"/>
          <w:sz w:val="32"/>
          <w:szCs w:val="32"/>
        </w:rPr>
        <w:t>w</w:t>
      </w:r>
      <w:r w:rsidR="1AEF4FDF" w:rsidRPr="000548FA">
        <w:rPr>
          <w:rFonts w:eastAsia="Verdana"/>
          <w:sz w:val="32"/>
          <w:szCs w:val="32"/>
        </w:rPr>
        <w:t xml:space="preserve">ork with </w:t>
      </w:r>
      <w:r w:rsidR="001424C0" w:rsidRPr="000548FA">
        <w:rPr>
          <w:rFonts w:eastAsia="Verdana"/>
          <w:sz w:val="32"/>
          <w:szCs w:val="32"/>
        </w:rPr>
        <w:t xml:space="preserve">the </w:t>
      </w:r>
      <w:r w:rsidR="1AEF4FDF" w:rsidRPr="000548FA">
        <w:rPr>
          <w:rFonts w:eastAsia="Verdana"/>
          <w:sz w:val="32"/>
          <w:szCs w:val="32"/>
        </w:rPr>
        <w:t xml:space="preserve">DSS </w:t>
      </w:r>
      <w:r w:rsidR="001424C0" w:rsidRPr="000548FA">
        <w:rPr>
          <w:rFonts w:eastAsia="Verdana"/>
          <w:sz w:val="32"/>
          <w:szCs w:val="32"/>
        </w:rPr>
        <w:t>business unit of MSD</w:t>
      </w:r>
      <w:r w:rsidR="1AEF4FDF" w:rsidRPr="000548FA">
        <w:rPr>
          <w:rFonts w:eastAsia="Verdana"/>
          <w:sz w:val="32"/>
          <w:szCs w:val="32"/>
        </w:rPr>
        <w:t xml:space="preserve"> to consider the </w:t>
      </w:r>
      <w:r w:rsidR="1DC1844F" w:rsidRPr="000548FA">
        <w:rPr>
          <w:rFonts w:eastAsia="Verdana"/>
          <w:sz w:val="32"/>
          <w:szCs w:val="32"/>
        </w:rPr>
        <w:t xml:space="preserve">existing research and engagement base of </w:t>
      </w:r>
      <w:r w:rsidR="0066670D" w:rsidRPr="000548FA">
        <w:rPr>
          <w:rFonts w:eastAsia="Verdana"/>
          <w:sz w:val="32"/>
          <w:szCs w:val="32"/>
        </w:rPr>
        <w:t xml:space="preserve">the </w:t>
      </w:r>
      <w:r w:rsidR="1DC1844F" w:rsidRPr="000548FA">
        <w:rPr>
          <w:rFonts w:eastAsia="Verdana"/>
          <w:sz w:val="32"/>
          <w:szCs w:val="32"/>
        </w:rPr>
        <w:t>My Home My Choice</w:t>
      </w:r>
      <w:r w:rsidR="0066670D" w:rsidRPr="000548FA">
        <w:rPr>
          <w:rFonts w:eastAsia="Verdana"/>
          <w:sz w:val="32"/>
          <w:szCs w:val="32"/>
        </w:rPr>
        <w:t xml:space="preserve"> project</w:t>
      </w:r>
      <w:r w:rsidR="1DC1844F" w:rsidRPr="000548FA">
        <w:rPr>
          <w:rFonts w:eastAsia="Verdana"/>
          <w:sz w:val="32"/>
          <w:szCs w:val="32"/>
        </w:rPr>
        <w:t xml:space="preserve"> to examine where there could be opportunities for change to residential </w:t>
      </w:r>
      <w:r w:rsidR="616DD74C" w:rsidRPr="000548FA">
        <w:rPr>
          <w:rFonts w:eastAsia="Verdana"/>
          <w:sz w:val="32"/>
          <w:szCs w:val="32"/>
        </w:rPr>
        <w:t xml:space="preserve">care settings. </w:t>
      </w:r>
      <w:r w:rsidR="1396E98F" w:rsidRPr="000548FA">
        <w:rPr>
          <w:rFonts w:eastAsia="Verdana"/>
          <w:sz w:val="32"/>
          <w:szCs w:val="32"/>
        </w:rPr>
        <w:t>Although</w:t>
      </w:r>
      <w:r w:rsidR="616DD74C" w:rsidRPr="000548FA">
        <w:rPr>
          <w:rFonts w:eastAsia="Verdana"/>
          <w:sz w:val="32"/>
          <w:szCs w:val="32"/>
        </w:rPr>
        <w:t xml:space="preserve"> the project is paused, there could be aspects of </w:t>
      </w:r>
      <w:r w:rsidR="04F6EAB0" w:rsidRPr="000548FA">
        <w:rPr>
          <w:rFonts w:eastAsia="Verdana"/>
          <w:sz w:val="32"/>
          <w:szCs w:val="32"/>
        </w:rPr>
        <w:t xml:space="preserve">it which could be </w:t>
      </w:r>
      <w:r w:rsidR="4027D732" w:rsidRPr="000548FA">
        <w:rPr>
          <w:rFonts w:eastAsia="Verdana"/>
          <w:sz w:val="32"/>
          <w:szCs w:val="32"/>
        </w:rPr>
        <w:t>re-examined</w:t>
      </w:r>
      <w:r w:rsidR="04F6EAB0" w:rsidRPr="000548FA">
        <w:rPr>
          <w:rFonts w:eastAsia="Verdana"/>
          <w:sz w:val="32"/>
          <w:szCs w:val="32"/>
        </w:rPr>
        <w:t xml:space="preserve"> </w:t>
      </w:r>
      <w:r w:rsidR="50D237DA" w:rsidRPr="000548FA">
        <w:rPr>
          <w:rFonts w:eastAsia="Verdana"/>
          <w:sz w:val="32"/>
          <w:szCs w:val="32"/>
        </w:rPr>
        <w:t>in looking at how to improve outcomes for disabled people in residential care.</w:t>
      </w:r>
    </w:p>
    <w:p w14:paraId="2A8BB051" w14:textId="6C9E8820" w:rsidR="45C79717" w:rsidRPr="000548FA" w:rsidRDefault="74A696F5" w:rsidP="000548FA">
      <w:pPr>
        <w:pStyle w:val="Heading2"/>
        <w:spacing w:line="360" w:lineRule="auto"/>
        <w:rPr>
          <w:sz w:val="36"/>
          <w:szCs w:val="36"/>
        </w:rPr>
      </w:pPr>
      <w:r w:rsidRPr="000548FA">
        <w:rPr>
          <w:sz w:val="36"/>
          <w:szCs w:val="36"/>
        </w:rPr>
        <w:t>Risks</w:t>
      </w:r>
    </w:p>
    <w:p w14:paraId="2B2831E1" w14:textId="0B86A48A" w:rsidR="285EAF19" w:rsidRPr="000548FA" w:rsidRDefault="6525C1AB" w:rsidP="000548FA">
      <w:pPr>
        <w:pStyle w:val="ParaLevel1"/>
        <w:spacing w:line="360" w:lineRule="auto"/>
        <w:rPr>
          <w:rFonts w:eastAsia="Verdana"/>
          <w:sz w:val="32"/>
          <w:szCs w:val="32"/>
        </w:rPr>
      </w:pPr>
      <w:r w:rsidRPr="000548FA">
        <w:rPr>
          <w:rFonts w:eastAsia="Verdana"/>
          <w:sz w:val="32"/>
          <w:szCs w:val="32"/>
        </w:rPr>
        <w:t xml:space="preserve">In the absence of government action to improve housing outcomes for disabled people, there is a risk that potentially harmful solutions appear </w:t>
      </w:r>
      <w:r w:rsidR="00BC068E" w:rsidRPr="000548FA">
        <w:rPr>
          <w:rFonts w:eastAsia="Verdana"/>
          <w:sz w:val="32"/>
          <w:szCs w:val="32"/>
        </w:rPr>
        <w:t xml:space="preserve">as </w:t>
      </w:r>
      <w:r w:rsidR="42E3BFAD" w:rsidRPr="000548FA">
        <w:rPr>
          <w:rFonts w:eastAsia="Verdana"/>
          <w:sz w:val="32"/>
          <w:szCs w:val="32"/>
        </w:rPr>
        <w:t>viable</w:t>
      </w:r>
      <w:r w:rsidR="00BC068E" w:rsidRPr="000548FA">
        <w:rPr>
          <w:rFonts w:eastAsia="Verdana"/>
          <w:sz w:val="32"/>
          <w:szCs w:val="32"/>
        </w:rPr>
        <w:t xml:space="preserve"> options</w:t>
      </w:r>
      <w:r w:rsidR="42E3BFAD" w:rsidRPr="000548FA">
        <w:rPr>
          <w:rFonts w:eastAsia="Verdana"/>
          <w:sz w:val="32"/>
          <w:szCs w:val="32"/>
        </w:rPr>
        <w:t>.</w:t>
      </w:r>
      <w:r w:rsidR="00894B81" w:rsidRPr="000548FA">
        <w:rPr>
          <w:rFonts w:eastAsia="Verdana"/>
          <w:sz w:val="32"/>
          <w:szCs w:val="32"/>
        </w:rPr>
        <w:t xml:space="preserve"> </w:t>
      </w:r>
      <w:r w:rsidR="285EAF19" w:rsidRPr="000548FA">
        <w:rPr>
          <w:rFonts w:eastAsia="Verdana"/>
          <w:sz w:val="32"/>
          <w:szCs w:val="32"/>
        </w:rPr>
        <w:t xml:space="preserve">The Independent Living Institute in Sweden – one of the first countries to undertake sweeping deinstitutionalisation policies – notes that even when large institutions are closed, the </w:t>
      </w:r>
      <w:r w:rsidR="21D2B113" w:rsidRPr="000548FA">
        <w:rPr>
          <w:rFonts w:eastAsia="Verdana"/>
          <w:sz w:val="32"/>
          <w:szCs w:val="32"/>
        </w:rPr>
        <w:t>intentions</w:t>
      </w:r>
      <w:r w:rsidR="285EAF19" w:rsidRPr="000548FA">
        <w:rPr>
          <w:rFonts w:eastAsia="Verdana"/>
          <w:sz w:val="32"/>
          <w:szCs w:val="32"/>
        </w:rPr>
        <w:t xml:space="preserve"> of the UNCRPD can be abandoned in </w:t>
      </w:r>
      <w:r w:rsidR="35D4F8B4" w:rsidRPr="000548FA">
        <w:rPr>
          <w:rFonts w:eastAsia="Verdana"/>
          <w:sz w:val="32"/>
          <w:szCs w:val="32"/>
        </w:rPr>
        <w:t>the</w:t>
      </w:r>
      <w:r w:rsidR="285EAF19" w:rsidRPr="000548FA">
        <w:rPr>
          <w:rFonts w:eastAsia="Verdana"/>
          <w:sz w:val="32"/>
          <w:szCs w:val="32"/>
        </w:rPr>
        <w:t xml:space="preserve"> development of small</w:t>
      </w:r>
      <w:r w:rsidR="3674D29F" w:rsidRPr="000548FA">
        <w:rPr>
          <w:rFonts w:eastAsia="Verdana"/>
          <w:sz w:val="32"/>
          <w:szCs w:val="32"/>
        </w:rPr>
        <w:t xml:space="preserve"> institution-like group homes.</w:t>
      </w:r>
      <w:r w:rsidR="285EAF19" w:rsidRPr="000548FA">
        <w:rPr>
          <w:rFonts w:eastAsia="Verdana"/>
          <w:sz w:val="32"/>
          <w:szCs w:val="32"/>
          <w:vertAlign w:val="superscript"/>
        </w:rPr>
        <w:footnoteReference w:id="100"/>
      </w:r>
    </w:p>
    <w:p w14:paraId="4A410633" w14:textId="5CB9CF35" w:rsidR="74986906" w:rsidRPr="000548FA" w:rsidRDefault="74986906" w:rsidP="000548FA">
      <w:pPr>
        <w:pStyle w:val="ParaLevel1"/>
        <w:spacing w:line="360" w:lineRule="auto"/>
        <w:rPr>
          <w:rFonts w:eastAsia="Verdana"/>
          <w:sz w:val="32"/>
          <w:szCs w:val="32"/>
        </w:rPr>
      </w:pPr>
      <w:r w:rsidRPr="000548FA">
        <w:rPr>
          <w:rFonts w:eastAsia="Verdana"/>
          <w:sz w:val="32"/>
          <w:szCs w:val="32"/>
        </w:rPr>
        <w:lastRenderedPageBreak/>
        <w:t>Whaikaha can help to mitigate the risk of detr</w:t>
      </w:r>
      <w:r w:rsidR="565A9ADD" w:rsidRPr="000548FA">
        <w:rPr>
          <w:rFonts w:eastAsia="Verdana"/>
          <w:sz w:val="32"/>
          <w:szCs w:val="32"/>
        </w:rPr>
        <w:t xml:space="preserve">imental alternative solutions through </w:t>
      </w:r>
      <w:r w:rsidR="00110B2E" w:rsidRPr="000548FA">
        <w:rPr>
          <w:rFonts w:eastAsia="Verdana"/>
          <w:sz w:val="32"/>
          <w:szCs w:val="32"/>
        </w:rPr>
        <w:t>collaborating with other agencies to ensure that more beneficial alternative solutions are available</w:t>
      </w:r>
      <w:r w:rsidR="2845CE3C" w:rsidRPr="000548FA">
        <w:rPr>
          <w:rFonts w:eastAsia="Verdana"/>
          <w:sz w:val="32"/>
          <w:szCs w:val="32"/>
        </w:rPr>
        <w:t>.</w:t>
      </w:r>
      <w:r w:rsidR="0054149D" w:rsidRPr="000548FA">
        <w:rPr>
          <w:rFonts w:eastAsia="Verdana"/>
          <w:sz w:val="32"/>
          <w:szCs w:val="32"/>
        </w:rPr>
        <w:t xml:space="preserve"> </w:t>
      </w:r>
      <w:r w:rsidR="008F41D9" w:rsidRPr="000548FA">
        <w:rPr>
          <w:rFonts w:eastAsia="Verdana"/>
          <w:sz w:val="32"/>
          <w:szCs w:val="32"/>
        </w:rPr>
        <w:t>Kāinga Ora and HUD have indicated they would welcome dialogue with Whaikaha on how CGH</w:t>
      </w:r>
      <w:r w:rsidR="007F232E" w:rsidRPr="000548FA">
        <w:rPr>
          <w:rFonts w:eastAsia="Verdana"/>
          <w:sz w:val="32"/>
          <w:szCs w:val="32"/>
        </w:rPr>
        <w:t xml:space="preserve"> operates.</w:t>
      </w:r>
    </w:p>
    <w:p w14:paraId="3AB197C3" w14:textId="2686C050" w:rsidR="17490A85" w:rsidRPr="000548FA" w:rsidRDefault="00A66CDD" w:rsidP="000548FA">
      <w:pPr>
        <w:pStyle w:val="ParaLevel1"/>
        <w:spacing w:line="360" w:lineRule="auto"/>
        <w:rPr>
          <w:rFonts w:eastAsia="Verdana"/>
          <w:sz w:val="32"/>
          <w:szCs w:val="32"/>
        </w:rPr>
      </w:pPr>
      <w:r w:rsidRPr="000548FA">
        <w:rPr>
          <w:rFonts w:eastAsia="Verdana"/>
          <w:sz w:val="32"/>
          <w:szCs w:val="32"/>
        </w:rPr>
        <w:t>External</w:t>
      </w:r>
      <w:r w:rsidR="026F8FEE" w:rsidRPr="000548FA">
        <w:rPr>
          <w:rFonts w:eastAsia="Verdana"/>
          <w:sz w:val="32"/>
          <w:szCs w:val="32"/>
        </w:rPr>
        <w:t xml:space="preserve"> factors such as high construction costs, the availability of building materials, inflation and other budgetary pressures will continue to influence the supply of affordable housing in New Zealand.</w:t>
      </w:r>
      <w:r w:rsidR="0054149D" w:rsidRPr="000548FA">
        <w:rPr>
          <w:rFonts w:eastAsia="Verdana"/>
          <w:sz w:val="32"/>
          <w:szCs w:val="32"/>
        </w:rPr>
        <w:t xml:space="preserve"> There is a risk that due to these factors, supply will continue not to meet demand.</w:t>
      </w:r>
      <w:r w:rsidR="026F8FEE" w:rsidRPr="000548FA">
        <w:rPr>
          <w:rFonts w:eastAsia="Verdana"/>
          <w:sz w:val="32"/>
          <w:szCs w:val="32"/>
        </w:rPr>
        <w:t xml:space="preserve"> </w:t>
      </w:r>
      <w:r w:rsidR="25E75DFE" w:rsidRPr="000548FA">
        <w:rPr>
          <w:rFonts w:eastAsia="Verdana"/>
          <w:sz w:val="32"/>
          <w:szCs w:val="32"/>
        </w:rPr>
        <w:t xml:space="preserve">Whaikaha could, in advocating for accessible housing and universal design, educate both the private and public </w:t>
      </w:r>
      <w:r w:rsidR="3A98D8A6" w:rsidRPr="000548FA">
        <w:rPr>
          <w:rFonts w:eastAsia="Verdana"/>
          <w:sz w:val="32"/>
          <w:szCs w:val="32"/>
        </w:rPr>
        <w:t>sectors about both the social and financial benefits of universal design.</w:t>
      </w:r>
      <w:r w:rsidR="00434596" w:rsidRPr="000548FA">
        <w:rPr>
          <w:rFonts w:eastAsia="Verdana"/>
          <w:sz w:val="32"/>
          <w:szCs w:val="32"/>
        </w:rPr>
        <w:t xml:space="preserve"> While there is an additional upfront cost to incorporate accessibility features into new builds</w:t>
      </w:r>
      <w:r w:rsidRPr="000548FA">
        <w:rPr>
          <w:rFonts w:eastAsia="Verdana"/>
          <w:sz w:val="32"/>
          <w:szCs w:val="32"/>
        </w:rPr>
        <w:t xml:space="preserve"> compared with standard builds, as discussed, there are much larger long-term and cross government savings from this early investment</w:t>
      </w:r>
      <w:r w:rsidR="5360FDE8" w:rsidRPr="000548FA">
        <w:rPr>
          <w:rFonts w:eastAsia="Verdana"/>
          <w:sz w:val="32"/>
          <w:szCs w:val="32"/>
        </w:rPr>
        <w:t>.</w:t>
      </w:r>
      <w:r w:rsidR="17490A85" w:rsidRPr="000548FA">
        <w:rPr>
          <w:rStyle w:val="FootnoteReference"/>
          <w:rFonts w:eastAsia="Verdana"/>
          <w:sz w:val="32"/>
          <w:szCs w:val="32"/>
          <w:lang w:val="en-NZ"/>
        </w:rPr>
        <w:footnoteReference w:id="101"/>
      </w:r>
    </w:p>
    <w:p w14:paraId="4A71C8CF" w14:textId="6B445D3C" w:rsidR="00BC594C" w:rsidRPr="000548FA" w:rsidRDefault="62B6DB48" w:rsidP="000548FA">
      <w:pPr>
        <w:pStyle w:val="ParaLevel1"/>
        <w:spacing w:line="360" w:lineRule="auto"/>
        <w:rPr>
          <w:rFonts w:eastAsia="Verdana"/>
          <w:sz w:val="32"/>
          <w:szCs w:val="32"/>
        </w:rPr>
      </w:pPr>
      <w:r w:rsidRPr="000548FA">
        <w:rPr>
          <w:rFonts w:eastAsia="Verdana"/>
          <w:sz w:val="32"/>
          <w:szCs w:val="32"/>
        </w:rPr>
        <w:t xml:space="preserve">Many agencies </w:t>
      </w:r>
      <w:r w:rsidR="276D63D0" w:rsidRPr="000548FA">
        <w:rPr>
          <w:rFonts w:eastAsia="Verdana"/>
          <w:sz w:val="32"/>
          <w:szCs w:val="32"/>
        </w:rPr>
        <w:t xml:space="preserve">are under budgetary and staffing pressures which could inhibit their ability to contribute to </w:t>
      </w:r>
      <w:r w:rsidR="276D63D0" w:rsidRPr="000548FA">
        <w:rPr>
          <w:rFonts w:eastAsia="Verdana"/>
          <w:sz w:val="32"/>
          <w:szCs w:val="32"/>
        </w:rPr>
        <w:lastRenderedPageBreak/>
        <w:t>new initiatives.</w:t>
      </w:r>
      <w:r w:rsidR="055AFF69" w:rsidRPr="000548FA">
        <w:rPr>
          <w:rFonts w:eastAsia="Verdana"/>
          <w:sz w:val="32"/>
          <w:szCs w:val="32"/>
        </w:rPr>
        <w:t xml:space="preserve"> Whaikaha can mitigate this by supporting other agencies to improve outcomes rather than delegating pieces of work in their entirety.</w:t>
      </w:r>
    </w:p>
    <w:p w14:paraId="073E6131" w14:textId="38B9C19B" w:rsidR="00494397" w:rsidRPr="000548FA" w:rsidRDefault="00051FBD" w:rsidP="000548FA">
      <w:pPr>
        <w:pStyle w:val="Heading2"/>
        <w:keepLines/>
        <w:spacing w:line="360" w:lineRule="auto"/>
        <w:rPr>
          <w:sz w:val="36"/>
          <w:szCs w:val="36"/>
        </w:rPr>
      </w:pPr>
      <w:r w:rsidRPr="000548FA">
        <w:rPr>
          <w:sz w:val="36"/>
          <w:szCs w:val="36"/>
        </w:rPr>
        <w:t>End</w:t>
      </w:r>
    </w:p>
    <w:p w14:paraId="7CD1E39D" w14:textId="77777777" w:rsidR="001F4EB0" w:rsidRPr="000548FA" w:rsidRDefault="001F4EB0" w:rsidP="000548FA">
      <w:pPr>
        <w:spacing w:line="360" w:lineRule="auto"/>
        <w:rPr>
          <w:sz w:val="32"/>
          <w:szCs w:val="32"/>
        </w:rPr>
      </w:pPr>
    </w:p>
    <w:p w14:paraId="161D4788" w14:textId="59CFF850" w:rsidR="00745B00" w:rsidRPr="000548FA" w:rsidRDefault="00745B00" w:rsidP="000548FA">
      <w:pPr>
        <w:spacing w:line="360" w:lineRule="auto"/>
        <w:rPr>
          <w:sz w:val="32"/>
          <w:szCs w:val="32"/>
        </w:rPr>
      </w:pPr>
      <w:r w:rsidRPr="000548FA">
        <w:rPr>
          <w:sz w:val="32"/>
          <w:szCs w:val="32"/>
        </w:rPr>
        <w:t xml:space="preserve">Author: </w:t>
      </w:r>
      <w:r w:rsidR="56CE867F" w:rsidRPr="000548FA">
        <w:rPr>
          <w:sz w:val="32"/>
          <w:szCs w:val="32"/>
        </w:rPr>
        <w:t>Celia Painter</w:t>
      </w:r>
      <w:r w:rsidRPr="000548FA">
        <w:rPr>
          <w:sz w:val="32"/>
          <w:szCs w:val="32"/>
        </w:rPr>
        <w:t>, Po</w:t>
      </w:r>
      <w:r w:rsidR="577A7A6E" w:rsidRPr="000548FA">
        <w:rPr>
          <w:sz w:val="32"/>
          <w:szCs w:val="32"/>
        </w:rPr>
        <w:t>licy Analyst</w:t>
      </w:r>
      <w:r w:rsidRPr="000548FA">
        <w:rPr>
          <w:sz w:val="32"/>
          <w:szCs w:val="32"/>
        </w:rPr>
        <w:t xml:space="preserve">, </w:t>
      </w:r>
      <w:r w:rsidR="35C52973" w:rsidRPr="000548FA">
        <w:rPr>
          <w:sz w:val="32"/>
          <w:szCs w:val="32"/>
        </w:rPr>
        <w:t>Policy and Insights</w:t>
      </w:r>
    </w:p>
    <w:p w14:paraId="4FD5ECDC" w14:textId="61198597" w:rsidR="00BD49C6" w:rsidRPr="004F6036" w:rsidRDefault="00745B00" w:rsidP="000548FA">
      <w:pPr>
        <w:spacing w:line="360" w:lineRule="auto"/>
        <w:sectPr w:rsidR="00BD49C6" w:rsidRPr="004F6036" w:rsidSect="00673780">
          <w:headerReference w:type="even" r:id="rId16"/>
          <w:headerReference w:type="default" r:id="rId17"/>
          <w:footerReference w:type="default" r:id="rId18"/>
          <w:headerReference w:type="first" r:id="rId19"/>
          <w:footerReference w:type="first" r:id="rId20"/>
          <w:pgSz w:w="11906" w:h="16838" w:code="9"/>
          <w:pgMar w:top="1134" w:right="1134" w:bottom="1134" w:left="1134" w:header="284" w:footer="284" w:gutter="0"/>
          <w:pgNumType w:start="1"/>
          <w:cols w:space="708"/>
          <w:titlePg/>
          <w:docGrid w:linePitch="360"/>
        </w:sectPr>
      </w:pPr>
      <w:r w:rsidRPr="000548FA">
        <w:rPr>
          <w:sz w:val="32"/>
          <w:szCs w:val="32"/>
        </w:rPr>
        <w:t xml:space="preserve">Responsible manager: </w:t>
      </w:r>
      <w:r w:rsidR="003F5236" w:rsidRPr="000548FA">
        <w:rPr>
          <w:sz w:val="32"/>
          <w:szCs w:val="32"/>
        </w:rPr>
        <w:t>Sohini Smith</w:t>
      </w:r>
      <w:r w:rsidRPr="000548FA">
        <w:rPr>
          <w:sz w:val="32"/>
          <w:szCs w:val="32"/>
        </w:rPr>
        <w:t>, Po</w:t>
      </w:r>
      <w:r w:rsidR="6A8350BF" w:rsidRPr="000548FA">
        <w:rPr>
          <w:sz w:val="32"/>
          <w:szCs w:val="32"/>
        </w:rPr>
        <w:t>licy Manager</w:t>
      </w:r>
      <w:r w:rsidRPr="000548FA">
        <w:rPr>
          <w:sz w:val="32"/>
          <w:szCs w:val="32"/>
        </w:rPr>
        <w:t xml:space="preserve">, </w:t>
      </w:r>
      <w:r w:rsidR="6D61578D" w:rsidRPr="000548FA">
        <w:rPr>
          <w:sz w:val="32"/>
          <w:szCs w:val="32"/>
        </w:rPr>
        <w:t>Policy and Insights</w:t>
      </w:r>
      <w:r w:rsidR="00BD49C6" w:rsidRPr="004F6036">
        <w:br w:type="page"/>
      </w:r>
    </w:p>
    <w:p w14:paraId="634AD5F9" w14:textId="63FF9E71" w:rsidR="00877A5E" w:rsidRDefault="000A0034" w:rsidP="00877A5E">
      <w:pPr>
        <w:pStyle w:val="Heading2"/>
        <w:rPr>
          <w:sz w:val="36"/>
          <w:szCs w:val="36"/>
        </w:rPr>
      </w:pPr>
      <w:bookmarkStart w:id="2" w:name="_Hlk190939270"/>
      <w:bookmarkStart w:id="3" w:name="_Hlk191288999"/>
      <w:r w:rsidRPr="000548FA">
        <w:rPr>
          <w:sz w:val="36"/>
          <w:szCs w:val="36"/>
        </w:rPr>
        <w:lastRenderedPageBreak/>
        <w:t>Appendix</w:t>
      </w:r>
      <w:bookmarkEnd w:id="2"/>
      <w:bookmarkEnd w:id="3"/>
      <w:r w:rsidR="00252AF9" w:rsidRPr="000548FA">
        <w:rPr>
          <w:sz w:val="36"/>
          <w:szCs w:val="36"/>
        </w:rPr>
        <w:t xml:space="preserve"> A: </w:t>
      </w:r>
      <w:r w:rsidR="004C75A0" w:rsidRPr="000548FA">
        <w:rPr>
          <w:sz w:val="36"/>
          <w:szCs w:val="36"/>
        </w:rPr>
        <w:t>Existing work programmes</w:t>
      </w:r>
      <w:r w:rsidR="002C0ADB" w:rsidRPr="000548FA">
        <w:rPr>
          <w:sz w:val="36"/>
          <w:szCs w:val="36"/>
        </w:rPr>
        <w:t>, strategies,</w:t>
      </w:r>
      <w:r w:rsidR="004C75A0" w:rsidRPr="000548FA">
        <w:rPr>
          <w:sz w:val="36"/>
          <w:szCs w:val="36"/>
        </w:rPr>
        <w:t xml:space="preserve"> and supports</w:t>
      </w:r>
      <w:r w:rsidR="00877A5E" w:rsidRPr="000548FA">
        <w:rPr>
          <w:sz w:val="36"/>
          <w:szCs w:val="36"/>
        </w:rPr>
        <w:t xml:space="preserve"> </w:t>
      </w:r>
    </w:p>
    <w:p w14:paraId="638DB190" w14:textId="189BD476" w:rsidR="009C242F" w:rsidRPr="00A2327C" w:rsidRDefault="009C242F" w:rsidP="009C242F">
      <w:pPr>
        <w:pStyle w:val="Heading2"/>
        <w:rPr>
          <w:sz w:val="32"/>
          <w:szCs w:val="32"/>
        </w:rPr>
      </w:pPr>
      <w:r w:rsidRPr="00A2327C">
        <w:rPr>
          <w:sz w:val="32"/>
          <w:szCs w:val="32"/>
        </w:rPr>
        <w:t xml:space="preserve">Mainstream existing supports </w:t>
      </w:r>
    </w:p>
    <w:p w14:paraId="3DD769A9" w14:textId="2D3263B9" w:rsidR="009C242F" w:rsidRPr="00A2327C" w:rsidRDefault="009C242F" w:rsidP="009C242F">
      <w:pPr>
        <w:rPr>
          <w:sz w:val="32"/>
          <w:szCs w:val="32"/>
        </w:rPr>
      </w:pPr>
      <w:r w:rsidRPr="00A2327C">
        <w:rPr>
          <w:sz w:val="32"/>
          <w:szCs w:val="32"/>
        </w:rPr>
        <w:t>Name of support: Transitional Housing</w:t>
      </w:r>
    </w:p>
    <w:p w14:paraId="4E19C6BA" w14:textId="46D4916F" w:rsidR="009C242F" w:rsidRPr="00A2327C" w:rsidRDefault="009C242F" w:rsidP="009C242F">
      <w:pPr>
        <w:rPr>
          <w:sz w:val="32"/>
          <w:szCs w:val="32"/>
        </w:rPr>
      </w:pPr>
      <w:r w:rsidRPr="00A2327C">
        <w:rPr>
          <w:sz w:val="32"/>
          <w:szCs w:val="32"/>
        </w:rPr>
        <w:t>Responsible parties: People in Transitional Housing pay rent of up to 25% of their income (in line with income-related rent). HUD funds the remaining costs. Approved social service providers manage transitional housing and are responsible for ensuring the properties are well-maintained. When a person applies for emergency housing, MSD first checks if Transitional Housing is available.</w:t>
      </w:r>
    </w:p>
    <w:p w14:paraId="3EBCFF4B" w14:textId="47D1B562" w:rsidR="009C242F" w:rsidRPr="00A2327C" w:rsidRDefault="009C242F" w:rsidP="009C242F">
      <w:pPr>
        <w:rPr>
          <w:sz w:val="32"/>
          <w:szCs w:val="32"/>
        </w:rPr>
      </w:pPr>
      <w:r w:rsidRPr="00A2327C">
        <w:rPr>
          <w:sz w:val="32"/>
          <w:szCs w:val="32"/>
        </w:rPr>
        <w:t>Objective: Transitional housing provides temporary accommodation for people who do not have anywhere to live and urgently need a place to stay. It also offers tailored support to help those persons into longer-term housing.</w:t>
      </w:r>
    </w:p>
    <w:p w14:paraId="15BEE479" w14:textId="66FDFD3D" w:rsidR="009C242F" w:rsidRPr="00A2327C" w:rsidRDefault="009C242F" w:rsidP="009C242F">
      <w:pPr>
        <w:rPr>
          <w:sz w:val="32"/>
          <w:szCs w:val="32"/>
        </w:rPr>
      </w:pPr>
      <w:r w:rsidRPr="00A2327C">
        <w:rPr>
          <w:sz w:val="32"/>
          <w:szCs w:val="32"/>
        </w:rPr>
        <w:t>Indicators: As of November 2024, there were 6,375 Transitional Housing places available.</w:t>
      </w:r>
      <w:r w:rsidRPr="00A2327C">
        <w:rPr>
          <w:rStyle w:val="FootnoteReference"/>
          <w:sz w:val="32"/>
          <w:szCs w:val="32"/>
          <w:lang w:val="en-NZ"/>
        </w:rPr>
        <w:footnoteReference w:id="102"/>
      </w:r>
    </w:p>
    <w:p w14:paraId="5D09391B" w14:textId="77777777" w:rsidR="009C242F" w:rsidRPr="00A2327C" w:rsidRDefault="009C242F" w:rsidP="009C242F">
      <w:pPr>
        <w:rPr>
          <w:sz w:val="32"/>
          <w:szCs w:val="32"/>
        </w:rPr>
      </w:pPr>
    </w:p>
    <w:p w14:paraId="4A31402C" w14:textId="01AA518B" w:rsidR="009C242F" w:rsidRPr="00A2327C" w:rsidRDefault="009C242F" w:rsidP="009C242F">
      <w:pPr>
        <w:rPr>
          <w:sz w:val="32"/>
          <w:szCs w:val="32"/>
        </w:rPr>
      </w:pPr>
      <w:r w:rsidRPr="00A2327C">
        <w:rPr>
          <w:sz w:val="32"/>
          <w:szCs w:val="32"/>
        </w:rPr>
        <w:t>Name of support: Emergency Housing</w:t>
      </w:r>
    </w:p>
    <w:p w14:paraId="5E77AF46" w14:textId="11975C8A" w:rsidR="009C242F" w:rsidRPr="00A2327C" w:rsidRDefault="009C242F" w:rsidP="009C242F">
      <w:pPr>
        <w:rPr>
          <w:sz w:val="32"/>
          <w:szCs w:val="32"/>
        </w:rPr>
      </w:pPr>
      <w:r w:rsidRPr="00A2327C">
        <w:rPr>
          <w:sz w:val="32"/>
          <w:szCs w:val="32"/>
        </w:rPr>
        <w:t>Responsible parties: MSD funds emergency housing for people who meet certain criteria.</w:t>
      </w:r>
    </w:p>
    <w:p w14:paraId="308C01B9" w14:textId="09AFB3D5" w:rsidR="009C242F" w:rsidRPr="00A2327C" w:rsidRDefault="009C242F" w:rsidP="009C242F">
      <w:pPr>
        <w:rPr>
          <w:sz w:val="32"/>
          <w:szCs w:val="32"/>
        </w:rPr>
      </w:pPr>
      <w:r w:rsidRPr="00A2327C">
        <w:rPr>
          <w:sz w:val="32"/>
          <w:szCs w:val="32"/>
        </w:rPr>
        <w:t>Objective: Emergency housing provides short-term accommodation in places such as boarding houses, backpackers, or motels.</w:t>
      </w:r>
    </w:p>
    <w:p w14:paraId="062AE243" w14:textId="4D0F13A4" w:rsidR="009C242F" w:rsidRPr="00A2327C" w:rsidRDefault="009C242F" w:rsidP="009C242F">
      <w:pPr>
        <w:rPr>
          <w:sz w:val="32"/>
          <w:szCs w:val="32"/>
        </w:rPr>
      </w:pPr>
      <w:r w:rsidRPr="00A2327C">
        <w:rPr>
          <w:sz w:val="32"/>
          <w:szCs w:val="32"/>
        </w:rPr>
        <w:t>Indicators: As of 31 February 2025, there were 555 households in emergency housing (including Contracted Emergency Housing).</w:t>
      </w:r>
      <w:r w:rsidRPr="00A2327C">
        <w:rPr>
          <w:rStyle w:val="FootnoteReference"/>
          <w:sz w:val="32"/>
          <w:szCs w:val="32"/>
          <w:lang w:val="en-NZ"/>
        </w:rPr>
        <w:footnoteReference w:id="103"/>
      </w:r>
    </w:p>
    <w:p w14:paraId="575E2069" w14:textId="77777777" w:rsidR="009C242F" w:rsidRPr="00A2327C" w:rsidRDefault="009C242F" w:rsidP="009C242F">
      <w:pPr>
        <w:rPr>
          <w:sz w:val="32"/>
          <w:szCs w:val="32"/>
        </w:rPr>
      </w:pPr>
    </w:p>
    <w:p w14:paraId="1F154C08" w14:textId="71EA6E37" w:rsidR="009C242F" w:rsidRPr="00A2327C" w:rsidRDefault="009C242F" w:rsidP="009C242F">
      <w:pPr>
        <w:rPr>
          <w:sz w:val="32"/>
          <w:szCs w:val="32"/>
        </w:rPr>
      </w:pPr>
      <w:r w:rsidRPr="00A2327C">
        <w:rPr>
          <w:sz w:val="32"/>
          <w:szCs w:val="32"/>
        </w:rPr>
        <w:t>Name of support: Income-related rent subsidy (IRRS)</w:t>
      </w:r>
    </w:p>
    <w:p w14:paraId="0F129544" w14:textId="6E65238D" w:rsidR="009C242F" w:rsidRPr="00A2327C" w:rsidRDefault="009C242F" w:rsidP="009C242F">
      <w:pPr>
        <w:pStyle w:val="ParaLevel1"/>
        <w:numPr>
          <w:ilvl w:val="0"/>
          <w:numId w:val="0"/>
        </w:numPr>
        <w:rPr>
          <w:sz w:val="32"/>
          <w:szCs w:val="32"/>
        </w:rPr>
      </w:pPr>
      <w:r w:rsidRPr="00A2327C">
        <w:rPr>
          <w:sz w:val="32"/>
          <w:szCs w:val="32"/>
        </w:rPr>
        <w:t>Responsible parties: People living in social housing must pay a portion of their income, generally 25%, as rent. MSD calculates how much a person needs to pay. HUD then pays the balance between what the tenant pays and the market rent for the property to the housing provider.</w:t>
      </w:r>
      <w:r w:rsidR="00B43248">
        <w:rPr>
          <w:sz w:val="32"/>
          <w:szCs w:val="32"/>
        </w:rPr>
        <w:t xml:space="preserve"> </w:t>
      </w:r>
      <w:r w:rsidRPr="00A2327C">
        <w:rPr>
          <w:sz w:val="32"/>
          <w:szCs w:val="32"/>
        </w:rPr>
        <w:t>MSD also provides support to eligible people to help pay day-to-day household costs such as power, gas, heating, phones, and urgent and unexpected costs.</w:t>
      </w:r>
    </w:p>
    <w:p w14:paraId="56F51AAF" w14:textId="6BA3BBCE" w:rsidR="009C242F" w:rsidRPr="00A2327C" w:rsidRDefault="009C242F" w:rsidP="009C242F">
      <w:pPr>
        <w:rPr>
          <w:sz w:val="32"/>
          <w:szCs w:val="32"/>
        </w:rPr>
      </w:pPr>
      <w:r w:rsidRPr="00A2327C">
        <w:rPr>
          <w:sz w:val="32"/>
          <w:szCs w:val="32"/>
        </w:rPr>
        <w:t>Objective: Paying the IRRS so community housing providers continue to receive market rents improves the feasibility of development opportunities.</w:t>
      </w:r>
    </w:p>
    <w:p w14:paraId="140D8245" w14:textId="2C26E0EE" w:rsidR="009C242F" w:rsidRPr="00A2327C" w:rsidRDefault="009C242F" w:rsidP="009C242F">
      <w:pPr>
        <w:rPr>
          <w:sz w:val="32"/>
          <w:szCs w:val="32"/>
        </w:rPr>
      </w:pPr>
      <w:r w:rsidRPr="00A2327C">
        <w:rPr>
          <w:sz w:val="32"/>
          <w:szCs w:val="32"/>
        </w:rPr>
        <w:lastRenderedPageBreak/>
        <w:t>Indicators: The majority of social housing tenants receive the IRRS.</w:t>
      </w:r>
    </w:p>
    <w:p w14:paraId="28FD78F0" w14:textId="77777777" w:rsidR="009C242F" w:rsidRPr="00A2327C" w:rsidRDefault="009C242F" w:rsidP="009C242F">
      <w:pPr>
        <w:rPr>
          <w:sz w:val="32"/>
          <w:szCs w:val="32"/>
        </w:rPr>
      </w:pPr>
    </w:p>
    <w:p w14:paraId="45BFD3C1" w14:textId="23352995" w:rsidR="009C242F" w:rsidRPr="00A2327C" w:rsidRDefault="009C242F" w:rsidP="009C242F">
      <w:pPr>
        <w:rPr>
          <w:sz w:val="32"/>
          <w:szCs w:val="32"/>
        </w:rPr>
      </w:pPr>
      <w:r w:rsidRPr="00A2327C">
        <w:rPr>
          <w:sz w:val="32"/>
          <w:szCs w:val="32"/>
        </w:rPr>
        <w:t>Name of support: Building Act 2004</w:t>
      </w:r>
    </w:p>
    <w:p w14:paraId="6B2B762B" w14:textId="30AE13AB" w:rsidR="009C242F" w:rsidRPr="00A2327C" w:rsidRDefault="009C242F" w:rsidP="009C242F">
      <w:pPr>
        <w:rPr>
          <w:sz w:val="32"/>
          <w:szCs w:val="32"/>
        </w:rPr>
      </w:pPr>
      <w:r w:rsidRPr="00A2327C">
        <w:rPr>
          <w:sz w:val="32"/>
          <w:szCs w:val="32"/>
        </w:rPr>
        <w:t>Responsible parties: The Ministry of Business, Innovation, and Employment (MBIE) administers the Building Act 2004.</w:t>
      </w:r>
    </w:p>
    <w:p w14:paraId="15201EFD" w14:textId="2DB743D0" w:rsidR="009C242F" w:rsidRPr="00A2327C" w:rsidRDefault="009C242F" w:rsidP="009C242F">
      <w:pPr>
        <w:pStyle w:val="ParaLevel1"/>
        <w:numPr>
          <w:ilvl w:val="0"/>
          <w:numId w:val="0"/>
        </w:numPr>
        <w:rPr>
          <w:sz w:val="32"/>
          <w:szCs w:val="32"/>
        </w:rPr>
      </w:pPr>
      <w:r w:rsidRPr="00A2327C">
        <w:rPr>
          <w:sz w:val="32"/>
          <w:szCs w:val="32"/>
        </w:rPr>
        <w:t xml:space="preserve">Objective: The Building Code is contained in Schedule 1 of the Building Regulations 1992 and sets the minimum performance standards that buildings must meet. </w:t>
      </w:r>
    </w:p>
    <w:p w14:paraId="7D612E67" w14:textId="0C518064" w:rsidR="009C242F" w:rsidRPr="00A2327C" w:rsidRDefault="009C242F" w:rsidP="009C242F">
      <w:pPr>
        <w:rPr>
          <w:sz w:val="32"/>
          <w:szCs w:val="32"/>
        </w:rPr>
      </w:pPr>
      <w:r w:rsidRPr="00A2327C">
        <w:rPr>
          <w:sz w:val="32"/>
          <w:szCs w:val="32"/>
        </w:rPr>
        <w:t>The Building Act and Building Code include provisions requiring accessibility features in public buildings and sets specifications for those features. They do not, however, require minimum accessibility features in private and residential buildings.</w:t>
      </w:r>
    </w:p>
    <w:p w14:paraId="572BE65C" w14:textId="77777777" w:rsidR="009C242F" w:rsidRPr="00A2327C" w:rsidRDefault="009C242F" w:rsidP="009C242F">
      <w:pPr>
        <w:rPr>
          <w:sz w:val="32"/>
          <w:szCs w:val="32"/>
        </w:rPr>
      </w:pPr>
    </w:p>
    <w:p w14:paraId="2D169C6D" w14:textId="46FACC41" w:rsidR="009C242F" w:rsidRPr="00A2327C" w:rsidRDefault="009C242F" w:rsidP="00A2327C">
      <w:pPr>
        <w:pStyle w:val="Heading2"/>
        <w:rPr>
          <w:sz w:val="32"/>
          <w:szCs w:val="32"/>
        </w:rPr>
      </w:pPr>
      <w:r w:rsidRPr="00A2327C">
        <w:rPr>
          <w:sz w:val="32"/>
          <w:szCs w:val="32"/>
        </w:rPr>
        <w:t xml:space="preserve">Population-specific work programmes and strategies </w:t>
      </w:r>
    </w:p>
    <w:p w14:paraId="75F2FA4F" w14:textId="3935BD60" w:rsidR="009C242F" w:rsidRPr="00A2327C" w:rsidRDefault="009C242F" w:rsidP="00A2327C">
      <w:pPr>
        <w:pStyle w:val="ParaLevel1"/>
        <w:numPr>
          <w:ilvl w:val="0"/>
          <w:numId w:val="0"/>
        </w:numPr>
        <w:rPr>
          <w:sz w:val="32"/>
          <w:szCs w:val="32"/>
        </w:rPr>
      </w:pPr>
      <w:r w:rsidRPr="00A2327C">
        <w:rPr>
          <w:sz w:val="32"/>
          <w:szCs w:val="32"/>
        </w:rPr>
        <w:t>Name of initiative: Pacific Housing Initiative</w:t>
      </w:r>
    </w:p>
    <w:p w14:paraId="057993A0" w14:textId="6A1D0529" w:rsidR="009C242F" w:rsidRPr="00A2327C" w:rsidRDefault="009C242F" w:rsidP="009C242F">
      <w:pPr>
        <w:rPr>
          <w:sz w:val="32"/>
          <w:szCs w:val="32"/>
        </w:rPr>
      </w:pPr>
      <w:r w:rsidRPr="00A2327C">
        <w:rPr>
          <w:sz w:val="32"/>
          <w:szCs w:val="32"/>
        </w:rPr>
        <w:t>Responsible parties: The Ministry for Pacific Peoples administers the Pacific Housing Initiative.</w:t>
      </w:r>
    </w:p>
    <w:p w14:paraId="24211C65" w14:textId="40AFE6AA" w:rsidR="009C242F" w:rsidRPr="00A2327C" w:rsidRDefault="009C242F" w:rsidP="009C242F">
      <w:pPr>
        <w:rPr>
          <w:sz w:val="32"/>
          <w:szCs w:val="32"/>
        </w:rPr>
      </w:pPr>
      <w:r w:rsidRPr="00A2327C">
        <w:rPr>
          <w:sz w:val="32"/>
          <w:szCs w:val="32"/>
        </w:rPr>
        <w:t>Objective: The Initiative aims to deliver change through: building financial literacy services to help Pacific families cope with economic challenges and save towards home ownership; build Pacific organisations to increase the number delivering improved housing to Pacific families; supporting Pacific organisations to partner and build affordable homes for Pacific families, and create more employment opportunities in building those homes; and increasing regional migration opportunities to support Pacific peoples to create their own success outside of metropolitan cities.</w:t>
      </w:r>
      <w:r w:rsidRPr="00A2327C">
        <w:rPr>
          <w:rStyle w:val="FootnoteReference"/>
          <w:sz w:val="32"/>
          <w:szCs w:val="32"/>
          <w:lang w:val="en-NZ"/>
        </w:rPr>
        <w:footnoteReference w:id="104"/>
      </w:r>
    </w:p>
    <w:p w14:paraId="63F2D56F" w14:textId="77777777" w:rsidR="009C242F" w:rsidRPr="00A2327C" w:rsidRDefault="009C242F" w:rsidP="009C242F">
      <w:pPr>
        <w:rPr>
          <w:sz w:val="32"/>
          <w:szCs w:val="32"/>
        </w:rPr>
      </w:pPr>
    </w:p>
    <w:p w14:paraId="6633B403" w14:textId="008B58A5" w:rsidR="009C242F" w:rsidRPr="00A2327C" w:rsidRDefault="009C242F" w:rsidP="009C242F">
      <w:pPr>
        <w:rPr>
          <w:sz w:val="32"/>
          <w:szCs w:val="32"/>
        </w:rPr>
      </w:pPr>
      <w:r w:rsidRPr="00A2327C">
        <w:rPr>
          <w:sz w:val="32"/>
          <w:szCs w:val="32"/>
        </w:rPr>
        <w:t>Name of initiative: Our Whare Our Fale (OWOF) and Pacific Building Affordable Homes (PBAH)</w:t>
      </w:r>
    </w:p>
    <w:p w14:paraId="688DB5F2" w14:textId="7C17DBC7" w:rsidR="009C242F" w:rsidRPr="00A2327C" w:rsidRDefault="009C242F" w:rsidP="009C242F">
      <w:pPr>
        <w:rPr>
          <w:sz w:val="32"/>
          <w:szCs w:val="32"/>
        </w:rPr>
      </w:pPr>
      <w:r w:rsidRPr="00A2327C">
        <w:rPr>
          <w:sz w:val="32"/>
          <w:szCs w:val="32"/>
        </w:rPr>
        <w:t>Responsible parties:</w:t>
      </w:r>
      <w:r w:rsidRPr="00A2327C">
        <w:rPr>
          <w:rStyle w:val="normaltextrun"/>
          <w:rFonts w:cs="Calibri"/>
          <w:color w:val="000000"/>
          <w:sz w:val="32"/>
          <w:szCs w:val="32"/>
          <w:shd w:val="clear" w:color="auto" w:fill="FFFFFF"/>
        </w:rPr>
        <w:t xml:space="preserve"> Administered by the Ministry for Pacific Peoples, in collaboration with Kāinga Ora and the Ministry of Housing and Urban Development.</w:t>
      </w:r>
    </w:p>
    <w:p w14:paraId="1F8A0378" w14:textId="38A9646D" w:rsidR="009C242F" w:rsidRPr="00A2327C" w:rsidRDefault="009C242F" w:rsidP="009C242F">
      <w:pPr>
        <w:rPr>
          <w:sz w:val="32"/>
          <w:szCs w:val="32"/>
        </w:rPr>
      </w:pPr>
      <w:r w:rsidRPr="00A2327C">
        <w:rPr>
          <w:sz w:val="32"/>
          <w:szCs w:val="32"/>
        </w:rPr>
        <w:t>Objective:</w:t>
      </w:r>
      <w:r w:rsidRPr="00A2327C">
        <w:rPr>
          <w:rStyle w:val="normaltextrun"/>
          <w:rFonts w:cs="Calibri"/>
          <w:color w:val="000000"/>
          <w:sz w:val="32"/>
          <w:szCs w:val="32"/>
          <w:shd w:val="clear" w:color="auto" w:fill="FFFFFF"/>
        </w:rPr>
        <w:t xml:space="preserve"> To contribute to the supply of affordable fit-for purpose homes, enabling Pacific home ownership, and serving as a foundation for building intergenerational wealth. </w:t>
      </w:r>
    </w:p>
    <w:p w14:paraId="0CB3E46B" w14:textId="70308014" w:rsidR="009C242F" w:rsidRPr="00A2327C" w:rsidRDefault="009C242F" w:rsidP="009C242F">
      <w:pPr>
        <w:rPr>
          <w:sz w:val="32"/>
          <w:szCs w:val="32"/>
        </w:rPr>
      </w:pPr>
      <w:r w:rsidRPr="00A2327C">
        <w:rPr>
          <w:sz w:val="32"/>
          <w:szCs w:val="32"/>
        </w:rPr>
        <w:lastRenderedPageBreak/>
        <w:t>Indicators:</w:t>
      </w:r>
      <w:r w:rsidRPr="00A2327C">
        <w:rPr>
          <w:rStyle w:val="normaltextrun"/>
          <w:rFonts w:cs="Calibri"/>
          <w:color w:val="000000"/>
          <w:sz w:val="32"/>
          <w:szCs w:val="32"/>
          <w:shd w:val="clear" w:color="auto" w:fill="FFFFFF"/>
        </w:rPr>
        <w:t xml:space="preserve"> Through the OWOF and PBAH initiatives, the Ministry for Pacific Peoples collaborates with providers and developers to build up to 85 homes by December 2026. </w:t>
      </w:r>
      <w:r w:rsidRPr="00A2327C">
        <w:rPr>
          <w:rStyle w:val="eop"/>
          <w:rFonts w:cs="Calibri"/>
          <w:color w:val="000000"/>
          <w:sz w:val="32"/>
          <w:szCs w:val="32"/>
          <w:shd w:val="clear" w:color="auto" w:fill="FFFFFF"/>
        </w:rPr>
        <w:t> </w:t>
      </w:r>
    </w:p>
    <w:p w14:paraId="28086C69" w14:textId="77777777" w:rsidR="009C242F" w:rsidRPr="00A2327C" w:rsidRDefault="009C242F" w:rsidP="009C242F">
      <w:pPr>
        <w:rPr>
          <w:sz w:val="32"/>
          <w:szCs w:val="32"/>
        </w:rPr>
      </w:pPr>
    </w:p>
    <w:p w14:paraId="74B71B9F" w14:textId="5030F965" w:rsidR="009C242F" w:rsidRPr="00A2327C" w:rsidRDefault="009C242F" w:rsidP="009C242F">
      <w:pPr>
        <w:rPr>
          <w:sz w:val="32"/>
          <w:szCs w:val="32"/>
        </w:rPr>
      </w:pPr>
      <w:r w:rsidRPr="00A2327C">
        <w:rPr>
          <w:sz w:val="32"/>
          <w:szCs w:val="32"/>
        </w:rPr>
        <w:t>Name of initiative: Financial capability training</w:t>
      </w:r>
    </w:p>
    <w:p w14:paraId="2FAB9807" w14:textId="15959732" w:rsidR="009C242F" w:rsidRPr="00A2327C" w:rsidRDefault="009C242F" w:rsidP="009C242F">
      <w:pPr>
        <w:rPr>
          <w:sz w:val="32"/>
          <w:szCs w:val="32"/>
        </w:rPr>
      </w:pPr>
      <w:r w:rsidRPr="00A2327C">
        <w:rPr>
          <w:sz w:val="32"/>
          <w:szCs w:val="32"/>
        </w:rPr>
        <w:t>Responsible parties:</w:t>
      </w:r>
      <w:r w:rsidRPr="00A2327C">
        <w:rPr>
          <w:rStyle w:val="normaltextrun"/>
          <w:rFonts w:cs="Calibri"/>
          <w:color w:val="000000"/>
          <w:sz w:val="32"/>
          <w:szCs w:val="32"/>
          <w:shd w:val="clear" w:color="auto" w:fill="FFFFFF"/>
        </w:rPr>
        <w:t xml:space="preserve"> The Ministry for Pacific Peoples delivers financial capability training and mentorship for Pacific peoples across New Zealand.</w:t>
      </w:r>
    </w:p>
    <w:p w14:paraId="64F4025B" w14:textId="2B0E45BC" w:rsidR="009C242F" w:rsidRPr="00A2327C" w:rsidRDefault="009C242F" w:rsidP="009C242F">
      <w:pPr>
        <w:rPr>
          <w:sz w:val="32"/>
          <w:szCs w:val="32"/>
        </w:rPr>
      </w:pPr>
      <w:r w:rsidRPr="00A2327C">
        <w:rPr>
          <w:sz w:val="32"/>
          <w:szCs w:val="32"/>
        </w:rPr>
        <w:t>Objective:</w:t>
      </w:r>
      <w:r w:rsidRPr="00A2327C">
        <w:rPr>
          <w:rStyle w:val="normaltextrun"/>
          <w:rFonts w:cs="Calibri"/>
          <w:color w:val="000000"/>
          <w:sz w:val="32"/>
          <w:szCs w:val="32"/>
          <w:shd w:val="clear" w:color="auto" w:fill="FFFFFF"/>
        </w:rPr>
        <w:t xml:space="preserve"> To strengthen financial literacy and help manage personal finances to generate savings towards home ownership.  </w:t>
      </w:r>
    </w:p>
    <w:p w14:paraId="000B57A5" w14:textId="08316D0B" w:rsidR="009C242F" w:rsidRPr="00A2327C" w:rsidRDefault="009C242F" w:rsidP="009C242F">
      <w:pPr>
        <w:rPr>
          <w:sz w:val="32"/>
          <w:szCs w:val="32"/>
        </w:rPr>
      </w:pPr>
      <w:r w:rsidRPr="00A2327C">
        <w:rPr>
          <w:sz w:val="32"/>
          <w:szCs w:val="32"/>
        </w:rPr>
        <w:t>Indicators:</w:t>
      </w:r>
      <w:r w:rsidRPr="00A2327C">
        <w:rPr>
          <w:rStyle w:val="normaltextrun"/>
          <w:rFonts w:cs="Calibri"/>
          <w:color w:val="000000"/>
          <w:sz w:val="32"/>
          <w:szCs w:val="32"/>
          <w:shd w:val="clear" w:color="auto" w:fill="FFFFFF"/>
        </w:rPr>
        <w:t xml:space="preserve"> This has resulted in 361 Pacific families being able to purchase their own home and 36 families avoiding losing their homes through mortgagee sales between June 2021 and June 2024. </w:t>
      </w:r>
      <w:r w:rsidRPr="00A2327C">
        <w:rPr>
          <w:rStyle w:val="eop"/>
          <w:rFonts w:cs="Calibri"/>
          <w:color w:val="000000"/>
          <w:sz w:val="32"/>
          <w:szCs w:val="32"/>
          <w:shd w:val="clear" w:color="auto" w:fill="FFFFFF"/>
        </w:rPr>
        <w:t> </w:t>
      </w:r>
    </w:p>
    <w:p w14:paraId="3254A7D3" w14:textId="77777777" w:rsidR="009C242F" w:rsidRPr="00A2327C" w:rsidRDefault="009C242F" w:rsidP="009C242F">
      <w:pPr>
        <w:rPr>
          <w:sz w:val="32"/>
          <w:szCs w:val="32"/>
        </w:rPr>
      </w:pPr>
    </w:p>
    <w:p w14:paraId="4FE0C670" w14:textId="2500EA9B" w:rsidR="009C242F" w:rsidRPr="00A2327C" w:rsidRDefault="009C242F" w:rsidP="009C242F">
      <w:pPr>
        <w:rPr>
          <w:sz w:val="32"/>
          <w:szCs w:val="32"/>
        </w:rPr>
      </w:pPr>
      <w:r w:rsidRPr="00A2327C">
        <w:rPr>
          <w:sz w:val="32"/>
          <w:szCs w:val="32"/>
        </w:rPr>
        <w:t>Name of initiative: Pacific Healthy Homes Initiative (PPHHI)</w:t>
      </w:r>
    </w:p>
    <w:p w14:paraId="7D29947F" w14:textId="497BB020" w:rsidR="009C242F" w:rsidRPr="00A2327C" w:rsidRDefault="009C242F" w:rsidP="009C242F">
      <w:pPr>
        <w:rPr>
          <w:sz w:val="32"/>
          <w:szCs w:val="32"/>
        </w:rPr>
      </w:pPr>
      <w:r w:rsidRPr="00A2327C">
        <w:rPr>
          <w:sz w:val="32"/>
          <w:szCs w:val="32"/>
        </w:rPr>
        <w:t>Responsible parties:</w:t>
      </w:r>
      <w:r w:rsidRPr="00A2327C">
        <w:rPr>
          <w:rStyle w:val="normaltextrun"/>
          <w:rFonts w:cs="Calibri"/>
          <w:color w:val="000000"/>
          <w:sz w:val="32"/>
          <w:szCs w:val="32"/>
          <w:shd w:val="clear" w:color="auto" w:fill="FFFFFF"/>
        </w:rPr>
        <w:t xml:space="preserve"> Jointly led by the Ministry for Pacific Peoples in partnership with Health New Zealand, the Energy Efficiency &amp; Conservation Authority, existing healthy home providers and Pacific providers. </w:t>
      </w:r>
    </w:p>
    <w:p w14:paraId="3F32B5DC" w14:textId="6D3DFC07" w:rsidR="009C242F" w:rsidRPr="00A2327C" w:rsidRDefault="009C242F" w:rsidP="009C242F">
      <w:pPr>
        <w:rPr>
          <w:sz w:val="32"/>
          <w:szCs w:val="32"/>
        </w:rPr>
      </w:pPr>
      <w:r w:rsidRPr="00A2327C">
        <w:rPr>
          <w:sz w:val="32"/>
          <w:szCs w:val="32"/>
        </w:rPr>
        <w:t>Objective:</w:t>
      </w:r>
      <w:r w:rsidRPr="00A2327C">
        <w:rPr>
          <w:rStyle w:val="normaltextrun"/>
          <w:rFonts w:cs="Calibri"/>
          <w:color w:val="000000"/>
          <w:sz w:val="32"/>
          <w:szCs w:val="32"/>
          <w:shd w:val="clear" w:color="auto" w:fill="FFFFFF"/>
        </w:rPr>
        <w:t xml:space="preserve"> To improve housing conditions for Pacific families with elders experiencing high hospitalisation rates in Porirua and South Auckland. </w:t>
      </w:r>
    </w:p>
    <w:p w14:paraId="17779E27" w14:textId="5D2B5C97" w:rsidR="009C242F" w:rsidRPr="00A2327C" w:rsidRDefault="009C242F" w:rsidP="009C242F">
      <w:pPr>
        <w:rPr>
          <w:sz w:val="32"/>
          <w:szCs w:val="32"/>
        </w:rPr>
      </w:pPr>
      <w:r w:rsidRPr="00A2327C">
        <w:rPr>
          <w:sz w:val="32"/>
          <w:szCs w:val="32"/>
        </w:rPr>
        <w:t>Indicators:</w:t>
      </w:r>
      <w:r w:rsidRPr="00A2327C">
        <w:rPr>
          <w:rStyle w:val="normaltextrun"/>
          <w:rFonts w:cs="Calibri"/>
          <w:color w:val="000000"/>
          <w:sz w:val="32"/>
          <w:szCs w:val="32"/>
          <w:shd w:val="clear" w:color="auto" w:fill="FFFFFF"/>
        </w:rPr>
        <w:t xml:space="preserve"> As of November 2024, the PHHI had delivered 1,103 interventions, more than double the original target. </w:t>
      </w:r>
      <w:r w:rsidRPr="00A2327C">
        <w:rPr>
          <w:rStyle w:val="eop"/>
          <w:rFonts w:cs="Calibri"/>
          <w:color w:val="000000"/>
          <w:sz w:val="32"/>
          <w:szCs w:val="32"/>
          <w:shd w:val="clear" w:color="auto" w:fill="FFFFFF"/>
        </w:rPr>
        <w:t> </w:t>
      </w:r>
    </w:p>
    <w:p w14:paraId="5014FAA7" w14:textId="77777777" w:rsidR="009C242F" w:rsidRPr="00A2327C" w:rsidRDefault="009C242F" w:rsidP="009C242F">
      <w:pPr>
        <w:rPr>
          <w:sz w:val="32"/>
          <w:szCs w:val="32"/>
        </w:rPr>
      </w:pPr>
    </w:p>
    <w:p w14:paraId="4CCE4723" w14:textId="6782E872" w:rsidR="009C242F" w:rsidRPr="00A2327C" w:rsidRDefault="009C242F" w:rsidP="009C242F">
      <w:pPr>
        <w:pStyle w:val="ParaLevel1"/>
        <w:numPr>
          <w:ilvl w:val="0"/>
          <w:numId w:val="0"/>
        </w:numPr>
        <w:rPr>
          <w:sz w:val="32"/>
          <w:szCs w:val="32"/>
        </w:rPr>
      </w:pPr>
      <w:r w:rsidRPr="00A2327C">
        <w:rPr>
          <w:sz w:val="32"/>
          <w:szCs w:val="32"/>
        </w:rPr>
        <w:t>Name of initiative: Sorted Kāinga Ora</w:t>
      </w:r>
    </w:p>
    <w:p w14:paraId="208BED86" w14:textId="3EF9C618" w:rsidR="009C242F" w:rsidRPr="00A2327C" w:rsidRDefault="009C242F" w:rsidP="009C242F">
      <w:pPr>
        <w:rPr>
          <w:sz w:val="32"/>
          <w:szCs w:val="32"/>
        </w:rPr>
      </w:pPr>
      <w:r w:rsidRPr="00A2327C">
        <w:rPr>
          <w:sz w:val="32"/>
          <w:szCs w:val="32"/>
        </w:rPr>
        <w:t xml:space="preserve">Responsible parties: Te Puni Kōkiri contracts rōpū to deliver the </w:t>
      </w:r>
      <w:r w:rsidRPr="00A2327C">
        <w:rPr>
          <w:i/>
          <w:iCs/>
          <w:sz w:val="32"/>
          <w:szCs w:val="32"/>
        </w:rPr>
        <w:t>Sorted Kāinga Ora</w:t>
      </w:r>
      <w:r w:rsidRPr="00A2327C">
        <w:rPr>
          <w:sz w:val="32"/>
          <w:szCs w:val="32"/>
        </w:rPr>
        <w:t xml:space="preserve"> programme.</w:t>
      </w:r>
    </w:p>
    <w:p w14:paraId="3323DF0F" w14:textId="7106D8F3" w:rsidR="009C242F" w:rsidRPr="00A2327C" w:rsidRDefault="009C242F" w:rsidP="009C242F">
      <w:pPr>
        <w:rPr>
          <w:sz w:val="32"/>
          <w:szCs w:val="32"/>
        </w:rPr>
      </w:pPr>
      <w:r w:rsidRPr="00A2327C">
        <w:rPr>
          <w:sz w:val="32"/>
          <w:szCs w:val="32"/>
        </w:rPr>
        <w:t>Objective: To support whānau to build their financial capability and implement their plan for housing.</w:t>
      </w:r>
      <w:r w:rsidRPr="00A2327C">
        <w:rPr>
          <w:rStyle w:val="FootnoteReference"/>
          <w:sz w:val="32"/>
          <w:szCs w:val="32"/>
          <w:lang w:val="en-NZ"/>
        </w:rPr>
        <w:footnoteReference w:id="105"/>
      </w:r>
    </w:p>
    <w:p w14:paraId="023110D4" w14:textId="68716E81" w:rsidR="009C242F" w:rsidRPr="00A2327C" w:rsidRDefault="009C242F" w:rsidP="009C242F">
      <w:pPr>
        <w:rPr>
          <w:sz w:val="32"/>
          <w:szCs w:val="32"/>
        </w:rPr>
      </w:pPr>
      <w:r w:rsidRPr="00A2327C">
        <w:rPr>
          <w:sz w:val="32"/>
          <w:szCs w:val="32"/>
        </w:rPr>
        <w:t>Indicators: The 2024 evaluation report of Sorted Kāinga Ora found that “the programme is having positive impacts for Māori individuals, whānau, and hapori. It is whānau-centred, delivery is underpinned by Māori principles and values, and strong facilitation and content all contribute to the success of the programme.”</w:t>
      </w:r>
      <w:r w:rsidRPr="00A2327C">
        <w:rPr>
          <w:rStyle w:val="FootnoteReference"/>
          <w:sz w:val="32"/>
          <w:szCs w:val="32"/>
          <w:lang w:val="en-NZ"/>
        </w:rPr>
        <w:footnoteReference w:id="106"/>
      </w:r>
    </w:p>
    <w:p w14:paraId="0AE9F7A6" w14:textId="77777777" w:rsidR="009C242F" w:rsidRPr="00A2327C" w:rsidRDefault="009C242F" w:rsidP="009C242F">
      <w:pPr>
        <w:rPr>
          <w:sz w:val="32"/>
          <w:szCs w:val="32"/>
        </w:rPr>
      </w:pPr>
    </w:p>
    <w:p w14:paraId="3BF0E066" w14:textId="10CB97BC" w:rsidR="009C242F" w:rsidRPr="00A2327C" w:rsidRDefault="009C242F" w:rsidP="009C242F">
      <w:pPr>
        <w:rPr>
          <w:sz w:val="32"/>
          <w:szCs w:val="32"/>
        </w:rPr>
      </w:pPr>
      <w:r w:rsidRPr="00A2327C">
        <w:rPr>
          <w:sz w:val="32"/>
          <w:szCs w:val="32"/>
        </w:rPr>
        <w:t>Name of initiative: Te MAIHI o te Whare Māori – Māori and Iwi Housing Innovation (MAIHI)</w:t>
      </w:r>
    </w:p>
    <w:p w14:paraId="22DD82F9" w14:textId="5DAEE1E4" w:rsidR="009C242F" w:rsidRPr="00A2327C" w:rsidRDefault="009C242F" w:rsidP="00A2327C">
      <w:pPr>
        <w:pStyle w:val="ParaLevel1"/>
        <w:numPr>
          <w:ilvl w:val="0"/>
          <w:numId w:val="0"/>
        </w:numPr>
        <w:rPr>
          <w:rFonts w:eastAsia="Verdana"/>
          <w:sz w:val="32"/>
          <w:szCs w:val="32"/>
        </w:rPr>
      </w:pPr>
      <w:r w:rsidRPr="00A2327C">
        <w:rPr>
          <w:sz w:val="32"/>
          <w:szCs w:val="32"/>
        </w:rPr>
        <w:t>Responsible parties: Māori and HUD created MAIHI in partnership.</w:t>
      </w:r>
    </w:p>
    <w:p w14:paraId="26F63CBC" w14:textId="5C97630B" w:rsidR="009C242F" w:rsidRPr="00A2327C" w:rsidRDefault="009C242F" w:rsidP="009C242F">
      <w:pPr>
        <w:rPr>
          <w:sz w:val="32"/>
          <w:szCs w:val="32"/>
        </w:rPr>
      </w:pPr>
      <w:r w:rsidRPr="00A2327C">
        <w:rPr>
          <w:sz w:val="32"/>
          <w:szCs w:val="32"/>
        </w:rPr>
        <w:t>Objective: MAIHI is a strategy which provides a framework and strategy to reset the housing system so it delivers better solutions for Māori.</w:t>
      </w:r>
      <w:r w:rsidRPr="00A2327C">
        <w:rPr>
          <w:sz w:val="32"/>
          <w:szCs w:val="32"/>
          <w:vertAlign w:val="superscript"/>
        </w:rPr>
        <w:footnoteReference w:id="107"/>
      </w:r>
    </w:p>
    <w:p w14:paraId="728502EB" w14:textId="77777777" w:rsidR="009C242F" w:rsidRPr="00A2327C" w:rsidRDefault="009C242F" w:rsidP="009C242F">
      <w:pPr>
        <w:rPr>
          <w:sz w:val="32"/>
          <w:szCs w:val="32"/>
        </w:rPr>
      </w:pPr>
    </w:p>
    <w:p w14:paraId="3B49CDB9" w14:textId="45BA528A" w:rsidR="009C242F" w:rsidRPr="00A2327C" w:rsidRDefault="009C242F" w:rsidP="009C242F">
      <w:pPr>
        <w:pStyle w:val="ParaLevel1"/>
        <w:numPr>
          <w:ilvl w:val="0"/>
          <w:numId w:val="0"/>
        </w:numPr>
        <w:rPr>
          <w:rFonts w:eastAsia="Verdana" w:cs="Verdana"/>
          <w:color w:val="000000" w:themeColor="text1"/>
          <w:sz w:val="32"/>
          <w:szCs w:val="32"/>
        </w:rPr>
      </w:pPr>
      <w:r w:rsidRPr="00A2327C">
        <w:rPr>
          <w:sz w:val="32"/>
          <w:szCs w:val="32"/>
        </w:rPr>
        <w:t xml:space="preserve">Name of initiative: </w:t>
      </w:r>
      <w:r w:rsidRPr="00A2327C">
        <w:rPr>
          <w:rStyle w:val="normaltextrun"/>
          <w:rFonts w:eastAsia="Verdana" w:cs="Verdana"/>
          <w:color w:val="000000" w:themeColor="text1"/>
          <w:sz w:val="32"/>
          <w:szCs w:val="32"/>
        </w:rPr>
        <w:t>Whai Kāinga Whai Oranga</w:t>
      </w:r>
    </w:p>
    <w:p w14:paraId="19660DB2" w14:textId="38C7F4B7" w:rsidR="009C242F" w:rsidRPr="00A2327C" w:rsidRDefault="009C242F" w:rsidP="009C242F">
      <w:pPr>
        <w:rPr>
          <w:sz w:val="32"/>
          <w:szCs w:val="32"/>
        </w:rPr>
      </w:pPr>
      <w:r w:rsidRPr="00A2327C">
        <w:rPr>
          <w:sz w:val="32"/>
          <w:szCs w:val="32"/>
        </w:rPr>
        <w:t>Responsible parties:</w:t>
      </w:r>
      <w:r w:rsidRPr="00A2327C">
        <w:rPr>
          <w:rStyle w:val="normaltextrun"/>
          <w:rFonts w:eastAsia="Verdana" w:cs="Verdana"/>
          <w:color w:val="000000" w:themeColor="text1"/>
          <w:sz w:val="32"/>
          <w:szCs w:val="32"/>
        </w:rPr>
        <w:t xml:space="preserve"> Whai Kāinga Whai Oranga is a four-year $730 million commitment led by HUD.</w:t>
      </w:r>
    </w:p>
    <w:p w14:paraId="7B28372F" w14:textId="450FD8D1" w:rsidR="009C242F" w:rsidRPr="00A2327C" w:rsidRDefault="009C242F" w:rsidP="009C242F">
      <w:pPr>
        <w:rPr>
          <w:sz w:val="32"/>
          <w:szCs w:val="32"/>
        </w:rPr>
      </w:pPr>
      <w:r w:rsidRPr="00A2327C">
        <w:rPr>
          <w:sz w:val="32"/>
          <w:szCs w:val="32"/>
        </w:rPr>
        <w:t>Objective:</w:t>
      </w:r>
      <w:r w:rsidRPr="00A2327C">
        <w:rPr>
          <w:rStyle w:val="normaltextrun"/>
          <w:rFonts w:eastAsia="Verdana" w:cs="Verdana"/>
          <w:color w:val="000000" w:themeColor="text1"/>
          <w:sz w:val="32"/>
          <w:szCs w:val="32"/>
        </w:rPr>
        <w:t xml:space="preserve"> To speed up the delivery of Māori-led housing.</w:t>
      </w:r>
    </w:p>
    <w:p w14:paraId="4F84CD91" w14:textId="73CDDAA4" w:rsidR="009C242F" w:rsidRPr="00A2327C" w:rsidRDefault="009C242F" w:rsidP="009C242F">
      <w:pPr>
        <w:rPr>
          <w:sz w:val="32"/>
          <w:szCs w:val="32"/>
        </w:rPr>
      </w:pPr>
    </w:p>
    <w:p w14:paraId="068B7F40" w14:textId="1477B9AA" w:rsidR="009C242F" w:rsidRPr="00A2327C" w:rsidRDefault="009C242F" w:rsidP="009C242F">
      <w:pPr>
        <w:pStyle w:val="ParaLevel1"/>
        <w:numPr>
          <w:ilvl w:val="0"/>
          <w:numId w:val="0"/>
        </w:numPr>
        <w:rPr>
          <w:sz w:val="32"/>
          <w:szCs w:val="32"/>
        </w:rPr>
      </w:pPr>
      <w:r w:rsidRPr="00A2327C">
        <w:rPr>
          <w:sz w:val="32"/>
          <w:szCs w:val="32"/>
        </w:rPr>
        <w:t xml:space="preserve">Name of initiative: Te Puni Kōkiri Housing Fund </w:t>
      </w:r>
    </w:p>
    <w:p w14:paraId="309D70A6" w14:textId="30464FFF" w:rsidR="009C242F" w:rsidRPr="00A2327C" w:rsidRDefault="009C242F" w:rsidP="009C242F">
      <w:pPr>
        <w:rPr>
          <w:sz w:val="32"/>
          <w:szCs w:val="32"/>
        </w:rPr>
      </w:pPr>
      <w:r w:rsidRPr="00A2327C">
        <w:rPr>
          <w:sz w:val="32"/>
          <w:szCs w:val="32"/>
        </w:rPr>
        <w:t>Responsible parties: Te Puni Kōkiri funds the Housing Fund.</w:t>
      </w:r>
    </w:p>
    <w:p w14:paraId="22F76533" w14:textId="2D5344F1" w:rsidR="009C242F" w:rsidRPr="00A2327C" w:rsidRDefault="009C242F" w:rsidP="009C242F">
      <w:pPr>
        <w:rPr>
          <w:sz w:val="32"/>
          <w:szCs w:val="32"/>
        </w:rPr>
      </w:pPr>
      <w:r w:rsidRPr="00A2327C">
        <w:rPr>
          <w:sz w:val="32"/>
          <w:szCs w:val="32"/>
        </w:rPr>
        <w:t>Objective: To support new homes and papakāinga. This includes the development of small-scale papakāinga (generally 3-10 houses) on whenua Māori. These papakāinga usually incorporate some communal spaces and shared amenities, and support whānau who whakapapa to the land to have the opportunity to live according to Te Ao Māori.</w:t>
      </w:r>
      <w:r w:rsidRPr="00A2327C">
        <w:rPr>
          <w:rStyle w:val="FootnoteReference"/>
          <w:sz w:val="32"/>
          <w:szCs w:val="32"/>
          <w:lang w:val="en-NZ"/>
        </w:rPr>
        <w:footnoteReference w:id="108"/>
      </w:r>
    </w:p>
    <w:p w14:paraId="199DA91D" w14:textId="77777777" w:rsidR="009C242F" w:rsidRPr="00A2327C" w:rsidRDefault="009C242F" w:rsidP="009C242F">
      <w:pPr>
        <w:rPr>
          <w:sz w:val="32"/>
          <w:szCs w:val="32"/>
        </w:rPr>
      </w:pPr>
    </w:p>
    <w:p w14:paraId="0AE526E2" w14:textId="6744446A" w:rsidR="009C242F" w:rsidRPr="00A2327C" w:rsidRDefault="009C242F" w:rsidP="009C242F">
      <w:pPr>
        <w:pStyle w:val="ParaLevel1"/>
        <w:numPr>
          <w:ilvl w:val="0"/>
          <w:numId w:val="0"/>
        </w:numPr>
        <w:rPr>
          <w:rFonts w:eastAsia="Verdana" w:cs="Verdana"/>
          <w:color w:val="000000" w:themeColor="text1"/>
          <w:sz w:val="32"/>
          <w:szCs w:val="32"/>
        </w:rPr>
      </w:pPr>
      <w:r w:rsidRPr="00A2327C">
        <w:rPr>
          <w:sz w:val="32"/>
          <w:szCs w:val="32"/>
        </w:rPr>
        <w:t xml:space="preserve">Name of initiative: </w:t>
      </w:r>
      <w:r w:rsidRPr="00A2327C">
        <w:rPr>
          <w:rFonts w:eastAsia="Verdana" w:cs="Verdana"/>
          <w:color w:val="000000" w:themeColor="text1"/>
          <w:sz w:val="32"/>
          <w:szCs w:val="32"/>
        </w:rPr>
        <w:t xml:space="preserve">Te Matapihi </w:t>
      </w:r>
    </w:p>
    <w:p w14:paraId="14115ADC" w14:textId="0985A62A" w:rsidR="009C242F" w:rsidRPr="00A2327C" w:rsidRDefault="009C242F" w:rsidP="009C242F">
      <w:pPr>
        <w:pStyle w:val="ParaLevel1"/>
        <w:numPr>
          <w:ilvl w:val="0"/>
          <w:numId w:val="0"/>
        </w:numPr>
        <w:rPr>
          <w:rFonts w:eastAsia="Verdana" w:cs="Verdana"/>
          <w:color w:val="000000" w:themeColor="text1"/>
          <w:sz w:val="32"/>
          <w:szCs w:val="32"/>
        </w:rPr>
      </w:pPr>
      <w:r w:rsidRPr="00A2327C">
        <w:rPr>
          <w:sz w:val="32"/>
          <w:szCs w:val="32"/>
        </w:rPr>
        <w:t>Responsible parties:</w:t>
      </w:r>
      <w:r w:rsidRPr="00A2327C">
        <w:rPr>
          <w:rFonts w:eastAsia="Verdana" w:cs="Verdana"/>
          <w:color w:val="000000" w:themeColor="text1"/>
          <w:sz w:val="32"/>
          <w:szCs w:val="32"/>
        </w:rPr>
        <w:t xml:space="preserve"> Te Matapihi is the independent national peak body for Māori housing. </w:t>
      </w:r>
    </w:p>
    <w:p w14:paraId="78D76A95" w14:textId="65BC729C" w:rsidR="009C242F" w:rsidRPr="00A2327C" w:rsidRDefault="009C242F" w:rsidP="009C242F">
      <w:pPr>
        <w:rPr>
          <w:sz w:val="32"/>
          <w:szCs w:val="32"/>
        </w:rPr>
      </w:pPr>
      <w:r w:rsidRPr="00A2327C">
        <w:rPr>
          <w:sz w:val="32"/>
          <w:szCs w:val="32"/>
        </w:rPr>
        <w:t>Objective:</w:t>
      </w:r>
      <w:r w:rsidRPr="00A2327C">
        <w:rPr>
          <w:rFonts w:eastAsia="Verdana" w:cs="Verdana"/>
          <w:color w:val="000000" w:themeColor="text1"/>
          <w:sz w:val="32"/>
          <w:szCs w:val="32"/>
        </w:rPr>
        <w:t xml:space="preserve"> Advocacy for Māori housing outcomes and engage with government at both local and central levels.</w:t>
      </w:r>
    </w:p>
    <w:p w14:paraId="09D6A784" w14:textId="77777777" w:rsidR="009C242F" w:rsidRPr="00A2327C" w:rsidRDefault="009C242F" w:rsidP="009C242F">
      <w:pPr>
        <w:rPr>
          <w:sz w:val="32"/>
          <w:szCs w:val="32"/>
        </w:rPr>
      </w:pPr>
    </w:p>
    <w:p w14:paraId="1098408B" w14:textId="176A219F" w:rsidR="009C242F" w:rsidRPr="00A2327C" w:rsidRDefault="00A2327C" w:rsidP="00A2327C">
      <w:pPr>
        <w:pStyle w:val="Heading2"/>
        <w:rPr>
          <w:sz w:val="32"/>
          <w:szCs w:val="32"/>
        </w:rPr>
      </w:pPr>
      <w:r w:rsidRPr="00A2327C">
        <w:rPr>
          <w:sz w:val="32"/>
          <w:szCs w:val="32"/>
        </w:rPr>
        <w:t>Existing disability-related supports</w:t>
      </w:r>
    </w:p>
    <w:p w14:paraId="0235C8AC" w14:textId="4D04B936" w:rsidR="00A2327C" w:rsidRPr="00A2327C" w:rsidRDefault="00A2327C" w:rsidP="00A2327C">
      <w:pPr>
        <w:rPr>
          <w:sz w:val="32"/>
          <w:szCs w:val="32"/>
        </w:rPr>
      </w:pPr>
      <w:r w:rsidRPr="00A2327C">
        <w:rPr>
          <w:sz w:val="32"/>
          <w:szCs w:val="32"/>
        </w:rPr>
        <w:t>Name of support: Community Group Housing (CGH)</w:t>
      </w:r>
    </w:p>
    <w:p w14:paraId="6460228F" w14:textId="36D79BF2" w:rsidR="00A2327C" w:rsidRPr="00A2327C" w:rsidRDefault="00A2327C" w:rsidP="00A2327C">
      <w:pPr>
        <w:rPr>
          <w:sz w:val="32"/>
          <w:szCs w:val="32"/>
        </w:rPr>
      </w:pPr>
      <w:r w:rsidRPr="00A2327C">
        <w:rPr>
          <w:sz w:val="32"/>
          <w:szCs w:val="32"/>
        </w:rPr>
        <w:lastRenderedPageBreak/>
        <w:t>Responsible parties: Kāinga Ora rents or leases properties to specialist third-party CGH Providers. CGH falls under the definition of Supported Housing.</w:t>
      </w:r>
    </w:p>
    <w:p w14:paraId="571AAB01" w14:textId="1F4CB4C1" w:rsidR="00A2327C" w:rsidRPr="00A2327C" w:rsidRDefault="00A2327C" w:rsidP="00A2327C">
      <w:pPr>
        <w:rPr>
          <w:sz w:val="32"/>
          <w:szCs w:val="32"/>
        </w:rPr>
      </w:pPr>
      <w:r w:rsidRPr="00A2327C">
        <w:rPr>
          <w:sz w:val="32"/>
          <w:szCs w:val="32"/>
        </w:rPr>
        <w:t>Objective: CGH provides residential and non-residential community housing for people with specific and often complex needs such as disabilities, mental illness and addiction.</w:t>
      </w:r>
    </w:p>
    <w:p w14:paraId="351F3B27" w14:textId="397B5F53" w:rsidR="00A2327C" w:rsidRPr="00A2327C" w:rsidRDefault="00A2327C" w:rsidP="00A2327C">
      <w:pPr>
        <w:rPr>
          <w:sz w:val="32"/>
          <w:szCs w:val="32"/>
        </w:rPr>
      </w:pPr>
      <w:r w:rsidRPr="00A2327C">
        <w:rPr>
          <w:sz w:val="32"/>
          <w:szCs w:val="32"/>
        </w:rPr>
        <w:t>Indicators: As of 31 December 2024, there were 1,472 properties in the Kāinga Ora CGH portfolio.</w:t>
      </w:r>
    </w:p>
    <w:p w14:paraId="08D5D32C" w14:textId="77777777" w:rsidR="00A2327C" w:rsidRPr="00A2327C" w:rsidRDefault="00A2327C" w:rsidP="00A2327C">
      <w:pPr>
        <w:rPr>
          <w:sz w:val="32"/>
          <w:szCs w:val="32"/>
        </w:rPr>
      </w:pPr>
    </w:p>
    <w:p w14:paraId="5A8744DA" w14:textId="00F69E50" w:rsidR="00A2327C" w:rsidRPr="00A2327C" w:rsidRDefault="00A2327C" w:rsidP="00A2327C">
      <w:pPr>
        <w:rPr>
          <w:sz w:val="32"/>
          <w:szCs w:val="32"/>
        </w:rPr>
      </w:pPr>
      <w:r w:rsidRPr="00A2327C">
        <w:rPr>
          <w:sz w:val="32"/>
          <w:szCs w:val="32"/>
        </w:rPr>
        <w:t>Name of support: Rent Support Subsidy Scheme</w:t>
      </w:r>
    </w:p>
    <w:p w14:paraId="12694447" w14:textId="6123850B" w:rsidR="00A2327C" w:rsidRPr="00A2327C" w:rsidRDefault="00A2327C" w:rsidP="00A2327C">
      <w:pPr>
        <w:rPr>
          <w:sz w:val="32"/>
          <w:szCs w:val="32"/>
        </w:rPr>
      </w:pPr>
      <w:r w:rsidRPr="00A2327C">
        <w:rPr>
          <w:sz w:val="32"/>
          <w:szCs w:val="32"/>
        </w:rPr>
        <w:t>Responsible parties: Kāinga Ora operates the Rent Support Subsidy Scheme.</w:t>
      </w:r>
    </w:p>
    <w:p w14:paraId="6B6D0C8A" w14:textId="683B2865" w:rsidR="00A2327C" w:rsidRPr="00A2327C" w:rsidRDefault="00A2327C" w:rsidP="00A2327C">
      <w:pPr>
        <w:rPr>
          <w:sz w:val="32"/>
          <w:szCs w:val="32"/>
        </w:rPr>
      </w:pPr>
      <w:r w:rsidRPr="00A2327C">
        <w:rPr>
          <w:sz w:val="32"/>
          <w:szCs w:val="32"/>
        </w:rPr>
        <w:t>Objective: Eligible CGH providers who can demonstrate they are unable to pay market rent may apply to Kāinga Ora for rent support.</w:t>
      </w:r>
    </w:p>
    <w:p w14:paraId="089BC2A7" w14:textId="77777777" w:rsidR="00A2327C" w:rsidRPr="00A2327C" w:rsidRDefault="00A2327C" w:rsidP="00A2327C">
      <w:pPr>
        <w:rPr>
          <w:sz w:val="32"/>
          <w:szCs w:val="32"/>
        </w:rPr>
      </w:pPr>
    </w:p>
    <w:p w14:paraId="54D93CA5" w14:textId="76B0DACE" w:rsidR="00A2327C" w:rsidRPr="00A2327C" w:rsidRDefault="00A2327C" w:rsidP="00A2327C">
      <w:pPr>
        <w:rPr>
          <w:sz w:val="32"/>
          <w:szCs w:val="32"/>
        </w:rPr>
      </w:pPr>
      <w:r w:rsidRPr="00A2327C">
        <w:rPr>
          <w:sz w:val="32"/>
          <w:szCs w:val="32"/>
        </w:rPr>
        <w:t>Name of support: Home and Community Support Services (HCSS)</w:t>
      </w:r>
    </w:p>
    <w:p w14:paraId="2CF85A63" w14:textId="3557F433" w:rsidR="00A2327C" w:rsidRPr="00A2327C" w:rsidRDefault="00A2327C" w:rsidP="00A2327C">
      <w:pPr>
        <w:rPr>
          <w:sz w:val="32"/>
          <w:szCs w:val="32"/>
        </w:rPr>
      </w:pPr>
      <w:r w:rsidRPr="00A2327C">
        <w:rPr>
          <w:sz w:val="32"/>
          <w:szCs w:val="32"/>
        </w:rPr>
        <w:t>Responsible parties: The DSS Unit of MSD fund HCSS. Individual HCSS providers are contracted to provide HCSS. People who are disabled as the result of an injury can be eligible for housing supports through the Accident Compensation Corporation (ACC). Like DSS, ACC funds HCSS for eligible disabled people.</w:t>
      </w:r>
    </w:p>
    <w:p w14:paraId="4EB056A4" w14:textId="4E7CB693" w:rsidR="00A2327C" w:rsidRPr="00A2327C" w:rsidRDefault="00A2327C" w:rsidP="00A2327C">
      <w:pPr>
        <w:rPr>
          <w:sz w:val="32"/>
          <w:szCs w:val="32"/>
        </w:rPr>
      </w:pPr>
      <w:r w:rsidRPr="00A2327C">
        <w:rPr>
          <w:sz w:val="32"/>
          <w:szCs w:val="32"/>
        </w:rPr>
        <w:t>Objective: HCSS provide disabled people with household tasks and personal care so people can live more independently in their own home.</w:t>
      </w:r>
    </w:p>
    <w:p w14:paraId="5DF8A0C7" w14:textId="145DF41E" w:rsidR="00A2327C" w:rsidRPr="00A2327C" w:rsidRDefault="00A2327C" w:rsidP="00A2327C">
      <w:pPr>
        <w:rPr>
          <w:sz w:val="32"/>
          <w:szCs w:val="32"/>
        </w:rPr>
      </w:pPr>
      <w:r w:rsidRPr="00A2327C">
        <w:rPr>
          <w:sz w:val="32"/>
          <w:szCs w:val="32"/>
        </w:rPr>
        <w:t>Indicators: On 31 December 2024, 6,501 people had an HCSS allocation.</w:t>
      </w:r>
      <w:r w:rsidRPr="00A2327C">
        <w:rPr>
          <w:rStyle w:val="FootnoteReference"/>
          <w:sz w:val="32"/>
          <w:szCs w:val="32"/>
          <w:lang w:val="en-NZ"/>
        </w:rPr>
        <w:footnoteReference w:id="109"/>
      </w:r>
    </w:p>
    <w:p w14:paraId="780437AF" w14:textId="77777777" w:rsidR="00A2327C" w:rsidRPr="00A2327C" w:rsidRDefault="00A2327C" w:rsidP="00A2327C">
      <w:pPr>
        <w:rPr>
          <w:sz w:val="32"/>
          <w:szCs w:val="32"/>
        </w:rPr>
      </w:pPr>
    </w:p>
    <w:p w14:paraId="736AEC2D" w14:textId="26BC1872" w:rsidR="00A2327C" w:rsidRPr="00A2327C" w:rsidRDefault="00A2327C" w:rsidP="00A2327C">
      <w:pPr>
        <w:rPr>
          <w:sz w:val="32"/>
          <w:szCs w:val="32"/>
        </w:rPr>
      </w:pPr>
      <w:r w:rsidRPr="00A2327C">
        <w:rPr>
          <w:sz w:val="32"/>
          <w:szCs w:val="32"/>
        </w:rPr>
        <w:t>Name of support: Choice in Community Living (CiCL)</w:t>
      </w:r>
    </w:p>
    <w:p w14:paraId="67F36CE9" w14:textId="1AF3177D" w:rsidR="00A2327C" w:rsidRPr="00A2327C" w:rsidRDefault="00A2327C" w:rsidP="00A2327C">
      <w:pPr>
        <w:rPr>
          <w:sz w:val="32"/>
          <w:szCs w:val="32"/>
        </w:rPr>
      </w:pPr>
      <w:r w:rsidRPr="00A2327C">
        <w:rPr>
          <w:sz w:val="32"/>
          <w:szCs w:val="32"/>
        </w:rPr>
        <w:t>Responsible parties: The DSS Unit of MSD fund CiCL.</w:t>
      </w:r>
    </w:p>
    <w:p w14:paraId="00A61C83" w14:textId="3314CBAE" w:rsidR="00A2327C" w:rsidRPr="00A2327C" w:rsidRDefault="00A2327C" w:rsidP="00A2327C">
      <w:pPr>
        <w:pStyle w:val="ParaLevel2"/>
        <w:numPr>
          <w:ilvl w:val="0"/>
          <w:numId w:val="0"/>
        </w:numPr>
        <w:rPr>
          <w:sz w:val="32"/>
          <w:szCs w:val="32"/>
        </w:rPr>
      </w:pPr>
      <w:r w:rsidRPr="00A2327C">
        <w:rPr>
          <w:sz w:val="32"/>
          <w:szCs w:val="32"/>
        </w:rPr>
        <w:t>Objective: CiCL is available in some regions</w:t>
      </w:r>
      <w:r w:rsidRPr="00A2327C">
        <w:rPr>
          <w:rStyle w:val="FootnoteReference"/>
          <w:sz w:val="32"/>
          <w:szCs w:val="32"/>
          <w:lang w:val="en-NZ"/>
        </w:rPr>
        <w:footnoteReference w:id="110"/>
      </w:r>
      <w:r w:rsidRPr="00A2327C">
        <w:rPr>
          <w:sz w:val="32"/>
          <w:szCs w:val="32"/>
        </w:rPr>
        <w:t xml:space="preserve">, and provides an alternative to more traditional residential care. Disabled people who are living in residential care, or in family homes with similar needs to those living in residential care, may be eligible for CiCL. CiCL </w:t>
      </w:r>
      <w:r w:rsidRPr="00A2327C">
        <w:rPr>
          <w:sz w:val="32"/>
          <w:szCs w:val="32"/>
        </w:rPr>
        <w:lastRenderedPageBreak/>
        <w:t>allows disabled people to exercise greater choice and control over where they live and with whom while still receiving support services for up to 24 hours a day.</w:t>
      </w:r>
    </w:p>
    <w:p w14:paraId="7FA07659" w14:textId="4B450D1C" w:rsidR="00A2327C" w:rsidRPr="00A2327C" w:rsidRDefault="00A2327C" w:rsidP="00A2327C">
      <w:pPr>
        <w:rPr>
          <w:sz w:val="32"/>
          <w:szCs w:val="32"/>
        </w:rPr>
      </w:pPr>
      <w:r w:rsidRPr="00A2327C">
        <w:rPr>
          <w:sz w:val="32"/>
          <w:szCs w:val="32"/>
        </w:rPr>
        <w:t>Indicators: On 31 December 2024, 363 people had a CiCL allocation.</w:t>
      </w:r>
    </w:p>
    <w:p w14:paraId="294E4380" w14:textId="77777777" w:rsidR="00A2327C" w:rsidRPr="00A2327C" w:rsidRDefault="00A2327C" w:rsidP="00A2327C">
      <w:pPr>
        <w:rPr>
          <w:sz w:val="32"/>
          <w:szCs w:val="32"/>
        </w:rPr>
      </w:pPr>
    </w:p>
    <w:p w14:paraId="3EDBCF75" w14:textId="762F4904" w:rsidR="00A2327C" w:rsidRPr="00A2327C" w:rsidRDefault="00A2327C" w:rsidP="00A2327C">
      <w:pPr>
        <w:rPr>
          <w:sz w:val="32"/>
          <w:szCs w:val="32"/>
        </w:rPr>
      </w:pPr>
      <w:r w:rsidRPr="00A2327C">
        <w:rPr>
          <w:sz w:val="32"/>
          <w:szCs w:val="32"/>
        </w:rPr>
        <w:t>Name of support: Community residential support services</w:t>
      </w:r>
    </w:p>
    <w:p w14:paraId="11B2834A" w14:textId="7A16E3AE" w:rsidR="00A2327C" w:rsidRPr="00A2327C" w:rsidRDefault="00A2327C" w:rsidP="00A2327C">
      <w:pPr>
        <w:rPr>
          <w:sz w:val="32"/>
          <w:szCs w:val="32"/>
        </w:rPr>
      </w:pPr>
      <w:r w:rsidRPr="00A2327C">
        <w:rPr>
          <w:sz w:val="32"/>
          <w:szCs w:val="32"/>
        </w:rPr>
        <w:t>Responsible parties: The DSS Unit of MSD funds community residential support services providers. Kāinga Ora CGH properties are one of the sources of housing that meet the needs of disabled people accessing Community Residential Support Services. ACC and Oranga Tamariki also fund support for certain groups such as young people under 18 and people with covered ACC claims. Te Whatu Ora funds support for people with age-related disabilities, chronic medical conditions, and those experiencing mental health issues.</w:t>
      </w:r>
    </w:p>
    <w:p w14:paraId="086361D0" w14:textId="6F2AEC9C" w:rsidR="00A2327C" w:rsidRPr="00A2327C" w:rsidRDefault="00A2327C" w:rsidP="00A2327C">
      <w:pPr>
        <w:rPr>
          <w:sz w:val="32"/>
          <w:szCs w:val="32"/>
        </w:rPr>
      </w:pPr>
      <w:r w:rsidRPr="00A2327C">
        <w:rPr>
          <w:sz w:val="32"/>
          <w:szCs w:val="32"/>
        </w:rPr>
        <w:t>Objective: Disabled people accessing community residential support services live in a variety of settings and can receive support for up to 24 hours a day. It is available in all regions.</w:t>
      </w:r>
    </w:p>
    <w:p w14:paraId="67AC1751" w14:textId="610974C6" w:rsidR="00A2327C" w:rsidRPr="00A2327C" w:rsidRDefault="00A2327C" w:rsidP="00A2327C">
      <w:pPr>
        <w:rPr>
          <w:sz w:val="32"/>
          <w:szCs w:val="32"/>
        </w:rPr>
      </w:pPr>
      <w:r w:rsidRPr="00A2327C">
        <w:rPr>
          <w:sz w:val="32"/>
          <w:szCs w:val="32"/>
        </w:rPr>
        <w:t>Indicators: On 31 December 2024, 6,154 people had an allocation in a residential group home. Around 900 disabled people had an allocation for an Aged Residential Care Facility</w:t>
      </w:r>
    </w:p>
    <w:p w14:paraId="1DB09468" w14:textId="77777777" w:rsidR="00A2327C" w:rsidRPr="00A2327C" w:rsidRDefault="00A2327C" w:rsidP="00A2327C">
      <w:pPr>
        <w:rPr>
          <w:sz w:val="32"/>
          <w:szCs w:val="32"/>
        </w:rPr>
      </w:pPr>
    </w:p>
    <w:p w14:paraId="42D1BDC6" w14:textId="725397D6" w:rsidR="00A2327C" w:rsidRPr="00A2327C" w:rsidRDefault="00A2327C" w:rsidP="00A2327C">
      <w:pPr>
        <w:rPr>
          <w:sz w:val="32"/>
          <w:szCs w:val="32"/>
        </w:rPr>
      </w:pPr>
      <w:r w:rsidRPr="00A2327C">
        <w:rPr>
          <w:sz w:val="32"/>
          <w:szCs w:val="32"/>
        </w:rPr>
        <w:t>Name of support: Residential Support Subsidy</w:t>
      </w:r>
    </w:p>
    <w:p w14:paraId="036A39B6" w14:textId="10F1975A" w:rsidR="00A2327C" w:rsidRPr="00A2327C" w:rsidRDefault="00A2327C" w:rsidP="00A2327C">
      <w:pPr>
        <w:rPr>
          <w:sz w:val="32"/>
          <w:szCs w:val="32"/>
        </w:rPr>
      </w:pPr>
      <w:r w:rsidRPr="00A2327C">
        <w:rPr>
          <w:sz w:val="32"/>
          <w:szCs w:val="32"/>
        </w:rPr>
        <w:t>Responsible parties: People who receive a benefit while in residential care are required make a client contribution to their daily living costs. The DSS Unit pays the remaining balance to the residential care provider in the form of the Residential Support Subsidy. Te Whatu ora pays the remaining balance for persons with chronic medical conditions and those experiencing mental health issues. The DSS Unit and Te Whatu Ora pay the majority of a person’s care costs to the residential service provider.</w:t>
      </w:r>
    </w:p>
    <w:p w14:paraId="1D34BA5C" w14:textId="6AF8208C" w:rsidR="00A2327C" w:rsidRPr="00A2327C" w:rsidRDefault="00A2327C" w:rsidP="00A2327C">
      <w:pPr>
        <w:rPr>
          <w:sz w:val="32"/>
          <w:szCs w:val="32"/>
        </w:rPr>
      </w:pPr>
      <w:r w:rsidRPr="00A2327C">
        <w:rPr>
          <w:sz w:val="32"/>
          <w:szCs w:val="32"/>
        </w:rPr>
        <w:t>Objective: To support people with the cost of living in residential care.</w:t>
      </w:r>
    </w:p>
    <w:p w14:paraId="67583AFC" w14:textId="77777777" w:rsidR="00A2327C" w:rsidRPr="00A2327C" w:rsidRDefault="00A2327C" w:rsidP="00A2327C">
      <w:pPr>
        <w:rPr>
          <w:sz w:val="32"/>
          <w:szCs w:val="32"/>
        </w:rPr>
      </w:pPr>
    </w:p>
    <w:p w14:paraId="77823B26" w14:textId="255C2264" w:rsidR="00A2327C" w:rsidRPr="00A2327C" w:rsidRDefault="00A2327C" w:rsidP="00A2327C">
      <w:pPr>
        <w:rPr>
          <w:sz w:val="32"/>
          <w:szCs w:val="32"/>
        </w:rPr>
      </w:pPr>
      <w:r w:rsidRPr="00A2327C">
        <w:rPr>
          <w:sz w:val="32"/>
          <w:szCs w:val="32"/>
        </w:rPr>
        <w:t>Name of support: Housing Modification funding</w:t>
      </w:r>
    </w:p>
    <w:p w14:paraId="5A240788" w14:textId="6F5A718E" w:rsidR="00A2327C" w:rsidRPr="00A2327C" w:rsidRDefault="00A2327C" w:rsidP="00A2327C">
      <w:pPr>
        <w:rPr>
          <w:sz w:val="32"/>
          <w:szCs w:val="32"/>
        </w:rPr>
      </w:pPr>
      <w:r w:rsidRPr="00A2327C">
        <w:rPr>
          <w:sz w:val="32"/>
          <w:szCs w:val="32"/>
        </w:rPr>
        <w:t xml:space="preserve">Responsible parties: The DSS Unit provides housing modifications supports through Equipment and Modification Services (EMS). ACC also funds or contributes to housing modifications to support people with accepted claims to live as independently and safely as possible in their homes. </w:t>
      </w:r>
    </w:p>
    <w:p w14:paraId="3341C772" w14:textId="71444827" w:rsidR="00A2327C" w:rsidRPr="00A2327C" w:rsidRDefault="00A2327C" w:rsidP="00A2327C">
      <w:pPr>
        <w:rPr>
          <w:sz w:val="32"/>
          <w:szCs w:val="32"/>
        </w:rPr>
      </w:pPr>
      <w:r w:rsidRPr="00A2327C">
        <w:rPr>
          <w:sz w:val="32"/>
          <w:szCs w:val="32"/>
        </w:rPr>
        <w:t>Objective: EMS support disabled people to make changes to their home to make it more accessible and help with daily tasks. EMS encompasses a range of supports, and can include things like outdoor ramps, platform lifts, and level access showers.</w:t>
      </w:r>
    </w:p>
    <w:p w14:paraId="7D8D2E7C" w14:textId="0E1A4C69" w:rsidR="00A2327C" w:rsidRPr="00A2327C" w:rsidRDefault="00A2327C" w:rsidP="00A2327C">
      <w:pPr>
        <w:rPr>
          <w:rFonts w:eastAsia="Verdana" w:cs="Verdana"/>
          <w:sz w:val="32"/>
          <w:szCs w:val="32"/>
        </w:rPr>
      </w:pPr>
      <w:r w:rsidRPr="00A2327C">
        <w:rPr>
          <w:sz w:val="32"/>
          <w:szCs w:val="32"/>
        </w:rPr>
        <w:lastRenderedPageBreak/>
        <w:t>Indicators:</w:t>
      </w:r>
      <w:r w:rsidRPr="00A2327C">
        <w:rPr>
          <w:rFonts w:eastAsia="Verdana" w:cs="Verdana"/>
          <w:sz w:val="32"/>
          <w:szCs w:val="32"/>
        </w:rPr>
        <w:t xml:space="preserve"> In the 2023/2024 financial year, DSS funded 1,641 housing modifications to support 666 disabled people. </w:t>
      </w:r>
      <w:r w:rsidRPr="00A2327C">
        <w:rPr>
          <w:sz w:val="32"/>
          <w:szCs w:val="32"/>
        </w:rPr>
        <w:t>In the 2023/2024 financial year, ACC funded 2,579 housing modifications to support people disabled as the result of an accident.</w:t>
      </w:r>
    </w:p>
    <w:p w14:paraId="0DCFC9ED" w14:textId="77777777" w:rsidR="00A2327C" w:rsidRPr="009C242F" w:rsidRDefault="00A2327C" w:rsidP="00A2327C"/>
    <w:p w14:paraId="4362D84D" w14:textId="77777777" w:rsidR="00A2327C" w:rsidRPr="009C242F" w:rsidRDefault="00A2327C" w:rsidP="009C242F"/>
    <w:p w14:paraId="0240EC23" w14:textId="77777777" w:rsidR="00A2327C" w:rsidRDefault="00A2327C">
      <w:pPr>
        <w:spacing w:before="0" w:after="0" w:line="240" w:lineRule="auto"/>
        <w:rPr>
          <w:rFonts w:eastAsiaTheme="majorEastAsia"/>
          <w:b/>
          <w:bCs/>
          <w:sz w:val="36"/>
          <w:szCs w:val="36"/>
        </w:rPr>
      </w:pPr>
      <w:r>
        <w:rPr>
          <w:sz w:val="36"/>
          <w:szCs w:val="36"/>
        </w:rPr>
        <w:br w:type="page"/>
      </w:r>
    </w:p>
    <w:p w14:paraId="030151B3" w14:textId="4F3509AB" w:rsidR="00E2585A" w:rsidRPr="000548FA" w:rsidRDefault="00552DE3" w:rsidP="00705B18">
      <w:pPr>
        <w:pStyle w:val="Heading2"/>
        <w:rPr>
          <w:sz w:val="36"/>
          <w:szCs w:val="36"/>
        </w:rPr>
      </w:pPr>
      <w:r w:rsidRPr="000548FA">
        <w:rPr>
          <w:sz w:val="36"/>
          <w:szCs w:val="36"/>
        </w:rPr>
        <w:lastRenderedPageBreak/>
        <w:t xml:space="preserve">Appendix </w:t>
      </w:r>
      <w:r w:rsidR="00252AF9" w:rsidRPr="000548FA">
        <w:rPr>
          <w:sz w:val="36"/>
          <w:szCs w:val="36"/>
        </w:rPr>
        <w:t>B</w:t>
      </w:r>
      <w:r w:rsidRPr="000548FA">
        <w:rPr>
          <w:sz w:val="36"/>
          <w:szCs w:val="36"/>
        </w:rPr>
        <w:t>: References</w:t>
      </w:r>
    </w:p>
    <w:p w14:paraId="39ABB9CF" w14:textId="2BEE7CB6" w:rsidR="00EE3998" w:rsidRPr="000548FA" w:rsidRDefault="00EE3998" w:rsidP="00EE3998">
      <w:pPr>
        <w:pStyle w:val="FootnoteText"/>
        <w:spacing w:before="0" w:line="240" w:lineRule="auto"/>
        <w:rPr>
          <w:sz w:val="32"/>
          <w:szCs w:val="32"/>
        </w:rPr>
      </w:pPr>
      <w:r w:rsidRPr="000548FA">
        <w:rPr>
          <w:i/>
          <w:iCs/>
          <w:sz w:val="32"/>
          <w:szCs w:val="32"/>
        </w:rPr>
        <w:t>A Youth19 Brief: Rangatahi Māori with a disability or chronic condition</w:t>
      </w:r>
      <w:r w:rsidRPr="000548FA">
        <w:rPr>
          <w:sz w:val="32"/>
          <w:szCs w:val="32"/>
        </w:rPr>
        <w:t>, 16 June 202</w:t>
      </w:r>
      <w:r w:rsidR="00273D3C">
        <w:rPr>
          <w:sz w:val="32"/>
          <w:szCs w:val="32"/>
        </w:rPr>
        <w:t>1</w:t>
      </w:r>
      <w:r w:rsidRPr="000548FA">
        <w:rPr>
          <w:sz w:val="32"/>
          <w:szCs w:val="32"/>
        </w:rPr>
        <w:t xml:space="preserve">, available: </w:t>
      </w:r>
      <w:hyperlink r:id="rId21" w:history="1">
        <w:r w:rsidR="007074DA" w:rsidRPr="000548FA">
          <w:rPr>
            <w:rStyle w:val="Hyperlink"/>
            <w:sz w:val="32"/>
            <w:szCs w:val="32"/>
          </w:rPr>
          <w:t>https://static1.squarespace.com/static/5bdbb75ccef37259122e59aa/t/60c018bdd8694c4b1d8b235e/1623201984335/Youth19+Brief_Rangatahi+with+a+disability+or+chronic+condition.pdf</w:t>
        </w:r>
      </w:hyperlink>
    </w:p>
    <w:p w14:paraId="53354254" w14:textId="77777777" w:rsidR="00702007" w:rsidRPr="000548FA" w:rsidRDefault="00702007" w:rsidP="00702007">
      <w:pPr>
        <w:rPr>
          <w:sz w:val="32"/>
          <w:szCs w:val="32"/>
        </w:rPr>
      </w:pPr>
      <w:r w:rsidRPr="000548FA">
        <w:rPr>
          <w:sz w:val="32"/>
          <w:szCs w:val="32"/>
        </w:rPr>
        <w:t xml:space="preserve">Bishop, Hon Chris, </w:t>
      </w:r>
      <w:r w:rsidRPr="000548FA">
        <w:rPr>
          <w:i/>
          <w:iCs/>
          <w:sz w:val="32"/>
          <w:szCs w:val="32"/>
        </w:rPr>
        <w:t>Cabinet paper: Fixing the Housing Crisis</w:t>
      </w:r>
      <w:r w:rsidRPr="000548FA">
        <w:rPr>
          <w:sz w:val="32"/>
          <w:szCs w:val="32"/>
        </w:rPr>
        <w:t>, Office of the Minister of Housing, Infrastructure and RMA Reform, January 2024.</w:t>
      </w:r>
    </w:p>
    <w:p w14:paraId="2C25E5C5" w14:textId="683B812A" w:rsidR="00701873" w:rsidRPr="000548FA" w:rsidRDefault="00701873" w:rsidP="00701873">
      <w:pPr>
        <w:rPr>
          <w:sz w:val="32"/>
          <w:szCs w:val="32"/>
        </w:rPr>
      </w:pPr>
      <w:r w:rsidRPr="000548FA">
        <w:rPr>
          <w:sz w:val="32"/>
          <w:szCs w:val="32"/>
        </w:rPr>
        <w:t xml:space="preserve">BRANZ, ’Future-proof buildings good for all’, Build Magazine, October/November 2021, available: </w:t>
      </w:r>
      <w:hyperlink r:id="rId22">
        <w:r w:rsidRPr="000548FA">
          <w:rPr>
            <w:rStyle w:val="Hyperlink"/>
            <w:sz w:val="32"/>
            <w:szCs w:val="32"/>
          </w:rPr>
          <w:t>https://www.buildmagazine.org.nz/assets/PDF/Build-186-84-LBP-Knowledge-Future-Proof-Buildings-Good-For-All.pdf?.</w:t>
        </w:r>
      </w:hyperlink>
    </w:p>
    <w:p w14:paraId="402E0506" w14:textId="58CE2867" w:rsidR="00600D7F" w:rsidRPr="000548FA" w:rsidRDefault="00600D7F" w:rsidP="00600D7F">
      <w:pPr>
        <w:rPr>
          <w:sz w:val="32"/>
          <w:szCs w:val="32"/>
        </w:rPr>
      </w:pPr>
      <w:r w:rsidRPr="000548FA">
        <w:rPr>
          <w:sz w:val="32"/>
          <w:szCs w:val="32"/>
        </w:rPr>
        <w:t xml:space="preserve">BRANZ, </w:t>
      </w:r>
      <w:r w:rsidRPr="000548FA">
        <w:rPr>
          <w:i/>
          <w:iCs/>
          <w:sz w:val="32"/>
          <w:szCs w:val="32"/>
        </w:rPr>
        <w:t>Study Report, Lifetime Housing – the Value Case</w:t>
      </w:r>
      <w:r w:rsidRPr="000548FA">
        <w:rPr>
          <w:sz w:val="32"/>
          <w:szCs w:val="32"/>
        </w:rPr>
        <w:t xml:space="preserve">, 2011, available: </w:t>
      </w:r>
      <w:hyperlink r:id="rId23">
        <w:r w:rsidRPr="000548FA">
          <w:rPr>
            <w:rStyle w:val="Hyperlink"/>
            <w:sz w:val="32"/>
            <w:szCs w:val="32"/>
          </w:rPr>
          <w:t>https://d39d3mj7qio96p.cloudfront.net/media/documents/SR263_Lifetime_housing_-_the_value_case.pdf</w:t>
        </w:r>
      </w:hyperlink>
    </w:p>
    <w:p w14:paraId="68DA233F" w14:textId="77777777" w:rsidR="00702007" w:rsidRPr="000548FA" w:rsidRDefault="00702007" w:rsidP="00702007">
      <w:pPr>
        <w:rPr>
          <w:rFonts w:eastAsia="Verdana" w:cs="Verdana"/>
          <w:sz w:val="32"/>
          <w:szCs w:val="32"/>
        </w:rPr>
      </w:pPr>
      <w:r w:rsidRPr="000548FA">
        <w:rPr>
          <w:rFonts w:eastAsia="Verdana" w:cs="Verdana"/>
          <w:color w:val="000000" w:themeColor="text1"/>
          <w:sz w:val="32"/>
          <w:szCs w:val="32"/>
        </w:rPr>
        <w:t xml:space="preserve">Bridge, Dr Catherine, </w:t>
      </w:r>
      <w:r w:rsidRPr="000548FA">
        <w:rPr>
          <w:rFonts w:eastAsia="Verdana" w:cs="Verdana"/>
          <w:i/>
          <w:iCs/>
          <w:color w:val="000000" w:themeColor="text1"/>
          <w:sz w:val="32"/>
          <w:szCs w:val="32"/>
        </w:rPr>
        <w:t>Housing and Disability a great opportunity</w:t>
      </w:r>
      <w:r w:rsidRPr="000548FA">
        <w:rPr>
          <w:rFonts w:eastAsia="Verdana" w:cs="Verdana"/>
          <w:color w:val="000000" w:themeColor="text1"/>
          <w:sz w:val="32"/>
          <w:szCs w:val="32"/>
        </w:rPr>
        <w:t xml:space="preserve">, Centre for Housing Research, Aotearoa New Zealand, May 2007, p. 1, available: </w:t>
      </w:r>
      <w:hyperlink r:id="rId24" w:history="1">
        <w:r w:rsidRPr="000548FA">
          <w:rPr>
            <w:rStyle w:val="Hyperlink"/>
            <w:sz w:val="32"/>
            <w:szCs w:val="32"/>
          </w:rPr>
          <w:t>https://thehub.sia.govt.nz/assets/documents/housing-disability-commentary.pdf</w:t>
        </w:r>
      </w:hyperlink>
    </w:p>
    <w:p w14:paraId="172F4C56" w14:textId="6DA7DB23" w:rsidR="00F86353" w:rsidRPr="000548FA" w:rsidRDefault="00F86353" w:rsidP="005C67AC">
      <w:pPr>
        <w:rPr>
          <w:sz w:val="32"/>
          <w:szCs w:val="32"/>
        </w:rPr>
      </w:pPr>
      <w:r w:rsidRPr="000548FA">
        <w:rPr>
          <w:sz w:val="32"/>
          <w:szCs w:val="32"/>
        </w:rPr>
        <w:t xml:space="preserve">Bright, Nicola and Georgia Palmer, </w:t>
      </w:r>
      <w:r w:rsidRPr="000548FA">
        <w:rPr>
          <w:i/>
          <w:iCs/>
          <w:sz w:val="32"/>
          <w:szCs w:val="32"/>
        </w:rPr>
        <w:t xml:space="preserve">Sorted Kāinga Ora: Pathway to Home Ownership Programme, Evaluation report </w:t>
      </w:r>
      <w:r w:rsidRPr="000548FA">
        <w:rPr>
          <w:sz w:val="32"/>
          <w:szCs w:val="32"/>
        </w:rPr>
        <w:t xml:space="preserve">2024, New Zealand Council for Educational Research, 2024, available: </w:t>
      </w:r>
      <w:hyperlink r:id="rId25" w:history="1">
        <w:r w:rsidRPr="000548FA">
          <w:rPr>
            <w:rStyle w:val="Hyperlink"/>
            <w:sz w:val="32"/>
            <w:szCs w:val="32"/>
          </w:rPr>
          <w:t>https://assets.retirement.govt.nz/public/Uploads/Sorted-Kainga-Ora-Evaluation-2024.pdf</w:t>
        </w:r>
      </w:hyperlink>
    </w:p>
    <w:p w14:paraId="60D8BE90" w14:textId="36FCB16C" w:rsidR="005C67AC" w:rsidRPr="000548FA" w:rsidRDefault="005C67AC" w:rsidP="005C67AC">
      <w:pPr>
        <w:rPr>
          <w:rFonts w:eastAsia="Verdana" w:cs="Verdana"/>
          <w:sz w:val="32"/>
          <w:szCs w:val="32"/>
        </w:rPr>
      </w:pPr>
      <w:r w:rsidRPr="000548FA">
        <w:rPr>
          <w:rFonts w:eastAsia="Verdana" w:cs="Verdana"/>
          <w:sz w:val="32"/>
          <w:szCs w:val="32"/>
        </w:rPr>
        <w:t xml:space="preserve">Chisholm, Elinor et al., ‘”Freedom to move through the house”: How a healthy housing initiative improves quality of life in Aotearoa New Zealand’, </w:t>
      </w:r>
      <w:r w:rsidRPr="000548FA">
        <w:rPr>
          <w:rFonts w:eastAsia="Verdana" w:cs="Verdana"/>
          <w:i/>
          <w:iCs/>
          <w:sz w:val="32"/>
          <w:szCs w:val="32"/>
        </w:rPr>
        <w:t>Environmental Health</w:t>
      </w:r>
      <w:r w:rsidRPr="000548FA">
        <w:rPr>
          <w:rFonts w:eastAsia="Verdana" w:cs="Verdana"/>
          <w:sz w:val="32"/>
          <w:szCs w:val="32"/>
        </w:rPr>
        <w:t>, vol. 48, no. 5, 2024, October 2024, p. 1.</w:t>
      </w:r>
    </w:p>
    <w:p w14:paraId="684E1A7C" w14:textId="346F8EEC" w:rsidR="002D715E" w:rsidRPr="000548FA" w:rsidRDefault="002D715E" w:rsidP="00702007">
      <w:pPr>
        <w:rPr>
          <w:sz w:val="32"/>
          <w:szCs w:val="32"/>
        </w:rPr>
      </w:pPr>
      <w:r w:rsidRPr="000548FA">
        <w:rPr>
          <w:sz w:val="32"/>
          <w:szCs w:val="32"/>
        </w:rPr>
        <w:t xml:space="preserve">Codina, Marta, Diego A. Díaz-Faes, and Noemí Pereda, ‘Better at home or in residential care? Victimization of people with intellectual disabilities at the hands of caregivers’, </w:t>
      </w:r>
      <w:r w:rsidRPr="000548FA">
        <w:rPr>
          <w:i/>
          <w:iCs/>
          <w:sz w:val="32"/>
          <w:szCs w:val="32"/>
        </w:rPr>
        <w:t>Research in Developmental Disabilities</w:t>
      </w:r>
      <w:r w:rsidRPr="000548FA">
        <w:rPr>
          <w:sz w:val="32"/>
          <w:szCs w:val="32"/>
        </w:rPr>
        <w:t xml:space="preserve">, vol. 146, March 2024, available: </w:t>
      </w:r>
      <w:hyperlink r:id="rId26" w:history="1">
        <w:r w:rsidRPr="000548FA">
          <w:rPr>
            <w:rStyle w:val="Hyperlink"/>
            <w:sz w:val="32"/>
            <w:szCs w:val="32"/>
          </w:rPr>
          <w:t>Better at home or in residential care? Victimization of people with intellectual disabilities at the hands of caregivers - ScienceDirect</w:t>
        </w:r>
      </w:hyperlink>
    </w:p>
    <w:p w14:paraId="702B4514" w14:textId="642E8917" w:rsidR="00617F32" w:rsidRPr="000548FA" w:rsidRDefault="00617F32" w:rsidP="00702007">
      <w:pPr>
        <w:rPr>
          <w:sz w:val="32"/>
          <w:szCs w:val="32"/>
        </w:rPr>
      </w:pPr>
      <w:r w:rsidRPr="000548FA">
        <w:rPr>
          <w:sz w:val="32"/>
          <w:szCs w:val="32"/>
        </w:rPr>
        <w:t xml:space="preserve">Davar, Bhargavi, and Aleisha Carroll, ‘Transforming Lives: Deinstitutionalisation for people with Disabilities’, </w:t>
      </w:r>
      <w:r w:rsidRPr="000548FA">
        <w:rPr>
          <w:i/>
          <w:iCs/>
          <w:sz w:val="32"/>
          <w:szCs w:val="32"/>
        </w:rPr>
        <w:t>Melbourne School of Population and Global Health</w:t>
      </w:r>
      <w:r w:rsidRPr="000548FA">
        <w:rPr>
          <w:sz w:val="32"/>
          <w:szCs w:val="32"/>
        </w:rPr>
        <w:t xml:space="preserve">, 3 December 2024, available: </w:t>
      </w:r>
      <w:hyperlink r:id="rId27" w:history="1">
        <w:r w:rsidRPr="000548FA">
          <w:rPr>
            <w:rStyle w:val="Hyperlink"/>
            <w:sz w:val="32"/>
            <w:szCs w:val="32"/>
          </w:rPr>
          <w:t>https://mspgh.unimelb.edu.au/centres-institutes/nossal-institute-for-global-health/Disability-Equity-and-Rights/transforming-lives-deinstitutionalisation-for-people-with-disabilities</w:t>
        </w:r>
      </w:hyperlink>
    </w:p>
    <w:p w14:paraId="01B4958D" w14:textId="6302740F" w:rsidR="00702007" w:rsidRPr="000548FA" w:rsidRDefault="00702007" w:rsidP="00702007">
      <w:pPr>
        <w:rPr>
          <w:sz w:val="32"/>
          <w:szCs w:val="32"/>
        </w:rPr>
      </w:pPr>
      <w:r w:rsidRPr="000548FA">
        <w:rPr>
          <w:sz w:val="32"/>
          <w:szCs w:val="32"/>
        </w:rPr>
        <w:t xml:space="preserve">Disability Connect, </w:t>
      </w:r>
      <w:r w:rsidRPr="000548FA">
        <w:rPr>
          <w:i/>
          <w:iCs/>
          <w:sz w:val="32"/>
          <w:szCs w:val="32"/>
        </w:rPr>
        <w:t>Where will we live in the future? Research into the unmet housing needs of people with disabilities, their family and whānau</w:t>
      </w:r>
      <w:r w:rsidRPr="000548FA">
        <w:rPr>
          <w:sz w:val="32"/>
          <w:szCs w:val="32"/>
        </w:rPr>
        <w:t xml:space="preserve">, March 2021, p. 51, available: </w:t>
      </w:r>
      <w:hyperlink r:id="rId28">
        <w:r w:rsidRPr="000548FA">
          <w:rPr>
            <w:rStyle w:val="Hyperlink"/>
            <w:sz w:val="32"/>
            <w:szCs w:val="32"/>
          </w:rPr>
          <w:t>https://disabilityconnect.org.nz/wp-content/uploads/where-will-we-live-in-the-future.pdf</w:t>
        </w:r>
      </w:hyperlink>
    </w:p>
    <w:p w14:paraId="218EEB23" w14:textId="0F30DE1C" w:rsidR="00163F4A" w:rsidRPr="000548FA" w:rsidRDefault="00255C1C" w:rsidP="00702007">
      <w:pPr>
        <w:rPr>
          <w:rFonts w:eastAsia="Verdana" w:cs="Verdana"/>
          <w:color w:val="000000" w:themeColor="text1"/>
          <w:sz w:val="32"/>
          <w:szCs w:val="32"/>
        </w:rPr>
      </w:pPr>
      <w:r w:rsidRPr="000548FA">
        <w:rPr>
          <w:rFonts w:eastAsia="Verdana" w:cs="Verdana"/>
          <w:color w:val="000000" w:themeColor="text1"/>
          <w:sz w:val="32"/>
          <w:szCs w:val="32"/>
        </w:rPr>
        <w:t xml:space="preserve">Donald Beasley Institute, </w:t>
      </w:r>
      <w:r w:rsidRPr="000548FA">
        <w:rPr>
          <w:rFonts w:eastAsia="Verdana" w:cs="Verdana"/>
          <w:i/>
          <w:iCs/>
          <w:color w:val="000000" w:themeColor="text1"/>
          <w:sz w:val="32"/>
          <w:szCs w:val="32"/>
        </w:rPr>
        <w:t>Housing for Disabled People: Family/Whānau and Closer Supporter Perspectives</w:t>
      </w:r>
      <w:r w:rsidRPr="000548FA">
        <w:rPr>
          <w:rFonts w:eastAsia="Verdana" w:cs="Verdana"/>
          <w:color w:val="000000" w:themeColor="text1"/>
          <w:sz w:val="32"/>
          <w:szCs w:val="32"/>
        </w:rPr>
        <w:t>, 2020</w:t>
      </w:r>
      <w:r w:rsidR="00163F4A" w:rsidRPr="000548FA">
        <w:rPr>
          <w:rFonts w:eastAsia="Verdana" w:cs="Verdana"/>
          <w:color w:val="000000" w:themeColor="text1"/>
          <w:sz w:val="32"/>
          <w:szCs w:val="32"/>
        </w:rPr>
        <w:t xml:space="preserve">, available: </w:t>
      </w:r>
      <w:hyperlink r:id="rId29" w:history="1">
        <w:r w:rsidR="00163F4A" w:rsidRPr="000548FA">
          <w:rPr>
            <w:rStyle w:val="Hyperlink"/>
            <w:sz w:val="32"/>
            <w:szCs w:val="32"/>
          </w:rPr>
          <w:t>https://www.donaldbeasley.org.nz/assets/publications/uncrpd/Housing-for-Disabled-People-Family-Whanau-and-Close-Supporter-Perspectives.pdf</w:t>
        </w:r>
      </w:hyperlink>
    </w:p>
    <w:p w14:paraId="6231CFA6" w14:textId="451068BD" w:rsidR="00702007" w:rsidRPr="000548FA" w:rsidRDefault="00702007" w:rsidP="00702007">
      <w:pPr>
        <w:rPr>
          <w:sz w:val="32"/>
          <w:szCs w:val="32"/>
        </w:rPr>
      </w:pPr>
      <w:r w:rsidRPr="000548FA">
        <w:rPr>
          <w:sz w:val="32"/>
          <w:szCs w:val="32"/>
        </w:rPr>
        <w:lastRenderedPageBreak/>
        <w:t xml:space="preserve">Donald Beasley Institute, </w:t>
      </w:r>
      <w:r w:rsidRPr="000548FA">
        <w:rPr>
          <w:i/>
          <w:iCs/>
          <w:sz w:val="32"/>
          <w:szCs w:val="32"/>
        </w:rPr>
        <w:t>My Experiences, My Rights: A Monitoring Report on Disabled Person’s Experience of Housing in Aotearoa New Zealand</w:t>
      </w:r>
      <w:r w:rsidRPr="000548FA">
        <w:rPr>
          <w:sz w:val="32"/>
          <w:szCs w:val="32"/>
        </w:rPr>
        <w:t>, 2020</w:t>
      </w:r>
      <w:r w:rsidR="00D53F41" w:rsidRPr="000548FA">
        <w:rPr>
          <w:sz w:val="32"/>
          <w:szCs w:val="32"/>
        </w:rPr>
        <w:t xml:space="preserve">, available: </w:t>
      </w:r>
      <w:hyperlink r:id="rId30" w:history="1">
        <w:r w:rsidR="00D53F41" w:rsidRPr="000548FA">
          <w:rPr>
            <w:rStyle w:val="Hyperlink"/>
            <w:sz w:val="32"/>
            <w:szCs w:val="32"/>
          </w:rPr>
          <w:t>https://www.donaldbeasley.org.nz/assets/projects/UNCRPD/My-Experiences-My-Rights-A-Monitoring-Report-on-Disabled-Persons-Experience-of-Housing-in-Aotearoa-New-Zealand/My-Experiences-My-Rights-A-Monitoring-Report-on-Disabled-Persons-Experience-of-Housing-in-Aotearoa-New-Zealand.pdf</w:t>
        </w:r>
      </w:hyperlink>
      <w:r w:rsidRPr="000548FA">
        <w:rPr>
          <w:sz w:val="32"/>
          <w:szCs w:val="32"/>
        </w:rPr>
        <w:t>.</w:t>
      </w:r>
    </w:p>
    <w:p w14:paraId="09264DAF" w14:textId="1926BAE4" w:rsidR="00B94AB3" w:rsidRPr="000548FA" w:rsidRDefault="00B94AB3" w:rsidP="00701873">
      <w:pPr>
        <w:rPr>
          <w:sz w:val="32"/>
          <w:szCs w:val="32"/>
        </w:rPr>
      </w:pPr>
      <w:r w:rsidRPr="000548FA">
        <w:rPr>
          <w:sz w:val="32"/>
          <w:szCs w:val="32"/>
        </w:rPr>
        <w:t xml:space="preserve">Firstport, ‘Celebrating accessibility on Marae’, 28 May 2024, available: </w:t>
      </w:r>
      <w:hyperlink r:id="rId31" w:history="1">
        <w:r w:rsidRPr="000548FA">
          <w:rPr>
            <w:rStyle w:val="Hyperlink"/>
            <w:sz w:val="32"/>
            <w:szCs w:val="32"/>
          </w:rPr>
          <w:t>https://firstport.co.nz/items/celebrating-accessibility-marae</w:t>
        </w:r>
      </w:hyperlink>
    </w:p>
    <w:p w14:paraId="2609D839" w14:textId="0C3C877C" w:rsidR="00701873" w:rsidRPr="000548FA" w:rsidRDefault="00701873" w:rsidP="00701873">
      <w:pPr>
        <w:rPr>
          <w:sz w:val="32"/>
          <w:szCs w:val="32"/>
        </w:rPr>
      </w:pPr>
      <w:r w:rsidRPr="000548FA">
        <w:rPr>
          <w:sz w:val="32"/>
          <w:szCs w:val="32"/>
        </w:rPr>
        <w:t xml:space="preserve">Hamilton City Council, </w:t>
      </w:r>
      <w:r w:rsidRPr="000548FA">
        <w:rPr>
          <w:i/>
          <w:iCs/>
          <w:sz w:val="32"/>
          <w:szCs w:val="32"/>
        </w:rPr>
        <w:t>Disability Policy Action Plan 2022-2025</w:t>
      </w:r>
      <w:r w:rsidRPr="000548FA">
        <w:rPr>
          <w:sz w:val="32"/>
          <w:szCs w:val="32"/>
        </w:rPr>
        <w:t xml:space="preserve">, p. 5, available: </w:t>
      </w:r>
      <w:hyperlink r:id="rId32">
        <w:r w:rsidRPr="000548FA">
          <w:rPr>
            <w:rStyle w:val="Hyperlink"/>
            <w:sz w:val="32"/>
            <w:szCs w:val="32"/>
          </w:rPr>
          <w:t>https://storage.googleapis.com/hccproduction-web-assets/public/Uploads/Documents/Plans/Disability-Action-Plan-2022-25.pdf</w:t>
        </w:r>
      </w:hyperlink>
    </w:p>
    <w:p w14:paraId="05C8A418" w14:textId="77777777" w:rsidR="00600D7F" w:rsidRPr="000548FA" w:rsidRDefault="00600D7F" w:rsidP="00600D7F">
      <w:pPr>
        <w:rPr>
          <w:sz w:val="32"/>
          <w:szCs w:val="32"/>
        </w:rPr>
      </w:pPr>
      <w:r w:rsidRPr="000548FA">
        <w:rPr>
          <w:sz w:val="32"/>
          <w:szCs w:val="32"/>
        </w:rPr>
        <w:t xml:space="preserve">House of Commons, Levelling Up, Housing and Communities Committee, </w:t>
      </w:r>
      <w:r w:rsidRPr="000548FA">
        <w:rPr>
          <w:i/>
          <w:iCs/>
          <w:sz w:val="32"/>
          <w:szCs w:val="32"/>
        </w:rPr>
        <w:t>Disabled people in the housing sector, Seventh Report of Session 2023–24</w:t>
      </w:r>
      <w:r w:rsidRPr="000548FA">
        <w:rPr>
          <w:sz w:val="32"/>
          <w:szCs w:val="32"/>
        </w:rPr>
        <w:t xml:space="preserve">, 20 May 2024, p. 17, available: </w:t>
      </w:r>
      <w:hyperlink r:id="rId33">
        <w:r w:rsidRPr="000548FA">
          <w:rPr>
            <w:rStyle w:val="Hyperlink"/>
            <w:sz w:val="32"/>
            <w:szCs w:val="32"/>
          </w:rPr>
          <w:t>https://committees.parliament.uk/publications/45020/documents/223326/default/.</w:t>
        </w:r>
      </w:hyperlink>
    </w:p>
    <w:p w14:paraId="34EA3918" w14:textId="77777777" w:rsidR="005C67AC" w:rsidRPr="000548FA" w:rsidRDefault="005C67AC" w:rsidP="005C67AC">
      <w:pPr>
        <w:rPr>
          <w:rFonts w:eastAsia="Verdana" w:cs="Verdana"/>
          <w:sz w:val="32"/>
          <w:szCs w:val="32"/>
        </w:rPr>
      </w:pPr>
      <w:r w:rsidRPr="000548FA">
        <w:rPr>
          <w:rFonts w:eastAsia="Verdana" w:cs="Verdana"/>
          <w:color w:val="000000" w:themeColor="text1"/>
          <w:sz w:val="32"/>
          <w:szCs w:val="32"/>
        </w:rPr>
        <w:t xml:space="preserve">Howden-Chapman, Phillippa et al., ‘The Effects of Housing on Health and Well-Being in Aotearoa New Zealand’, </w:t>
      </w:r>
      <w:r w:rsidRPr="000548FA">
        <w:rPr>
          <w:rFonts w:eastAsia="Verdana" w:cs="Verdana"/>
          <w:i/>
          <w:iCs/>
          <w:color w:val="000000" w:themeColor="text1"/>
          <w:sz w:val="32"/>
          <w:szCs w:val="32"/>
        </w:rPr>
        <w:t>New Zealand Population Review</w:t>
      </w:r>
      <w:r w:rsidRPr="000548FA">
        <w:rPr>
          <w:rFonts w:eastAsia="Verdana" w:cs="Verdana"/>
          <w:color w:val="000000" w:themeColor="text1"/>
          <w:sz w:val="32"/>
          <w:szCs w:val="32"/>
        </w:rPr>
        <w:t>, vol. 46, p. 18, available:</w:t>
      </w:r>
      <w:r w:rsidRPr="000548FA">
        <w:rPr>
          <w:sz w:val="32"/>
          <w:szCs w:val="32"/>
        </w:rPr>
        <w:t xml:space="preserve"> </w:t>
      </w:r>
      <w:hyperlink r:id="rId34" w:history="1">
        <w:r w:rsidRPr="000548FA">
          <w:rPr>
            <w:rStyle w:val="Hyperlink"/>
            <w:sz w:val="32"/>
            <w:szCs w:val="32"/>
          </w:rPr>
          <w:t>https://www.healthyhousing.org.nz/sites/default/files/2021-11/HowdenChapman_etal_Housing_Health_Wellbeing.pdf</w:t>
        </w:r>
      </w:hyperlink>
    </w:p>
    <w:p w14:paraId="2CDA64A2" w14:textId="77777777" w:rsidR="00BE3016" w:rsidRPr="000548FA" w:rsidRDefault="00BE3016" w:rsidP="00BE3016">
      <w:pPr>
        <w:rPr>
          <w:rStyle w:val="FootnoteReference"/>
          <w:sz w:val="32"/>
          <w:szCs w:val="32"/>
          <w:lang w:val="en-NZ"/>
        </w:rPr>
      </w:pPr>
      <w:r w:rsidRPr="000548FA">
        <w:rPr>
          <w:sz w:val="32"/>
          <w:szCs w:val="32"/>
        </w:rPr>
        <w:t xml:space="preserve">Human Rights Commission, </w:t>
      </w:r>
      <w:r w:rsidRPr="000548FA">
        <w:rPr>
          <w:i/>
          <w:iCs/>
          <w:sz w:val="32"/>
          <w:szCs w:val="32"/>
        </w:rPr>
        <w:t>Right to a Decent Home, Tika kia te Whai Whare Rawaka</w:t>
      </w:r>
      <w:r w:rsidRPr="000548FA">
        <w:rPr>
          <w:sz w:val="32"/>
          <w:szCs w:val="32"/>
        </w:rPr>
        <w:t xml:space="preserve">, available: </w:t>
      </w:r>
      <w:hyperlink r:id="rId35" w:history="1">
        <w:r w:rsidRPr="000548FA">
          <w:rPr>
            <w:rStyle w:val="Hyperlink"/>
            <w:sz w:val="32"/>
            <w:szCs w:val="32"/>
          </w:rPr>
          <w:t>https://tikatangata.org.nz/human-rights-in-aotearoa/right-to-housing</w:t>
        </w:r>
      </w:hyperlink>
    </w:p>
    <w:p w14:paraId="5399F611" w14:textId="77777777" w:rsidR="00702007" w:rsidRPr="000548FA" w:rsidRDefault="00702007" w:rsidP="00702007">
      <w:pPr>
        <w:rPr>
          <w:sz w:val="32"/>
          <w:szCs w:val="32"/>
        </w:rPr>
      </w:pPr>
      <w:r w:rsidRPr="000548FA">
        <w:rPr>
          <w:sz w:val="32"/>
          <w:szCs w:val="32"/>
        </w:rPr>
        <w:t xml:space="preserve">Human Rights Commission, </w:t>
      </w:r>
      <w:r w:rsidRPr="000548FA">
        <w:rPr>
          <w:i/>
          <w:iCs/>
          <w:sz w:val="32"/>
          <w:szCs w:val="32"/>
        </w:rPr>
        <w:t>Shortage of accessible homes a human rights deficit</w:t>
      </w:r>
      <w:r w:rsidRPr="000548FA">
        <w:rPr>
          <w:sz w:val="32"/>
          <w:szCs w:val="32"/>
        </w:rPr>
        <w:t xml:space="preserve">, 29 September 2022, available: </w:t>
      </w:r>
      <w:hyperlink r:id="rId36" w:history="1">
        <w:r w:rsidRPr="000548FA">
          <w:rPr>
            <w:rStyle w:val="Hyperlink"/>
            <w:sz w:val="32"/>
            <w:szCs w:val="32"/>
          </w:rPr>
          <w:t>https://tikatangata.org.nz/news/shortage-of-accessible-homes-a-human-rights-deficit</w:t>
        </w:r>
      </w:hyperlink>
    </w:p>
    <w:p w14:paraId="55EF819A" w14:textId="77777777" w:rsidR="00600D7F" w:rsidRPr="000548FA" w:rsidRDefault="00600D7F" w:rsidP="00600D7F">
      <w:pPr>
        <w:rPr>
          <w:rStyle w:val="Hyperlink"/>
          <w:sz w:val="32"/>
          <w:szCs w:val="32"/>
        </w:rPr>
      </w:pPr>
      <w:r w:rsidRPr="000548FA">
        <w:rPr>
          <w:sz w:val="32"/>
          <w:szCs w:val="32"/>
        </w:rPr>
        <w:t>Independent Living Institute, F</w:t>
      </w:r>
      <w:r w:rsidRPr="000548FA">
        <w:rPr>
          <w:i/>
          <w:iCs/>
          <w:sz w:val="32"/>
          <w:szCs w:val="32"/>
        </w:rPr>
        <w:t>reedom to Choose with Whom, Where, and How You Want to Live</w:t>
      </w:r>
      <w:r w:rsidRPr="000548FA">
        <w:rPr>
          <w:sz w:val="32"/>
          <w:szCs w:val="32"/>
        </w:rPr>
        <w:t xml:space="preserve">, 2022, p. 66, available: </w:t>
      </w:r>
      <w:hyperlink r:id="rId37">
        <w:r w:rsidRPr="000548FA">
          <w:rPr>
            <w:rStyle w:val="Hyperlink"/>
            <w:sz w:val="32"/>
            <w:szCs w:val="32"/>
          </w:rPr>
          <w:t>https://www.independentliving.org/files/English-Freedom-to-choose-Deinstitutionalisation-Sweden.pdf</w:t>
        </w:r>
      </w:hyperlink>
    </w:p>
    <w:p w14:paraId="249A85A2" w14:textId="2CFF1B6A" w:rsidR="001D624B" w:rsidRPr="000548FA" w:rsidRDefault="001D624B" w:rsidP="00702007">
      <w:pPr>
        <w:rPr>
          <w:sz w:val="32"/>
          <w:szCs w:val="32"/>
        </w:rPr>
      </w:pPr>
      <w:r w:rsidRPr="000548FA">
        <w:rPr>
          <w:sz w:val="32"/>
          <w:szCs w:val="32"/>
        </w:rPr>
        <w:t xml:space="preserve">Independent Monitoring Mechanism, </w:t>
      </w:r>
      <w:r w:rsidRPr="000548FA">
        <w:rPr>
          <w:i/>
          <w:iCs/>
          <w:sz w:val="32"/>
          <w:szCs w:val="32"/>
        </w:rPr>
        <w:t>Making Disability Rights Real l Whakatūturu Ngā Tika Hauātanga</w:t>
      </w:r>
      <w:r w:rsidRPr="000548FA">
        <w:rPr>
          <w:sz w:val="32"/>
          <w:szCs w:val="32"/>
        </w:rPr>
        <w:t xml:space="preserve">, June 2020, available: </w:t>
      </w:r>
      <w:hyperlink r:id="rId38" w:history="1">
        <w:r w:rsidR="00C703F9" w:rsidRPr="000548FA">
          <w:rPr>
            <w:rStyle w:val="Hyperlink"/>
            <w:sz w:val="32"/>
            <w:szCs w:val="32"/>
          </w:rPr>
          <w:t>https://www.ombudsman.parliament.nz/sites/default/files/2021-11/Making%20Disability%20Rights%20Real%202014%20to%202019.pdf</w:t>
        </w:r>
      </w:hyperlink>
    </w:p>
    <w:p w14:paraId="09A7EABD" w14:textId="3501E427" w:rsidR="0046062A" w:rsidRPr="000548FA" w:rsidRDefault="0046062A" w:rsidP="00702007">
      <w:pPr>
        <w:rPr>
          <w:sz w:val="32"/>
          <w:szCs w:val="32"/>
        </w:rPr>
      </w:pPr>
      <w:r w:rsidRPr="000548FA">
        <w:rPr>
          <w:sz w:val="32"/>
          <w:szCs w:val="32"/>
        </w:rPr>
        <w:t xml:space="preserve">Infometrics, </w:t>
      </w:r>
      <w:r w:rsidRPr="000548FA">
        <w:rPr>
          <w:i/>
          <w:iCs/>
          <w:sz w:val="32"/>
          <w:szCs w:val="32"/>
        </w:rPr>
        <w:t>Average rent</w:t>
      </w:r>
      <w:r w:rsidRPr="000548FA">
        <w:rPr>
          <w:sz w:val="32"/>
          <w:szCs w:val="32"/>
        </w:rPr>
        <w:t xml:space="preserve">, available: </w:t>
      </w:r>
      <w:hyperlink r:id="rId39" w:history="1">
        <w:r w:rsidRPr="000548FA">
          <w:rPr>
            <w:rStyle w:val="Hyperlink"/>
            <w:sz w:val="32"/>
            <w:szCs w:val="32"/>
          </w:rPr>
          <w:t>https://rep.infometrics.co.nz/new-zealand/income-and-housing/average-rent</w:t>
        </w:r>
      </w:hyperlink>
    </w:p>
    <w:p w14:paraId="71367AE1" w14:textId="736BCD17" w:rsidR="00702007" w:rsidRPr="000548FA" w:rsidRDefault="00702007" w:rsidP="00702007">
      <w:pPr>
        <w:rPr>
          <w:sz w:val="32"/>
          <w:szCs w:val="32"/>
        </w:rPr>
      </w:pPr>
      <w:r w:rsidRPr="000548FA">
        <w:rPr>
          <w:sz w:val="32"/>
          <w:szCs w:val="32"/>
        </w:rPr>
        <w:t xml:space="preserve">Infometrics, </w:t>
      </w:r>
      <w:r w:rsidRPr="000548FA">
        <w:rPr>
          <w:i/>
          <w:iCs/>
          <w:sz w:val="32"/>
          <w:szCs w:val="32"/>
        </w:rPr>
        <w:t>Housing affordability</w:t>
      </w:r>
      <w:r w:rsidRPr="000548FA">
        <w:rPr>
          <w:sz w:val="32"/>
          <w:szCs w:val="32"/>
        </w:rPr>
        <w:t xml:space="preserve">, available: </w:t>
      </w:r>
      <w:hyperlink r:id="rId40" w:history="1">
        <w:r w:rsidRPr="000548FA">
          <w:rPr>
            <w:rStyle w:val="Hyperlink"/>
            <w:sz w:val="32"/>
            <w:szCs w:val="32"/>
          </w:rPr>
          <w:t>https://rep.infometrics.co.nz/new-zealand/income-and-housing/housing-affordability</w:t>
        </w:r>
      </w:hyperlink>
    </w:p>
    <w:p w14:paraId="2E7892DB" w14:textId="77777777" w:rsidR="0073251A" w:rsidRPr="000548FA" w:rsidRDefault="0073251A" w:rsidP="0073251A">
      <w:pPr>
        <w:rPr>
          <w:rFonts w:eastAsia="Verdana" w:cs="Verdana"/>
          <w:sz w:val="32"/>
          <w:szCs w:val="32"/>
        </w:rPr>
      </w:pPr>
      <w:r w:rsidRPr="000548FA">
        <w:rPr>
          <w:rFonts w:eastAsia="Verdana" w:cs="Verdana"/>
          <w:color w:val="000000" w:themeColor="text1"/>
          <w:sz w:val="32"/>
          <w:szCs w:val="32"/>
        </w:rPr>
        <w:t xml:space="preserve">Kāinga Ora, </w:t>
      </w:r>
      <w:r w:rsidRPr="000548FA">
        <w:rPr>
          <w:rFonts w:eastAsia="Verdana" w:cs="Verdana"/>
          <w:i/>
          <w:iCs/>
          <w:color w:val="000000" w:themeColor="text1"/>
          <w:sz w:val="32"/>
          <w:szCs w:val="32"/>
        </w:rPr>
        <w:t>Kāinga Ora Customer Accessibility Information</w:t>
      </w:r>
      <w:r w:rsidRPr="000548FA">
        <w:rPr>
          <w:rFonts w:eastAsia="Verdana" w:cs="Verdana"/>
          <w:color w:val="000000" w:themeColor="text1"/>
          <w:sz w:val="32"/>
          <w:szCs w:val="32"/>
        </w:rPr>
        <w:t>, July 2023.</w:t>
      </w:r>
    </w:p>
    <w:p w14:paraId="1049581A" w14:textId="77777777" w:rsidR="00701873" w:rsidRPr="000548FA" w:rsidRDefault="00701873" w:rsidP="00701873">
      <w:pPr>
        <w:rPr>
          <w:rStyle w:val="Hyperlink"/>
          <w:sz w:val="32"/>
          <w:szCs w:val="32"/>
        </w:rPr>
      </w:pPr>
      <w:r w:rsidRPr="000548FA">
        <w:rPr>
          <w:sz w:val="32"/>
          <w:szCs w:val="32"/>
        </w:rPr>
        <w:t xml:space="preserve">Kāinga Ora, </w:t>
      </w:r>
      <w:r w:rsidRPr="000548FA">
        <w:rPr>
          <w:i/>
          <w:iCs/>
          <w:sz w:val="32"/>
          <w:szCs w:val="32"/>
        </w:rPr>
        <w:t>Kāinga Ora Design Guidelines MasterPlanning for Universal Design</w:t>
      </w:r>
      <w:r w:rsidRPr="000548FA">
        <w:rPr>
          <w:sz w:val="32"/>
          <w:szCs w:val="32"/>
        </w:rPr>
        <w:t xml:space="preserve">, version 1.2, April 2024, available: </w:t>
      </w:r>
      <w:hyperlink r:id="rId41">
        <w:r w:rsidRPr="000548FA">
          <w:rPr>
            <w:rStyle w:val="Hyperlink"/>
            <w:sz w:val="32"/>
            <w:szCs w:val="32"/>
          </w:rPr>
          <w:t>https://kaingaora.govt.nz/assets/Publications/Design-Guidelines/Masterplanning-for-Universal-Design.pdf</w:t>
        </w:r>
      </w:hyperlink>
    </w:p>
    <w:p w14:paraId="768F9F4C" w14:textId="77777777" w:rsidR="00600D7F" w:rsidRPr="000548FA" w:rsidRDefault="00600D7F" w:rsidP="00600D7F">
      <w:pPr>
        <w:rPr>
          <w:sz w:val="32"/>
          <w:szCs w:val="32"/>
        </w:rPr>
      </w:pPr>
      <w:r w:rsidRPr="000548FA">
        <w:rPr>
          <w:rFonts w:eastAsia="Verdana"/>
          <w:sz w:val="32"/>
          <w:szCs w:val="32"/>
        </w:rPr>
        <w:lastRenderedPageBreak/>
        <w:t xml:space="preserve">Kāinga Tipu – The Centre for Housing Research, </w:t>
      </w:r>
      <w:r w:rsidRPr="000548FA">
        <w:rPr>
          <w:i/>
          <w:iCs/>
          <w:sz w:val="32"/>
          <w:szCs w:val="32"/>
        </w:rPr>
        <w:t>Housing and Disability: Future Proofing New Zealand’s Housing Stock for an Inclusive Society</w:t>
      </w:r>
      <w:r w:rsidRPr="000548FA">
        <w:rPr>
          <w:sz w:val="32"/>
          <w:szCs w:val="32"/>
        </w:rPr>
        <w:t xml:space="preserve">, May 2007, available: </w:t>
      </w:r>
      <w:hyperlink r:id="rId42">
        <w:r w:rsidRPr="000548FA">
          <w:rPr>
            <w:rStyle w:val="Hyperlink"/>
            <w:sz w:val="32"/>
            <w:szCs w:val="32"/>
          </w:rPr>
          <w:t>https://thehub.sia.govt.nz/assets/documents/summaryreport.pdf</w:t>
        </w:r>
      </w:hyperlink>
    </w:p>
    <w:p w14:paraId="40D53AD8" w14:textId="77777777" w:rsidR="00600D7F" w:rsidRPr="000548FA" w:rsidRDefault="00600D7F" w:rsidP="00600D7F">
      <w:pPr>
        <w:rPr>
          <w:rStyle w:val="Hyperlink"/>
          <w:sz w:val="32"/>
          <w:szCs w:val="32"/>
        </w:rPr>
      </w:pPr>
      <w:r w:rsidRPr="000548FA">
        <w:rPr>
          <w:sz w:val="32"/>
          <w:szCs w:val="32"/>
        </w:rPr>
        <w:t xml:space="preserve">Klein Nixon, Kylie, ‘Upper Hutt development a space disabled folks can call home’, </w:t>
      </w:r>
      <w:r w:rsidRPr="000548FA">
        <w:rPr>
          <w:i/>
          <w:iCs/>
          <w:sz w:val="32"/>
          <w:szCs w:val="32"/>
        </w:rPr>
        <w:t>Stuff</w:t>
      </w:r>
      <w:r w:rsidRPr="000548FA">
        <w:rPr>
          <w:sz w:val="32"/>
          <w:szCs w:val="32"/>
        </w:rPr>
        <w:t xml:space="preserve">, 26 November 2024, available: </w:t>
      </w:r>
      <w:hyperlink r:id="rId43" w:history="1">
        <w:r w:rsidRPr="000548FA">
          <w:rPr>
            <w:rStyle w:val="Hyperlink"/>
            <w:sz w:val="32"/>
            <w:szCs w:val="32"/>
          </w:rPr>
          <w:t>https://www.stuff.co.nz/home-property/360496363/upper-hutt-development-space-disabled-folks-can-call-home</w:t>
        </w:r>
      </w:hyperlink>
    </w:p>
    <w:p w14:paraId="42E141D4" w14:textId="77777777" w:rsidR="00600D7F" w:rsidRPr="000548FA" w:rsidRDefault="00600D7F" w:rsidP="00600D7F">
      <w:pPr>
        <w:rPr>
          <w:rStyle w:val="Hyperlink"/>
          <w:sz w:val="32"/>
          <w:szCs w:val="32"/>
        </w:rPr>
      </w:pPr>
      <w:r w:rsidRPr="000548FA">
        <w:rPr>
          <w:sz w:val="32"/>
          <w:szCs w:val="32"/>
        </w:rPr>
        <w:t xml:space="preserve">Lifemark, ’Case Study: Housing Incentives that Work’, 2 October 2024, available: </w:t>
      </w:r>
      <w:hyperlink r:id="rId44">
        <w:r w:rsidRPr="000548FA">
          <w:rPr>
            <w:rStyle w:val="Hyperlink"/>
            <w:sz w:val="32"/>
            <w:szCs w:val="32"/>
          </w:rPr>
          <w:t>https://www.lifemark.co.nz/our-design-standards/case-studies/article/case-study-housing-incentives-that-work</w:t>
        </w:r>
      </w:hyperlink>
    </w:p>
    <w:p w14:paraId="28088B7D" w14:textId="5C25D9D7" w:rsidR="002E49D8" w:rsidRPr="000548FA" w:rsidRDefault="002E49D8" w:rsidP="00600D7F">
      <w:pPr>
        <w:rPr>
          <w:sz w:val="32"/>
          <w:szCs w:val="32"/>
        </w:rPr>
      </w:pPr>
      <w:r w:rsidRPr="000548FA">
        <w:rPr>
          <w:sz w:val="32"/>
          <w:szCs w:val="32"/>
        </w:rPr>
        <w:t>Mehdipanah</w:t>
      </w:r>
      <w:r w:rsidR="00C61D48" w:rsidRPr="000548FA">
        <w:rPr>
          <w:sz w:val="32"/>
          <w:szCs w:val="32"/>
        </w:rPr>
        <w:t>,</w:t>
      </w:r>
      <w:r w:rsidRPr="000548FA">
        <w:rPr>
          <w:sz w:val="32"/>
          <w:szCs w:val="32"/>
        </w:rPr>
        <w:t xml:space="preserve"> </w:t>
      </w:r>
      <w:r w:rsidR="00C61D48" w:rsidRPr="000548FA">
        <w:rPr>
          <w:sz w:val="32"/>
          <w:szCs w:val="32"/>
        </w:rPr>
        <w:t xml:space="preserve">Roshanak </w:t>
      </w:r>
      <w:r w:rsidRPr="000548FA">
        <w:rPr>
          <w:sz w:val="32"/>
          <w:szCs w:val="32"/>
        </w:rPr>
        <w:t xml:space="preserve">and Lara C. Weinstein, ‘Bricks and mortar of well-being: exploring the housing-health connection, </w:t>
      </w:r>
      <w:r w:rsidRPr="000548FA">
        <w:rPr>
          <w:i/>
          <w:iCs/>
          <w:sz w:val="32"/>
          <w:szCs w:val="32"/>
        </w:rPr>
        <w:t>BMC Public Health</w:t>
      </w:r>
      <w:r w:rsidRPr="000548FA">
        <w:rPr>
          <w:sz w:val="32"/>
          <w:szCs w:val="32"/>
        </w:rPr>
        <w:t xml:space="preserve">, 2023, available: </w:t>
      </w:r>
      <w:hyperlink r:id="rId45" w:history="1">
        <w:r w:rsidR="00C61D48" w:rsidRPr="000548FA">
          <w:rPr>
            <w:rStyle w:val="Hyperlink"/>
            <w:sz w:val="32"/>
            <w:szCs w:val="32"/>
          </w:rPr>
          <w:t>https://bmcpublichealth.biomedcentral.com/articles/10.1186/s12889-023-16844-9</w:t>
        </w:r>
      </w:hyperlink>
      <w:r w:rsidRPr="000548FA">
        <w:rPr>
          <w:sz w:val="32"/>
          <w:szCs w:val="32"/>
        </w:rPr>
        <w:t>.</w:t>
      </w:r>
    </w:p>
    <w:p w14:paraId="42D77A04" w14:textId="77777777" w:rsidR="003712EC" w:rsidRPr="000548FA" w:rsidRDefault="00600D7F" w:rsidP="005C67AC">
      <w:pPr>
        <w:rPr>
          <w:rStyle w:val="Hyperlink"/>
          <w:sz w:val="32"/>
          <w:szCs w:val="32"/>
        </w:rPr>
      </w:pPr>
      <w:r w:rsidRPr="000548FA">
        <w:rPr>
          <w:sz w:val="32"/>
          <w:szCs w:val="32"/>
        </w:rPr>
        <w:t xml:space="preserve">Ministry of Health, </w:t>
      </w:r>
      <w:r w:rsidRPr="000548FA">
        <w:rPr>
          <w:i/>
          <w:iCs/>
          <w:sz w:val="32"/>
          <w:szCs w:val="32"/>
        </w:rPr>
        <w:t>Equipment and Modification Services: Housing Modifications</w:t>
      </w:r>
      <w:r w:rsidRPr="000548FA">
        <w:rPr>
          <w:sz w:val="32"/>
          <w:szCs w:val="32"/>
        </w:rPr>
        <w:t xml:space="preserve"> </w:t>
      </w:r>
      <w:r w:rsidRPr="000548FA">
        <w:rPr>
          <w:i/>
          <w:iCs/>
          <w:sz w:val="32"/>
          <w:szCs w:val="32"/>
        </w:rPr>
        <w:t>Manual</w:t>
      </w:r>
      <w:r w:rsidRPr="000548FA">
        <w:rPr>
          <w:sz w:val="32"/>
          <w:szCs w:val="32"/>
        </w:rPr>
        <w:t xml:space="preserve">, September 2014, available: </w:t>
      </w:r>
      <w:hyperlink r:id="rId46" w:history="1">
        <w:r w:rsidR="00E04041" w:rsidRPr="000548FA">
          <w:rPr>
            <w:rStyle w:val="Hyperlink"/>
            <w:sz w:val="32"/>
            <w:szCs w:val="32"/>
          </w:rPr>
          <w:t>https://www.whaikaha.govt.nz/assets/EMS-Service-Provider-Documents/Housing-modifications-manual.pdf</w:t>
        </w:r>
      </w:hyperlink>
    </w:p>
    <w:p w14:paraId="51AC123B" w14:textId="77777777" w:rsidR="00DB747A" w:rsidRPr="000548FA" w:rsidRDefault="00DB747A" w:rsidP="00600D7F">
      <w:pPr>
        <w:rPr>
          <w:rStyle w:val="Hyperlink"/>
          <w:rFonts w:eastAsia="Verdana" w:cs="Verdana"/>
          <w:sz w:val="32"/>
          <w:szCs w:val="32"/>
          <w:lang w:val="en-US"/>
        </w:rPr>
      </w:pPr>
      <w:r w:rsidRPr="000548FA">
        <w:rPr>
          <w:rFonts w:eastAsia="Verdana" w:cs="Verdana"/>
          <w:sz w:val="32"/>
          <w:szCs w:val="32"/>
        </w:rPr>
        <w:t xml:space="preserve">Ministry of Housing and Urban Development, </w:t>
      </w:r>
      <w:r w:rsidRPr="000548FA">
        <w:rPr>
          <w:rFonts w:eastAsia="Verdana" w:cs="Verdana"/>
          <w:i/>
          <w:iCs/>
          <w:color w:val="000000" w:themeColor="text1"/>
          <w:sz w:val="32"/>
          <w:szCs w:val="32"/>
          <w:lang w:val="en-US"/>
        </w:rPr>
        <w:t>He Oranga Kāinga He Oranga Hapori – Housing and Urban Development Indicators</w:t>
      </w:r>
      <w:r w:rsidRPr="000548FA">
        <w:rPr>
          <w:rFonts w:eastAsia="Verdana" w:cs="Verdana"/>
          <w:color w:val="000000" w:themeColor="text1"/>
          <w:sz w:val="32"/>
          <w:szCs w:val="32"/>
          <w:lang w:val="en-US"/>
        </w:rPr>
        <w:t xml:space="preserve">, available: </w:t>
      </w:r>
      <w:hyperlink r:id="rId47" w:anchor=":~:text=57.4%25%20of%20disabled%20people%20were,in%20an%20owner%2Doccupied%20dwelling.">
        <w:r w:rsidRPr="000548FA">
          <w:rPr>
            <w:sz w:val="32"/>
            <w:szCs w:val="32"/>
          </w:rPr>
          <w:t xml:space="preserve"> </w:t>
        </w:r>
        <w:hyperlink r:id="rId48" w:history="1">
          <w:r w:rsidRPr="000548FA">
            <w:rPr>
              <w:rStyle w:val="Hyperlink"/>
              <w:sz w:val="32"/>
              <w:szCs w:val="32"/>
            </w:rPr>
            <w:t>https://www.hud.govt.nz/stats-and-insights/system-indicators/data-available-for-whanau-maori-pacific-peoples-and-people-with-disabilities</w:t>
          </w:r>
        </w:hyperlink>
        <w:r w:rsidRPr="000548FA">
          <w:rPr>
            <w:rStyle w:val="Hyperlink"/>
            <w:rFonts w:eastAsia="Verdana" w:cs="Verdana"/>
            <w:sz w:val="32"/>
            <w:szCs w:val="32"/>
            <w:lang w:val="en-US"/>
          </w:rPr>
          <w:t xml:space="preserve"> disabilities#:~:text=57.4%25%20of%20disabled%20people%20were,in%20an%20owner%2Doccupied%20dwelling.</w:t>
        </w:r>
      </w:hyperlink>
    </w:p>
    <w:p w14:paraId="57CF05E2" w14:textId="31562A93" w:rsidR="00600D7F" w:rsidRPr="000548FA" w:rsidRDefault="00600D7F" w:rsidP="00600D7F">
      <w:pPr>
        <w:rPr>
          <w:rStyle w:val="Hyperlink"/>
          <w:sz w:val="32"/>
          <w:szCs w:val="32"/>
        </w:rPr>
      </w:pPr>
      <w:r w:rsidRPr="000548FA">
        <w:rPr>
          <w:rFonts w:eastAsia="Verdana" w:cs="Verdana"/>
          <w:color w:val="000000" w:themeColor="text1"/>
          <w:sz w:val="32"/>
          <w:szCs w:val="32"/>
        </w:rPr>
        <w:t xml:space="preserve">Ministry of Housing and Urban Development, ’He whare nā te Māori, mō te Māori, me te Māori Housing by Māori, for Māori and with Māori’, available: </w:t>
      </w:r>
      <w:hyperlink r:id="rId49">
        <w:r w:rsidRPr="000548FA">
          <w:rPr>
            <w:rStyle w:val="Hyperlink"/>
            <w:sz w:val="32"/>
            <w:szCs w:val="32"/>
          </w:rPr>
          <w:t>https://www.hud.govt.nz/our-focus/housing-for-by-and-with-maori</w:t>
        </w:r>
      </w:hyperlink>
    </w:p>
    <w:p w14:paraId="6B7B7D3B" w14:textId="77777777" w:rsidR="00600D7F" w:rsidRPr="000548FA" w:rsidRDefault="00600D7F" w:rsidP="00600D7F">
      <w:pPr>
        <w:rPr>
          <w:rStyle w:val="Hyperlink"/>
          <w:rFonts w:eastAsia="Verdana" w:cs="Verdana"/>
          <w:sz w:val="32"/>
          <w:szCs w:val="32"/>
        </w:rPr>
      </w:pPr>
      <w:r w:rsidRPr="000548FA">
        <w:rPr>
          <w:rFonts w:eastAsia="Verdana" w:cs="Verdana"/>
          <w:sz w:val="32"/>
          <w:szCs w:val="32"/>
        </w:rPr>
        <w:t xml:space="preserve">National Residential Landlords Association, </w:t>
      </w:r>
      <w:r w:rsidRPr="000548FA">
        <w:rPr>
          <w:rFonts w:eastAsia="Verdana" w:cs="Verdana"/>
          <w:i/>
          <w:iCs/>
          <w:sz w:val="32"/>
          <w:szCs w:val="32"/>
        </w:rPr>
        <w:t>Written evidence submitted by National Residential Landlords Association [DPH 010]</w:t>
      </w:r>
      <w:r w:rsidRPr="000548FA">
        <w:rPr>
          <w:rFonts w:eastAsia="Verdana" w:cs="Verdana"/>
          <w:sz w:val="32"/>
          <w:szCs w:val="32"/>
        </w:rPr>
        <w:t xml:space="preserve">, September 2023, available: </w:t>
      </w:r>
      <w:hyperlink r:id="rId50">
        <w:r w:rsidRPr="000548FA">
          <w:rPr>
            <w:rStyle w:val="Hyperlink"/>
            <w:rFonts w:eastAsia="Verdana" w:cs="Verdana"/>
            <w:sz w:val="32"/>
            <w:szCs w:val="32"/>
          </w:rPr>
          <w:t>https://committees.parliament.uk/writtenevidence/124834/html/.</w:t>
        </w:r>
      </w:hyperlink>
    </w:p>
    <w:p w14:paraId="03386F64" w14:textId="6A9A5B7C" w:rsidR="00D07F56" w:rsidRPr="000548FA" w:rsidRDefault="00D07F56" w:rsidP="00600D7F">
      <w:pPr>
        <w:rPr>
          <w:sz w:val="32"/>
          <w:szCs w:val="32"/>
        </w:rPr>
      </w:pPr>
      <w:r w:rsidRPr="000548FA">
        <w:rPr>
          <w:sz w:val="32"/>
          <w:szCs w:val="32"/>
        </w:rPr>
        <w:t xml:space="preserve">New Zealand Disability Support Network, </w:t>
      </w:r>
      <w:r w:rsidRPr="000548FA">
        <w:rPr>
          <w:i/>
          <w:iCs/>
          <w:sz w:val="32"/>
          <w:szCs w:val="32"/>
        </w:rPr>
        <w:t>Accessible housing for disabled people living in Aotearoa New Zealand</w:t>
      </w:r>
      <w:r w:rsidRPr="000548FA">
        <w:rPr>
          <w:sz w:val="32"/>
          <w:szCs w:val="32"/>
        </w:rPr>
        <w:t xml:space="preserve">, November 2022, available: </w:t>
      </w:r>
      <w:hyperlink r:id="rId51" w:history="1">
        <w:r w:rsidR="00D84FBB" w:rsidRPr="000548FA">
          <w:rPr>
            <w:rStyle w:val="Hyperlink"/>
            <w:sz w:val="32"/>
            <w:szCs w:val="32"/>
          </w:rPr>
          <w:t>https://nzdsn.org.nz/wp-content/uploads/2022/11/20221109-Housing-paper.pdf</w:t>
        </w:r>
      </w:hyperlink>
      <w:r w:rsidRPr="000548FA">
        <w:rPr>
          <w:sz w:val="32"/>
          <w:szCs w:val="32"/>
        </w:rPr>
        <w:t>.</w:t>
      </w:r>
    </w:p>
    <w:p w14:paraId="750CF695" w14:textId="3D96C6A7" w:rsidR="00750F77" w:rsidRPr="000548FA" w:rsidRDefault="00750F77" w:rsidP="00600D7F">
      <w:pPr>
        <w:rPr>
          <w:sz w:val="32"/>
          <w:szCs w:val="32"/>
        </w:rPr>
      </w:pPr>
      <w:r w:rsidRPr="000548FA">
        <w:rPr>
          <w:sz w:val="32"/>
          <w:szCs w:val="32"/>
        </w:rPr>
        <w:t xml:space="preserve">‘New Zealand’s housing crisis is worsening’, </w:t>
      </w:r>
      <w:r w:rsidRPr="000548FA">
        <w:rPr>
          <w:i/>
          <w:iCs/>
          <w:sz w:val="32"/>
          <w:szCs w:val="32"/>
        </w:rPr>
        <w:t>The Economist</w:t>
      </w:r>
      <w:r w:rsidRPr="000548FA">
        <w:rPr>
          <w:sz w:val="32"/>
          <w:szCs w:val="32"/>
        </w:rPr>
        <w:t xml:space="preserve">, 12 February 2022, available: </w:t>
      </w:r>
      <w:hyperlink r:id="rId52" w:history="1">
        <w:r w:rsidRPr="000548FA">
          <w:rPr>
            <w:rStyle w:val="Hyperlink"/>
            <w:sz w:val="32"/>
            <w:szCs w:val="32"/>
          </w:rPr>
          <w:t>https://www.economist.com/asia/2022/02/12/new-zealands-housing-crisis-is-worsening</w:t>
        </w:r>
      </w:hyperlink>
    </w:p>
    <w:p w14:paraId="6F53CFB8" w14:textId="57AF2435" w:rsidR="00600D7F" w:rsidRPr="000548FA" w:rsidRDefault="00600D7F" w:rsidP="00600D7F">
      <w:pPr>
        <w:rPr>
          <w:sz w:val="32"/>
          <w:szCs w:val="32"/>
        </w:rPr>
      </w:pPr>
      <w:r w:rsidRPr="000548FA">
        <w:rPr>
          <w:sz w:val="32"/>
          <w:szCs w:val="32"/>
        </w:rPr>
        <w:t xml:space="preserve">OECD, </w:t>
      </w:r>
      <w:r w:rsidRPr="000548FA">
        <w:rPr>
          <w:i/>
          <w:iCs/>
          <w:sz w:val="32"/>
          <w:szCs w:val="32"/>
        </w:rPr>
        <w:t>A crisis on the horizon: Ensuring affordable, accessible housing for people with disabilities, Employment, Labour and Social Affairs Policy Briefs</w:t>
      </w:r>
      <w:r w:rsidRPr="000548FA">
        <w:rPr>
          <w:sz w:val="32"/>
          <w:szCs w:val="32"/>
        </w:rPr>
        <w:t xml:space="preserve">, 2021, available: </w:t>
      </w:r>
      <w:hyperlink r:id="rId53">
        <w:r w:rsidRPr="000548FA">
          <w:rPr>
            <w:rStyle w:val="Hyperlink"/>
            <w:sz w:val="32"/>
            <w:szCs w:val="32"/>
          </w:rPr>
          <w:t>https://www.oecd.org/content/dam/oecd/en/publications/reports/2021/06/crisis-on-the-horizon-ensuring-affordable-accessible-housing-for-people-with-disabilities_9293d1e4/40e857a1-en.pdf</w:t>
        </w:r>
      </w:hyperlink>
      <w:r w:rsidRPr="000548FA">
        <w:rPr>
          <w:sz w:val="32"/>
          <w:szCs w:val="32"/>
        </w:rPr>
        <w:t>.</w:t>
      </w:r>
    </w:p>
    <w:p w14:paraId="5DB07784" w14:textId="77777777" w:rsidR="00701873" w:rsidRPr="000548FA" w:rsidRDefault="00701873" w:rsidP="00701873">
      <w:pPr>
        <w:rPr>
          <w:sz w:val="32"/>
          <w:szCs w:val="32"/>
        </w:rPr>
      </w:pPr>
      <w:r w:rsidRPr="000548FA">
        <w:rPr>
          <w:sz w:val="32"/>
          <w:szCs w:val="32"/>
        </w:rPr>
        <w:t xml:space="preserve">Penrose, Geoff, ’It’s universal design’s time’, Build Magazine, June/July 2019, p. 6, available: </w:t>
      </w:r>
      <w:hyperlink r:id="rId54">
        <w:r w:rsidRPr="000548FA">
          <w:rPr>
            <w:rStyle w:val="Hyperlink"/>
            <w:sz w:val="32"/>
            <w:szCs w:val="32"/>
          </w:rPr>
          <w:t>https://www.buildmagazine.org.nz/assets/PDF/Build-172-6-Opinion-It%27s-Universal-Design%27s-Time.pdf</w:t>
        </w:r>
      </w:hyperlink>
    </w:p>
    <w:p w14:paraId="0196196C" w14:textId="1225AEFA" w:rsidR="00BE3016" w:rsidRPr="000548FA" w:rsidRDefault="00BE3016" w:rsidP="00BE3016">
      <w:pPr>
        <w:rPr>
          <w:rFonts w:eastAsia="Verdana" w:cs="Verdana"/>
          <w:sz w:val="32"/>
          <w:szCs w:val="32"/>
        </w:rPr>
      </w:pPr>
      <w:r w:rsidRPr="000548FA">
        <w:rPr>
          <w:rFonts w:eastAsia="Verdana" w:cs="Verdana"/>
          <w:color w:val="000000" w:themeColor="text1"/>
          <w:sz w:val="32"/>
          <w:szCs w:val="32"/>
        </w:rPr>
        <w:lastRenderedPageBreak/>
        <w:t xml:space="preserve">Riggs, Lynn et al., ‘Environmental burden of disease from unsafe and substandard housing, New Zealand, 2010-2017', </w:t>
      </w:r>
      <w:r w:rsidRPr="000548FA">
        <w:rPr>
          <w:rFonts w:eastAsia="Verdana" w:cs="Verdana"/>
          <w:i/>
          <w:iCs/>
          <w:color w:val="000000" w:themeColor="text1"/>
          <w:sz w:val="32"/>
          <w:szCs w:val="32"/>
        </w:rPr>
        <w:t xml:space="preserve"> Bulletin of the World Health Organisation</w:t>
      </w:r>
      <w:r w:rsidRPr="000548FA">
        <w:rPr>
          <w:rFonts w:eastAsia="Verdana" w:cs="Verdana"/>
          <w:color w:val="000000" w:themeColor="text1"/>
          <w:sz w:val="32"/>
          <w:szCs w:val="32"/>
        </w:rPr>
        <w:t xml:space="preserve">, vol. 99, no. 4, p. 259, available: </w:t>
      </w:r>
      <w:hyperlink r:id="rId55">
        <w:r w:rsidRPr="000548FA">
          <w:rPr>
            <w:rStyle w:val="Hyperlink"/>
            <w:rFonts w:eastAsia="Verdana" w:cs="Verdana"/>
            <w:sz w:val="32"/>
            <w:szCs w:val="32"/>
          </w:rPr>
          <w:t>https://pmc.ncbi.nlm.nih.gov/articles/PMC8085632/pdf/BLT.20.263285.pdf</w:t>
        </w:r>
      </w:hyperlink>
      <w:r w:rsidRPr="000548FA">
        <w:rPr>
          <w:rFonts w:eastAsia="Verdana" w:cs="Verdana"/>
          <w:sz w:val="32"/>
          <w:szCs w:val="32"/>
        </w:rPr>
        <w:t xml:space="preserve"> ; </w:t>
      </w:r>
    </w:p>
    <w:p w14:paraId="5A1A35E3" w14:textId="402F6197" w:rsidR="005C67AC" w:rsidRPr="000548FA" w:rsidRDefault="005C67AC" w:rsidP="005C67AC">
      <w:pPr>
        <w:rPr>
          <w:rFonts w:eastAsia="Verdana"/>
          <w:sz w:val="32"/>
          <w:szCs w:val="32"/>
        </w:rPr>
      </w:pPr>
      <w:r w:rsidRPr="000548FA">
        <w:rPr>
          <w:rFonts w:eastAsia="Verdana"/>
          <w:sz w:val="32"/>
          <w:szCs w:val="32"/>
        </w:rPr>
        <w:t xml:space="preserve">Royal Commission of Inquiry into Abuse in Care and Faith Based Institutions, </w:t>
      </w:r>
      <w:r w:rsidRPr="000548FA">
        <w:rPr>
          <w:rFonts w:eastAsia="Verdana"/>
          <w:i/>
          <w:iCs/>
          <w:sz w:val="32"/>
          <w:szCs w:val="32"/>
        </w:rPr>
        <w:t>Whanaketia</w:t>
      </w:r>
      <w:r w:rsidRPr="000548FA">
        <w:rPr>
          <w:rFonts w:eastAsia="Verdana"/>
          <w:sz w:val="32"/>
          <w:szCs w:val="32"/>
        </w:rPr>
        <w:t>, available</w:t>
      </w:r>
      <w:r w:rsidR="00D6644E" w:rsidRPr="000548FA">
        <w:rPr>
          <w:rFonts w:eastAsia="Verdana"/>
          <w:sz w:val="32"/>
          <w:szCs w:val="32"/>
        </w:rPr>
        <w:t xml:space="preserve">: </w:t>
      </w:r>
      <w:hyperlink r:id="rId56" w:history="1">
        <w:r w:rsidR="00D6644E" w:rsidRPr="000548FA">
          <w:rPr>
            <w:rStyle w:val="Hyperlink"/>
            <w:sz w:val="32"/>
            <w:szCs w:val="32"/>
          </w:rPr>
          <w:t>https://www.abuseincare.org.nz/reports/whanaketia</w:t>
        </w:r>
      </w:hyperlink>
    </w:p>
    <w:p w14:paraId="763B8559" w14:textId="2E433BD1" w:rsidR="00BB5029" w:rsidRPr="000548FA" w:rsidRDefault="00BB5029" w:rsidP="00BB5029">
      <w:pPr>
        <w:pStyle w:val="FootnoteText"/>
        <w:rPr>
          <w:sz w:val="32"/>
          <w:szCs w:val="32"/>
        </w:rPr>
      </w:pPr>
      <w:r w:rsidRPr="000548FA">
        <w:rPr>
          <w:sz w:val="32"/>
          <w:szCs w:val="32"/>
        </w:rPr>
        <w:t xml:space="preserve">Saville-Smith, Kay and James Saville, </w:t>
      </w:r>
      <w:r w:rsidRPr="000548FA">
        <w:rPr>
          <w:i/>
          <w:iCs/>
          <w:sz w:val="32"/>
          <w:szCs w:val="32"/>
        </w:rPr>
        <w:t>Getting Accessible Housing: Practical Approaches to Encouraging Industry Take-up and Meeting Need</w:t>
      </w:r>
      <w:r w:rsidRPr="000548FA">
        <w:rPr>
          <w:sz w:val="32"/>
          <w:szCs w:val="32"/>
        </w:rPr>
        <w:t>, Centre for Research, Evaluation and Social Assessment, August 2012, p. 15.</w:t>
      </w:r>
    </w:p>
    <w:p w14:paraId="6E837649" w14:textId="77777777" w:rsidR="00600D7F" w:rsidRPr="000548FA" w:rsidRDefault="00600D7F" w:rsidP="00600D7F">
      <w:pPr>
        <w:rPr>
          <w:sz w:val="32"/>
          <w:szCs w:val="32"/>
        </w:rPr>
      </w:pPr>
      <w:r w:rsidRPr="000548FA">
        <w:rPr>
          <w:sz w:val="32"/>
          <w:szCs w:val="32"/>
        </w:rPr>
        <w:t xml:space="preserve">Scotts, Margie, Kay Saville-Smith, and Bev James, International Trends in Accessible Housing for People with Disabilities, p. 7, available: </w:t>
      </w:r>
      <w:hyperlink r:id="rId57">
        <w:r w:rsidRPr="000548FA">
          <w:rPr>
            <w:rStyle w:val="Hyperlink"/>
            <w:sz w:val="32"/>
            <w:szCs w:val="32"/>
          </w:rPr>
          <w:t>https://cresa.co.nz/wp-content/uploads/2020/12/working-paper-2.pdf</w:t>
        </w:r>
      </w:hyperlink>
      <w:r w:rsidRPr="000548FA">
        <w:rPr>
          <w:sz w:val="32"/>
          <w:szCs w:val="32"/>
        </w:rPr>
        <w:t xml:space="preserve"> </w:t>
      </w:r>
    </w:p>
    <w:p w14:paraId="70FE6C35" w14:textId="77777777" w:rsidR="005C67AC" w:rsidRPr="000548FA" w:rsidRDefault="005C67AC" w:rsidP="005C67AC">
      <w:pPr>
        <w:rPr>
          <w:rStyle w:val="Hyperlink"/>
          <w:rFonts w:eastAsia="Verdana" w:cs="Verdana"/>
          <w:sz w:val="32"/>
          <w:szCs w:val="32"/>
        </w:rPr>
      </w:pPr>
      <w:r w:rsidRPr="000548FA">
        <w:rPr>
          <w:rFonts w:eastAsia="Verdana" w:cs="Verdana"/>
          <w:color w:val="000000" w:themeColor="text1"/>
          <w:sz w:val="32"/>
          <w:szCs w:val="32"/>
        </w:rPr>
        <w:t xml:space="preserve">Stats NZ, </w:t>
      </w:r>
      <w:r w:rsidRPr="000548FA">
        <w:rPr>
          <w:rFonts w:eastAsia="Verdana" w:cs="Verdana"/>
          <w:i/>
          <w:iCs/>
          <w:color w:val="000000" w:themeColor="text1"/>
          <w:sz w:val="32"/>
          <w:szCs w:val="32"/>
        </w:rPr>
        <w:t>2023 Census severe housing deprivation (homelessness) estimates</w:t>
      </w:r>
      <w:r w:rsidRPr="000548FA">
        <w:rPr>
          <w:rFonts w:eastAsia="Verdana" w:cs="Verdana"/>
          <w:color w:val="000000" w:themeColor="text1"/>
          <w:sz w:val="32"/>
          <w:szCs w:val="32"/>
        </w:rPr>
        <w:t xml:space="preserve">, 4 December 2024, available: </w:t>
      </w:r>
      <w:hyperlink r:id="rId58">
        <w:r w:rsidRPr="000548FA">
          <w:rPr>
            <w:rStyle w:val="Hyperlink"/>
            <w:rFonts w:eastAsia="Verdana" w:cs="Verdana"/>
            <w:sz w:val="32"/>
            <w:szCs w:val="32"/>
          </w:rPr>
          <w:t>https://www.stats.govt.nz/information-releases/2023-census-severe-housing-deprivation-homelessness-estimates/.</w:t>
        </w:r>
      </w:hyperlink>
    </w:p>
    <w:p w14:paraId="2450218E" w14:textId="259F1162" w:rsidR="00AB0F64" w:rsidRPr="000548FA" w:rsidRDefault="00AB0F64" w:rsidP="00702007">
      <w:pPr>
        <w:rPr>
          <w:sz w:val="32"/>
          <w:szCs w:val="32"/>
        </w:rPr>
      </w:pPr>
      <w:r w:rsidRPr="000548FA">
        <w:rPr>
          <w:sz w:val="32"/>
          <w:szCs w:val="32"/>
        </w:rPr>
        <w:t xml:space="preserve">Stats NZ, ‘Child poverty statistics: Year ended June 2024, 20 February 2025’, available: </w:t>
      </w:r>
      <w:hyperlink r:id="rId59" w:history="1">
        <w:r w:rsidRPr="000548FA">
          <w:rPr>
            <w:rStyle w:val="Hyperlink"/>
            <w:sz w:val="32"/>
            <w:szCs w:val="32"/>
          </w:rPr>
          <w:t>https://www.stats.govt.nz/information-releases/child-poverty-statistics-year-ended-june-2024/</w:t>
        </w:r>
      </w:hyperlink>
    </w:p>
    <w:p w14:paraId="6C8E50CA" w14:textId="77777777" w:rsidR="00802EB0" w:rsidRPr="000548FA" w:rsidRDefault="00802EB0" w:rsidP="00802EB0">
      <w:pPr>
        <w:rPr>
          <w:sz w:val="32"/>
          <w:szCs w:val="32"/>
        </w:rPr>
      </w:pPr>
      <w:r w:rsidRPr="000548FA">
        <w:rPr>
          <w:rFonts w:eastAsia="Verdana" w:cs="Verdana"/>
          <w:color w:val="000000" w:themeColor="text1"/>
          <w:sz w:val="32"/>
          <w:szCs w:val="32"/>
          <w:lang w:val="en-US"/>
        </w:rPr>
        <w:t xml:space="preserve">Stats NZ, </w:t>
      </w:r>
      <w:r w:rsidRPr="000548FA">
        <w:rPr>
          <w:rFonts w:eastAsia="Verdana" w:cs="Verdana"/>
          <w:i/>
          <w:iCs/>
          <w:color w:val="000000" w:themeColor="text1"/>
          <w:sz w:val="32"/>
          <w:szCs w:val="32"/>
          <w:lang w:val="en-US"/>
        </w:rPr>
        <w:t>Disability statistics: 2023</w:t>
      </w:r>
      <w:r w:rsidRPr="000548FA">
        <w:rPr>
          <w:rFonts w:eastAsia="Verdana" w:cs="Verdana"/>
          <w:color w:val="000000" w:themeColor="text1"/>
          <w:sz w:val="32"/>
          <w:szCs w:val="32"/>
          <w:lang w:val="en-US"/>
        </w:rPr>
        <w:t xml:space="preserve">, 27 February 2025, available: </w:t>
      </w:r>
      <w:hyperlink r:id="rId60" w:history="1">
        <w:r w:rsidRPr="000548FA">
          <w:rPr>
            <w:rStyle w:val="Hyperlink"/>
            <w:sz w:val="32"/>
            <w:szCs w:val="32"/>
          </w:rPr>
          <w:t>https://www.stats.govt.nz/information-releases/disability-statistics-2023</w:t>
        </w:r>
      </w:hyperlink>
    </w:p>
    <w:p w14:paraId="65123098" w14:textId="77777777" w:rsidR="0073251A" w:rsidRPr="000548FA" w:rsidRDefault="0073251A" w:rsidP="0073251A">
      <w:pPr>
        <w:rPr>
          <w:rStyle w:val="Hyperlink"/>
          <w:sz w:val="32"/>
          <w:szCs w:val="32"/>
        </w:rPr>
      </w:pPr>
      <w:r w:rsidRPr="000548FA">
        <w:rPr>
          <w:rFonts w:eastAsia="Verdana" w:cs="Verdana"/>
          <w:color w:val="000000" w:themeColor="text1"/>
          <w:sz w:val="32"/>
          <w:szCs w:val="32"/>
        </w:rPr>
        <w:t xml:space="preserve">Stats NZ, </w:t>
      </w:r>
      <w:r w:rsidRPr="000548FA">
        <w:rPr>
          <w:rFonts w:eastAsia="Verdana" w:cs="Verdana"/>
          <w:i/>
          <w:iCs/>
          <w:color w:val="000000" w:themeColor="text1"/>
          <w:sz w:val="32"/>
          <w:szCs w:val="32"/>
        </w:rPr>
        <w:t>Measuring inequality for disabled New Zealanders: 2018</w:t>
      </w:r>
      <w:r w:rsidRPr="000548FA">
        <w:rPr>
          <w:rFonts w:eastAsia="Verdana" w:cs="Verdana"/>
          <w:color w:val="000000" w:themeColor="text1"/>
          <w:sz w:val="32"/>
          <w:szCs w:val="32"/>
        </w:rPr>
        <w:t xml:space="preserve">, 28 October 2020, available: </w:t>
      </w:r>
      <w:hyperlink r:id="rId61">
        <w:r w:rsidRPr="000548FA">
          <w:rPr>
            <w:rStyle w:val="Hyperlink"/>
            <w:sz w:val="32"/>
            <w:szCs w:val="32"/>
          </w:rPr>
          <w:t>https://www.stats.govt.nz/reports/measuring-inequality-for-disabled-new-zealanders-2018</w:t>
        </w:r>
      </w:hyperlink>
    </w:p>
    <w:p w14:paraId="20543F5A" w14:textId="0D37C9D1" w:rsidR="005A348D" w:rsidRPr="000548FA" w:rsidRDefault="005A348D" w:rsidP="005A348D">
      <w:pPr>
        <w:pStyle w:val="FootnoteText"/>
        <w:rPr>
          <w:sz w:val="32"/>
          <w:szCs w:val="32"/>
        </w:rPr>
      </w:pPr>
      <w:r w:rsidRPr="000548FA">
        <w:rPr>
          <w:sz w:val="32"/>
          <w:szCs w:val="32"/>
        </w:rPr>
        <w:t xml:space="preserve">Stats NZ, </w:t>
      </w:r>
      <w:r w:rsidRPr="000548FA">
        <w:rPr>
          <w:i/>
          <w:iCs/>
          <w:sz w:val="32"/>
          <w:szCs w:val="32"/>
        </w:rPr>
        <w:t>Wellbeing statistics: 2023</w:t>
      </w:r>
      <w:r w:rsidRPr="000548FA">
        <w:rPr>
          <w:sz w:val="32"/>
          <w:szCs w:val="32"/>
        </w:rPr>
        <w:t xml:space="preserve">, 25 September 2024, available: </w:t>
      </w:r>
      <w:hyperlink r:id="rId62" w:history="1">
        <w:r w:rsidRPr="000548FA">
          <w:rPr>
            <w:rStyle w:val="Hyperlink"/>
            <w:sz w:val="32"/>
            <w:szCs w:val="32"/>
          </w:rPr>
          <w:t>https://www.stats.govt.nz/information-releases/wellbeing-statistics-2023/</w:t>
        </w:r>
      </w:hyperlink>
    </w:p>
    <w:p w14:paraId="7D6A6E43" w14:textId="24402DA6" w:rsidR="00600D7F" w:rsidRPr="000548FA" w:rsidRDefault="1F74D539" w:rsidP="5E86611D">
      <w:pPr>
        <w:rPr>
          <w:rFonts w:eastAsia="Verdana" w:cs="Verdana"/>
          <w:sz w:val="32"/>
          <w:szCs w:val="32"/>
        </w:rPr>
      </w:pPr>
      <w:r w:rsidRPr="000548FA">
        <w:rPr>
          <w:sz w:val="32"/>
          <w:szCs w:val="32"/>
        </w:rPr>
        <w:t xml:space="preserve">Te Puni Kōkiri, </w:t>
      </w:r>
      <w:r w:rsidRPr="000548FA">
        <w:rPr>
          <w:i/>
          <w:iCs/>
          <w:sz w:val="32"/>
          <w:szCs w:val="32"/>
        </w:rPr>
        <w:t>2023/2024 Pūrongo-ā-tau, Annual Report</w:t>
      </w:r>
      <w:r w:rsidRPr="000548FA">
        <w:rPr>
          <w:sz w:val="32"/>
          <w:szCs w:val="32"/>
        </w:rPr>
        <w:t xml:space="preserve">, p. 14, available: </w:t>
      </w:r>
      <w:hyperlink r:id="rId63">
        <w:r w:rsidRPr="000548FA">
          <w:rPr>
            <w:rStyle w:val="Hyperlink"/>
            <w:rFonts w:eastAsia="Verdana" w:cs="Verdana"/>
            <w:sz w:val="32"/>
            <w:szCs w:val="32"/>
          </w:rPr>
          <w:t>https://www.tpk.govt.nz/en/mo-te-puni-kokiri/corporate-documents/corporate-publications/annual-reports/purongoatau-annual-report-2024</w:t>
        </w:r>
      </w:hyperlink>
    </w:p>
    <w:p w14:paraId="748C47BC" w14:textId="6BE52A73" w:rsidR="00600D7F" w:rsidRPr="000548FA" w:rsidRDefault="00600D7F" w:rsidP="5E86611D">
      <w:pPr>
        <w:rPr>
          <w:sz w:val="32"/>
          <w:szCs w:val="32"/>
        </w:rPr>
      </w:pPr>
      <w:r w:rsidRPr="000548FA">
        <w:rPr>
          <w:sz w:val="32"/>
          <w:szCs w:val="32"/>
        </w:rPr>
        <w:t xml:space="preserve">Te Puni Kōkiri, ‘What has been delivered’, 23 September 2022, available: </w:t>
      </w:r>
      <w:hyperlink r:id="rId64">
        <w:r w:rsidRPr="000548FA">
          <w:rPr>
            <w:rStyle w:val="Hyperlink"/>
            <w:sz w:val="32"/>
            <w:szCs w:val="32"/>
          </w:rPr>
          <w:t>https://www.tpk.govt.nz/en/nga-putea-me-nga-ratonga/maori-housing-support/what-funding-is-available</w:t>
        </w:r>
      </w:hyperlink>
    </w:p>
    <w:p w14:paraId="0C159D85" w14:textId="37FE14C9" w:rsidR="0000739C" w:rsidRPr="000548FA" w:rsidRDefault="0000739C" w:rsidP="005C67AC">
      <w:pPr>
        <w:rPr>
          <w:sz w:val="32"/>
          <w:szCs w:val="32"/>
        </w:rPr>
      </w:pPr>
      <w:r w:rsidRPr="000548FA">
        <w:rPr>
          <w:i/>
          <w:iCs/>
          <w:sz w:val="32"/>
          <w:szCs w:val="32"/>
        </w:rPr>
        <w:t>The Building Regulations 2010, Access to and use of buildings</w:t>
      </w:r>
      <w:r w:rsidRPr="000548FA">
        <w:rPr>
          <w:sz w:val="32"/>
          <w:szCs w:val="32"/>
        </w:rPr>
        <w:t xml:space="preserve">, Volume 1, 2015 edition, available: </w:t>
      </w:r>
      <w:hyperlink r:id="rId65" w:history="1">
        <w:r w:rsidR="00D661F9" w:rsidRPr="000548FA">
          <w:rPr>
            <w:rStyle w:val="Hyperlink"/>
            <w:sz w:val="32"/>
            <w:szCs w:val="32"/>
          </w:rPr>
          <w:t>https://assets.publishing.service.gov.uk/media/5a7f8a82ed915d74e622b17b/BR_PDF_AD_M1_2015_with_2016_amendments_V3.pdf</w:t>
        </w:r>
      </w:hyperlink>
    </w:p>
    <w:p w14:paraId="4B8A2065" w14:textId="7B91311A" w:rsidR="005C67AC" w:rsidRPr="000548FA" w:rsidRDefault="005C67AC" w:rsidP="005C67AC">
      <w:pPr>
        <w:rPr>
          <w:sz w:val="32"/>
          <w:szCs w:val="32"/>
        </w:rPr>
      </w:pPr>
      <w:r w:rsidRPr="000548FA">
        <w:rPr>
          <w:sz w:val="32"/>
          <w:szCs w:val="32"/>
        </w:rPr>
        <w:t xml:space="preserve">United Nations, </w:t>
      </w:r>
      <w:r w:rsidRPr="000548FA">
        <w:rPr>
          <w:i/>
          <w:iCs/>
          <w:sz w:val="32"/>
          <w:szCs w:val="32"/>
        </w:rPr>
        <w:t>Convention on the Rights of Persons with Disabilities</w:t>
      </w:r>
      <w:r w:rsidRPr="000548FA">
        <w:rPr>
          <w:sz w:val="32"/>
          <w:szCs w:val="32"/>
        </w:rPr>
        <w:t xml:space="preserve">, 2006, available: </w:t>
      </w:r>
      <w:hyperlink r:id="rId66" w:history="1">
        <w:r w:rsidRPr="000548FA">
          <w:rPr>
            <w:rStyle w:val="Hyperlink"/>
            <w:sz w:val="32"/>
            <w:szCs w:val="32"/>
          </w:rPr>
          <w:t>https://social.desa.un.org/issues/disability/crpd/convention-on-the-rights-of-persons-with-disabilities-crpd</w:t>
        </w:r>
      </w:hyperlink>
    </w:p>
    <w:p w14:paraId="1B23EE72" w14:textId="641ED316" w:rsidR="005C67AC" w:rsidRPr="000548FA" w:rsidRDefault="005C67AC" w:rsidP="005C67AC">
      <w:pPr>
        <w:rPr>
          <w:rFonts w:eastAsia="Verdana"/>
          <w:sz w:val="32"/>
          <w:szCs w:val="32"/>
        </w:rPr>
      </w:pPr>
      <w:r w:rsidRPr="000548FA">
        <w:rPr>
          <w:rFonts w:eastAsia="Verdana"/>
          <w:sz w:val="32"/>
          <w:szCs w:val="32"/>
        </w:rPr>
        <w:lastRenderedPageBreak/>
        <w:t xml:space="preserve">United Nations Committee on the Rights of Persons with Disabilities, </w:t>
      </w:r>
      <w:r w:rsidRPr="000548FA">
        <w:rPr>
          <w:rFonts w:eastAsia="Verdana"/>
          <w:i/>
          <w:iCs/>
          <w:sz w:val="32"/>
          <w:szCs w:val="32"/>
        </w:rPr>
        <w:t>Concluding observations on the combined second and third periodic reports of New Zealand</w:t>
      </w:r>
      <w:r w:rsidRPr="000548FA">
        <w:rPr>
          <w:rFonts w:eastAsia="Verdana"/>
          <w:sz w:val="32"/>
          <w:szCs w:val="32"/>
        </w:rPr>
        <w:t>, CRPD/C/NZL/CO/2-3, 26 September 2022</w:t>
      </w:r>
      <w:r w:rsidR="00702007" w:rsidRPr="000548FA">
        <w:rPr>
          <w:rFonts w:eastAsia="Verdana"/>
          <w:sz w:val="32"/>
          <w:szCs w:val="32"/>
        </w:rPr>
        <w:t>.</w:t>
      </w:r>
    </w:p>
    <w:p w14:paraId="1CA01FF6" w14:textId="77777777" w:rsidR="007C50AA" w:rsidRPr="000548FA" w:rsidRDefault="007C50AA" w:rsidP="00705B18">
      <w:pPr>
        <w:rPr>
          <w:sz w:val="32"/>
          <w:szCs w:val="32"/>
        </w:rPr>
      </w:pPr>
      <w:r w:rsidRPr="000548FA">
        <w:rPr>
          <w:sz w:val="32"/>
          <w:szCs w:val="32"/>
        </w:rPr>
        <w:t xml:space="preserve">United Nations General Assembly, </w:t>
      </w:r>
      <w:r w:rsidRPr="000548FA">
        <w:rPr>
          <w:i/>
          <w:iCs/>
          <w:sz w:val="32"/>
          <w:szCs w:val="32"/>
        </w:rPr>
        <w:t>Report of the Special Rapporteur on adequate housing as a component of the right to an adequate standard of living and on the right to non-discrimination in this context on her visit to New Zealand</w:t>
      </w:r>
      <w:r w:rsidRPr="000548FA">
        <w:rPr>
          <w:sz w:val="32"/>
          <w:szCs w:val="32"/>
        </w:rPr>
        <w:t>, A/HRC/47/43/Add.1, April 2021, pp. 16-17.</w:t>
      </w:r>
    </w:p>
    <w:p w14:paraId="194279BD" w14:textId="66711E31" w:rsidR="00705B18" w:rsidRPr="000548FA" w:rsidRDefault="00705B18" w:rsidP="00705B18">
      <w:pPr>
        <w:rPr>
          <w:sz w:val="32"/>
          <w:szCs w:val="32"/>
        </w:rPr>
      </w:pPr>
      <w:r w:rsidRPr="000548FA">
        <w:rPr>
          <w:sz w:val="32"/>
          <w:szCs w:val="32"/>
        </w:rPr>
        <w:t xml:space="preserve">United Nations, </w:t>
      </w:r>
      <w:r w:rsidRPr="000548FA">
        <w:rPr>
          <w:i/>
          <w:iCs/>
          <w:sz w:val="32"/>
          <w:szCs w:val="32"/>
        </w:rPr>
        <w:t>Universal Declaration of Human Rights</w:t>
      </w:r>
      <w:r w:rsidRPr="000548FA">
        <w:rPr>
          <w:sz w:val="32"/>
          <w:szCs w:val="32"/>
        </w:rPr>
        <w:t xml:space="preserve">, December 1948, available: </w:t>
      </w:r>
      <w:hyperlink r:id="rId67" w:history="1">
        <w:r w:rsidRPr="000548FA">
          <w:rPr>
            <w:rStyle w:val="Hyperlink"/>
            <w:sz w:val="32"/>
            <w:szCs w:val="32"/>
          </w:rPr>
          <w:t>https://www.un.org/en/about-us/universal-declaration-of-human-rights</w:t>
        </w:r>
      </w:hyperlink>
    </w:p>
    <w:p w14:paraId="43F6DFEB" w14:textId="77777777" w:rsidR="00600D7F" w:rsidRPr="000548FA" w:rsidRDefault="00600D7F" w:rsidP="00600D7F">
      <w:pPr>
        <w:rPr>
          <w:rStyle w:val="Hyperlink"/>
          <w:sz w:val="32"/>
          <w:szCs w:val="32"/>
        </w:rPr>
      </w:pPr>
      <w:r w:rsidRPr="000548FA">
        <w:rPr>
          <w:sz w:val="32"/>
          <w:szCs w:val="32"/>
        </w:rPr>
        <w:t xml:space="preserve">Veukiso-Ulugia, A., S. McLean-Orsborn, T. C. Clark, E. Yao, B. Kuresa, B. Drayton, &amp; T. Fleming, </w:t>
      </w:r>
      <w:r w:rsidRPr="000548FA">
        <w:rPr>
          <w:i/>
          <w:iCs/>
          <w:sz w:val="32"/>
          <w:szCs w:val="32"/>
        </w:rPr>
        <w:t>Talavou o le Moana, The Health and Wellbeing of Pacific secondary school students in Aotearoa New Zealand, a Youth19 Report</w:t>
      </w:r>
      <w:r w:rsidRPr="000548FA">
        <w:rPr>
          <w:sz w:val="32"/>
          <w:szCs w:val="32"/>
        </w:rPr>
        <w:t xml:space="preserve">, 2024, p. 107, available: </w:t>
      </w:r>
      <w:hyperlink r:id="rId68">
        <w:r w:rsidRPr="000548FA">
          <w:rPr>
            <w:rStyle w:val="Hyperlink"/>
            <w:sz w:val="32"/>
            <w:szCs w:val="32"/>
          </w:rPr>
          <w:t>https://static1.squarespace.com/static/5bdbb75ccef37259122e59aa/t/66457cf146940b1c7408ff26/1715830085901/Pasifika+Report_Interactive_130524.pdf</w:t>
        </w:r>
      </w:hyperlink>
    </w:p>
    <w:p w14:paraId="6891B755" w14:textId="666C7EE5" w:rsidR="00816D48" w:rsidRPr="000548FA" w:rsidRDefault="009D7433" w:rsidP="59E4CBE9">
      <w:pPr>
        <w:rPr>
          <w:sz w:val="32"/>
          <w:szCs w:val="32"/>
        </w:rPr>
      </w:pPr>
      <w:r w:rsidRPr="000548FA">
        <w:rPr>
          <w:sz w:val="32"/>
          <w:szCs w:val="32"/>
        </w:rPr>
        <w:t xml:space="preserve">Wevers, </w:t>
      </w:r>
      <w:r w:rsidR="00705B18" w:rsidRPr="000548FA">
        <w:rPr>
          <w:sz w:val="32"/>
          <w:szCs w:val="32"/>
        </w:rPr>
        <w:t xml:space="preserve">Maarten, Leanne Spice, Murray Edridge, </w:t>
      </w:r>
      <w:r w:rsidR="00705B18" w:rsidRPr="000548FA">
        <w:rPr>
          <w:i/>
          <w:iCs/>
          <w:sz w:val="32"/>
          <w:szCs w:val="32"/>
        </w:rPr>
        <w:t>Independent Review of Disability Support Services</w:t>
      </w:r>
      <w:r w:rsidR="00705B18" w:rsidRPr="000548FA">
        <w:rPr>
          <w:sz w:val="32"/>
          <w:szCs w:val="32"/>
        </w:rPr>
        <w:t>, June 2024</w:t>
      </w:r>
      <w:r w:rsidR="00702007" w:rsidRPr="000548FA">
        <w:rPr>
          <w:sz w:val="32"/>
          <w:szCs w:val="32"/>
        </w:rPr>
        <w:t>.</w:t>
      </w:r>
      <w:bookmarkEnd w:id="0"/>
    </w:p>
    <w:sectPr w:rsidR="00816D48" w:rsidRPr="000548FA" w:rsidSect="00E04041">
      <w:headerReference w:type="first" r:id="rId69"/>
      <w:pgSz w:w="23811" w:h="16838" w:orient="landscape" w:code="8"/>
      <w:pgMar w:top="1134" w:right="1134" w:bottom="1134" w:left="1134"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79A09" w14:textId="77777777" w:rsidR="00FB2CB0" w:rsidRDefault="00FB2CB0">
      <w:r>
        <w:separator/>
      </w:r>
    </w:p>
    <w:p w14:paraId="450D4FF8" w14:textId="77777777" w:rsidR="00FB2CB0" w:rsidRDefault="00FB2CB0"/>
  </w:endnote>
  <w:endnote w:type="continuationSeparator" w:id="0">
    <w:p w14:paraId="62C7D530" w14:textId="77777777" w:rsidR="00FB2CB0" w:rsidRDefault="00FB2CB0">
      <w:r>
        <w:continuationSeparator/>
      </w:r>
    </w:p>
    <w:p w14:paraId="274A7306" w14:textId="77777777" w:rsidR="00FB2CB0" w:rsidRDefault="00FB2CB0"/>
  </w:endnote>
  <w:endnote w:type="continuationNotice" w:id="1">
    <w:p w14:paraId="11EE35C8" w14:textId="77777777" w:rsidR="00FB2CB0" w:rsidRDefault="00FB2CB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TT)">
    <w:altName w:val="Arial"/>
    <w:panose1 w:val="00000000000000000000"/>
    <w:charset w:val="00"/>
    <w:family w:val="auto"/>
    <w:notTrueType/>
    <w:pitch w:val="default"/>
    <w:sig w:usb0="00000003" w:usb1="00000000" w:usb2="00000000" w:usb3="00000000" w:csb0="00000001" w:csb1="00000000"/>
  </w:font>
  <w:font w:name="Verdana Pro Semibold">
    <w:panose1 w:val="020B0704030504040204"/>
    <w:charset w:val="00"/>
    <w:family w:val="swiss"/>
    <w:pitch w:val="variable"/>
    <w:sig w:usb0="80000287" w:usb1="00000043" w:usb2="00000000" w:usb3="00000000" w:csb0="0000009F" w:csb1="00000000"/>
  </w:font>
  <w:font w:name="Arial (TT) Regular">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F7545" w14:textId="437C2B06" w:rsidR="00B61A5F" w:rsidRPr="00D77A96" w:rsidRDefault="00C27FB3" w:rsidP="00FE3D9A">
    <w:pPr>
      <w:pStyle w:val="Style1"/>
    </w:pPr>
    <w:r>
      <w:tab/>
    </w:r>
    <w:r w:rsidR="008A3F2E">
      <w:t xml:space="preserve">Key issues and opportunities for disabled people in housing </w:t>
    </w:r>
    <w:r>
      <w:tab/>
    </w:r>
    <w:r>
      <w:fldChar w:fldCharType="begin"/>
    </w:r>
    <w:r>
      <w:instrText xml:space="preserve"> PAGE </w:instrText>
    </w:r>
    <w:r>
      <w:fldChar w:fldCharType="separate"/>
    </w:r>
    <w:r w:rsidR="278D62C0">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BFAA" w14:textId="352842AB" w:rsidR="00B61A5F" w:rsidRPr="00F27E90" w:rsidRDefault="00F87660" w:rsidP="00F27E90">
    <w:pPr>
      <w:pStyle w:val="TemplateFooter"/>
      <w:ind w:right="-676"/>
      <w:rPr>
        <w:sz w:val="18"/>
      </w:rPr>
    </w:pP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D2834" w14:textId="77777777" w:rsidR="00FB2CB0" w:rsidRDefault="00FB2CB0">
      <w:r>
        <w:separator/>
      </w:r>
    </w:p>
    <w:p w14:paraId="1DCC0578" w14:textId="77777777" w:rsidR="00FB2CB0" w:rsidRDefault="00FB2CB0"/>
  </w:footnote>
  <w:footnote w:type="continuationSeparator" w:id="0">
    <w:p w14:paraId="468DFBFE" w14:textId="77777777" w:rsidR="00FB2CB0" w:rsidRDefault="00FB2CB0">
      <w:r>
        <w:continuationSeparator/>
      </w:r>
    </w:p>
    <w:p w14:paraId="50090901" w14:textId="77777777" w:rsidR="00FB2CB0" w:rsidRDefault="00FB2CB0"/>
  </w:footnote>
  <w:footnote w:type="continuationNotice" w:id="1">
    <w:p w14:paraId="1503BF27" w14:textId="77777777" w:rsidR="00FB2CB0" w:rsidRDefault="00FB2CB0">
      <w:pPr>
        <w:spacing w:before="0" w:after="0" w:line="240" w:lineRule="auto"/>
      </w:pPr>
    </w:p>
  </w:footnote>
  <w:footnote w:id="2">
    <w:p w14:paraId="66A8A0BE" w14:textId="6C078F4F" w:rsidR="5C6FD28D" w:rsidRPr="002C46D8" w:rsidRDefault="5C6FD28D" w:rsidP="009A3F2D">
      <w:pPr>
        <w:spacing w:after="0" w:line="240" w:lineRule="auto"/>
      </w:pPr>
      <w:r w:rsidRPr="002C46D8">
        <w:rPr>
          <w:rStyle w:val="FootnoteReference"/>
          <w:sz w:val="22"/>
          <w:szCs w:val="22"/>
        </w:rPr>
        <w:footnoteRef/>
      </w:r>
      <w:r w:rsidRPr="002C46D8">
        <w:t xml:space="preserve"> </w:t>
      </w:r>
      <w:r w:rsidR="00DC6514" w:rsidRPr="002C46D8">
        <w:t xml:space="preserve">United Nations, </w:t>
      </w:r>
      <w:r w:rsidR="00DC6514" w:rsidRPr="002C46D8">
        <w:rPr>
          <w:i/>
          <w:iCs/>
        </w:rPr>
        <w:t>Universal Declaration of Human Rights</w:t>
      </w:r>
      <w:r w:rsidR="00DC6514" w:rsidRPr="002C46D8">
        <w:t xml:space="preserve">, December 1948, available: </w:t>
      </w:r>
      <w:hyperlink r:id="rId1" w:history="1">
        <w:r w:rsidR="00DC6514" w:rsidRPr="002C46D8">
          <w:rPr>
            <w:rStyle w:val="Hyperlink"/>
          </w:rPr>
          <w:t>https://www.un.org/en/about-us/universal-declaration-of-human-rights</w:t>
        </w:r>
      </w:hyperlink>
    </w:p>
  </w:footnote>
  <w:footnote w:id="3">
    <w:p w14:paraId="048868ED" w14:textId="7BDD4FB3" w:rsidR="5C6FD28D" w:rsidRPr="002C46D8" w:rsidRDefault="5C6FD28D" w:rsidP="009A3F2D">
      <w:pPr>
        <w:spacing w:before="0" w:after="0" w:line="240" w:lineRule="auto"/>
      </w:pPr>
      <w:r w:rsidRPr="002C46D8">
        <w:rPr>
          <w:rStyle w:val="FootnoteReference"/>
          <w:sz w:val="22"/>
          <w:szCs w:val="22"/>
        </w:rPr>
        <w:footnoteRef/>
      </w:r>
      <w:r w:rsidRPr="002C46D8">
        <w:t xml:space="preserve"> </w:t>
      </w:r>
      <w:r w:rsidR="007A70D7" w:rsidRPr="002C46D8">
        <w:t xml:space="preserve">United Nations, </w:t>
      </w:r>
      <w:r w:rsidR="007A70D7" w:rsidRPr="002C46D8">
        <w:rPr>
          <w:i/>
          <w:iCs/>
        </w:rPr>
        <w:t>Convention on the Rights of Persons with Disabilities</w:t>
      </w:r>
      <w:r w:rsidR="007A70D7" w:rsidRPr="002C46D8">
        <w:t xml:space="preserve">, 2006, available: </w:t>
      </w:r>
      <w:hyperlink r:id="rId2" w:history="1">
        <w:r w:rsidR="007A70D7" w:rsidRPr="002C46D8">
          <w:rPr>
            <w:rStyle w:val="Hyperlink"/>
          </w:rPr>
          <w:t>https://social.desa.un.org/issues/disability/crpd/convention-on-the-rights-of-persons-with-disabilities-crpd</w:t>
        </w:r>
      </w:hyperlink>
    </w:p>
  </w:footnote>
  <w:footnote w:id="4">
    <w:p w14:paraId="030FEE24" w14:textId="3DC61B43" w:rsidR="69CE403C" w:rsidRPr="002C46D8" w:rsidRDefault="69CE403C" w:rsidP="009A3F2D">
      <w:pPr>
        <w:spacing w:before="0" w:after="0" w:line="240" w:lineRule="auto"/>
        <w:rPr>
          <w:vertAlign w:val="superscript"/>
          <w:lang w:eastAsia="x-none"/>
        </w:rPr>
      </w:pPr>
      <w:r w:rsidRPr="002C46D8">
        <w:rPr>
          <w:rStyle w:val="FootnoteReference"/>
          <w:sz w:val="22"/>
          <w:szCs w:val="22"/>
        </w:rPr>
        <w:footnoteRef/>
      </w:r>
      <w:r w:rsidRPr="002C46D8">
        <w:t xml:space="preserve"> </w:t>
      </w:r>
      <w:r w:rsidR="000C53C1" w:rsidRPr="002C46D8">
        <w:t xml:space="preserve">Human Rights Commission, </w:t>
      </w:r>
      <w:r w:rsidR="000C53C1" w:rsidRPr="002C46D8">
        <w:rPr>
          <w:i/>
          <w:iCs/>
        </w:rPr>
        <w:t>Right to a Decent Home, Tika kia te Whai Whare Rawaka</w:t>
      </w:r>
      <w:r w:rsidR="000C53C1" w:rsidRPr="002C46D8">
        <w:t xml:space="preserve">, available: </w:t>
      </w:r>
      <w:hyperlink r:id="rId3" w:history="1">
        <w:r w:rsidR="00B739C4" w:rsidRPr="002C46D8">
          <w:rPr>
            <w:rStyle w:val="Hyperlink"/>
          </w:rPr>
          <w:t>https://tikatangata.org.nz/human-rights-in-aotearoa/right-to-housing</w:t>
        </w:r>
      </w:hyperlink>
    </w:p>
  </w:footnote>
  <w:footnote w:id="5">
    <w:p w14:paraId="5B99D342" w14:textId="1702EC4D" w:rsidR="5C6FD28D" w:rsidRPr="002C46D8" w:rsidRDefault="5C6FD28D" w:rsidP="009A3F2D">
      <w:pPr>
        <w:pStyle w:val="FootnoteText"/>
        <w:spacing w:before="0" w:line="240" w:lineRule="auto"/>
        <w:rPr>
          <w:rFonts w:eastAsia="Verdana" w:cs="Verdana"/>
          <w:sz w:val="22"/>
          <w:szCs w:val="22"/>
          <w:lang w:val="en-US"/>
        </w:rPr>
      </w:pPr>
      <w:r w:rsidRPr="002C46D8">
        <w:rPr>
          <w:rStyle w:val="FootnoteReference"/>
          <w:rFonts w:eastAsia="Verdana" w:cs="Verdana"/>
          <w:sz w:val="22"/>
          <w:szCs w:val="22"/>
        </w:rPr>
        <w:footnoteRef/>
      </w:r>
      <w:r w:rsidR="278D62C0" w:rsidRPr="002C46D8">
        <w:rPr>
          <w:rFonts w:eastAsia="Verdana" w:cs="Verdana"/>
          <w:sz w:val="22"/>
          <w:szCs w:val="22"/>
        </w:rPr>
        <w:t xml:space="preserve"> </w:t>
      </w:r>
      <w:r w:rsidR="278D62C0" w:rsidRPr="002C46D8" w:rsidDel="0004439A">
        <w:rPr>
          <w:rFonts w:eastAsia="Verdana" w:cs="Verdana"/>
          <w:color w:val="000000" w:themeColor="text1"/>
          <w:sz w:val="22"/>
          <w:szCs w:val="22"/>
          <w:lang w:val="en-US"/>
        </w:rPr>
        <w:t xml:space="preserve">Lynn </w:t>
      </w:r>
      <w:r w:rsidR="278D62C0" w:rsidRPr="002C46D8">
        <w:rPr>
          <w:rFonts w:eastAsia="Verdana" w:cs="Verdana"/>
          <w:color w:val="000000" w:themeColor="text1"/>
          <w:sz w:val="22"/>
          <w:szCs w:val="22"/>
          <w:lang w:val="en-US"/>
        </w:rPr>
        <w:t xml:space="preserve">Riggs et al., ‘Environmental burden of disease from unsafe and substandard housing, New Zealand, 2010-2017', </w:t>
      </w:r>
      <w:r w:rsidR="278D62C0" w:rsidRPr="002C46D8">
        <w:rPr>
          <w:rFonts w:eastAsia="Verdana" w:cs="Verdana"/>
          <w:i/>
          <w:iCs/>
          <w:color w:val="000000" w:themeColor="text1"/>
          <w:sz w:val="22"/>
          <w:szCs w:val="22"/>
          <w:lang w:val="en-US"/>
        </w:rPr>
        <w:t>Bulletin of the World Health Organisation</w:t>
      </w:r>
      <w:r w:rsidR="278D62C0" w:rsidRPr="002C46D8">
        <w:rPr>
          <w:rFonts w:eastAsia="Verdana" w:cs="Verdana"/>
          <w:color w:val="000000" w:themeColor="text1"/>
          <w:sz w:val="22"/>
          <w:szCs w:val="22"/>
          <w:lang w:val="en-US"/>
        </w:rPr>
        <w:t>, vol. 99, no. 4, p. 259</w:t>
      </w:r>
      <w:r w:rsidR="278D62C0" w:rsidRPr="002C46D8">
        <w:rPr>
          <w:rFonts w:eastAsia="Verdana" w:cs="Verdana"/>
          <w:sz w:val="22"/>
          <w:szCs w:val="22"/>
          <w:lang w:val="en-US"/>
        </w:rPr>
        <w:t xml:space="preserve">; Elinor Chisholm et al., </w:t>
      </w:r>
      <w:r w:rsidR="00A4130E" w:rsidRPr="002C46D8">
        <w:rPr>
          <w:rFonts w:eastAsia="Verdana" w:cs="Verdana"/>
          <w:sz w:val="22"/>
          <w:szCs w:val="22"/>
          <w:lang w:val="en-US"/>
        </w:rPr>
        <w:t>‘</w:t>
      </w:r>
      <w:r w:rsidR="278D62C0" w:rsidRPr="002C46D8">
        <w:rPr>
          <w:rFonts w:eastAsia="Verdana" w:cs="Verdana"/>
          <w:sz w:val="22"/>
          <w:szCs w:val="22"/>
          <w:lang w:val="en-US"/>
        </w:rPr>
        <w:t xml:space="preserve">”Freedom to move through the house”: How a healthy housing initiative improves quality of life in Aotearoa New Zealand’, </w:t>
      </w:r>
      <w:r w:rsidR="278D62C0" w:rsidRPr="002C46D8">
        <w:rPr>
          <w:rFonts w:eastAsia="Verdana" w:cs="Verdana"/>
          <w:i/>
          <w:iCs/>
          <w:sz w:val="22"/>
          <w:szCs w:val="22"/>
          <w:lang w:val="en-US"/>
        </w:rPr>
        <w:t>Environmental Health</w:t>
      </w:r>
      <w:r w:rsidR="278D62C0" w:rsidRPr="002C46D8">
        <w:rPr>
          <w:rFonts w:eastAsia="Verdana" w:cs="Verdana"/>
          <w:sz w:val="22"/>
          <w:szCs w:val="22"/>
          <w:lang w:val="en-US"/>
        </w:rPr>
        <w:t>, vol. 48, no. 5, 2024, October 2024, p. 1.</w:t>
      </w:r>
    </w:p>
  </w:footnote>
  <w:footnote w:id="6">
    <w:p w14:paraId="1CFF1248" w14:textId="77777777" w:rsidR="001F4EB0" w:rsidRPr="002C46D8" w:rsidRDefault="001F4EB0"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Roshanak Mehdipanah and Lara C. Weinstein, ‘Bricks and mortar of well-being: exploring the housing-health connection, </w:t>
      </w:r>
      <w:r w:rsidRPr="002C46D8">
        <w:rPr>
          <w:i/>
          <w:iCs/>
          <w:sz w:val="22"/>
          <w:szCs w:val="22"/>
        </w:rPr>
        <w:t>BMC Public Health</w:t>
      </w:r>
      <w:r w:rsidRPr="002C46D8">
        <w:rPr>
          <w:sz w:val="22"/>
          <w:szCs w:val="22"/>
        </w:rPr>
        <w:t>, 2023, p. 1.</w:t>
      </w:r>
    </w:p>
  </w:footnote>
  <w:footnote w:id="7">
    <w:p w14:paraId="4385093B" w14:textId="09E686BA" w:rsidR="00146CB2" w:rsidRPr="002C46D8" w:rsidRDefault="00146CB2" w:rsidP="006746CE">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6746CE" w:rsidRPr="002C46D8">
        <w:rPr>
          <w:rFonts w:eastAsia="Verdana" w:cs="Verdana"/>
          <w:color w:val="000000" w:themeColor="text1"/>
          <w:sz w:val="22"/>
          <w:szCs w:val="22"/>
        </w:rPr>
        <w:t xml:space="preserve">Donald Beasley Institute, </w:t>
      </w:r>
      <w:r w:rsidR="006746CE" w:rsidRPr="002C46D8">
        <w:rPr>
          <w:rFonts w:eastAsia="Verdana" w:cs="Verdana"/>
          <w:i/>
          <w:iCs/>
          <w:color w:val="000000" w:themeColor="text1"/>
          <w:sz w:val="22"/>
          <w:szCs w:val="22"/>
        </w:rPr>
        <w:t xml:space="preserve">My Experiences, My Rights: A Monitoring Report on Disabled Person’s Experience of Housing in Aotearoa New Zealand, </w:t>
      </w:r>
      <w:r w:rsidR="006746CE" w:rsidRPr="002C46D8">
        <w:rPr>
          <w:rFonts w:eastAsia="Verdana" w:cs="Verdana"/>
          <w:color w:val="000000" w:themeColor="text1"/>
          <w:sz w:val="22"/>
          <w:szCs w:val="22"/>
        </w:rPr>
        <w:t>2020, p. 53.</w:t>
      </w:r>
    </w:p>
  </w:footnote>
  <w:footnote w:id="8">
    <w:p w14:paraId="4CA6C384" w14:textId="266EAD1D" w:rsidR="278D62C0" w:rsidRPr="002C46D8" w:rsidRDefault="278D62C0" w:rsidP="009A3F2D">
      <w:pPr>
        <w:pStyle w:val="FootnoteText"/>
        <w:spacing w:before="0" w:line="240" w:lineRule="auto"/>
        <w:rPr>
          <w:rFonts w:eastAsia="Verdana" w:cs="Verdana"/>
          <w:sz w:val="22"/>
          <w:szCs w:val="22"/>
        </w:rPr>
      </w:pPr>
      <w:r w:rsidRPr="002C46D8">
        <w:rPr>
          <w:rStyle w:val="FootnoteReference"/>
          <w:rFonts w:eastAsia="Verdana" w:cs="Verdana"/>
          <w:sz w:val="22"/>
          <w:szCs w:val="22"/>
        </w:rPr>
        <w:footnoteRef/>
      </w:r>
      <w:r w:rsidRPr="002C46D8">
        <w:rPr>
          <w:rFonts w:eastAsia="Verdana" w:cs="Verdana"/>
          <w:sz w:val="22"/>
          <w:szCs w:val="22"/>
        </w:rPr>
        <w:t xml:space="preserve"> </w:t>
      </w:r>
      <w:r w:rsidRPr="002C46D8">
        <w:rPr>
          <w:rFonts w:eastAsia="Verdana" w:cs="Verdana"/>
          <w:color w:val="000000" w:themeColor="text1"/>
          <w:sz w:val="22"/>
          <w:szCs w:val="22"/>
          <w:lang w:val="en-US"/>
        </w:rPr>
        <w:t xml:space="preserve">Phillippa Howden-Chapman et al., ‘The Effects of Housing on Health and Well-Being in Aotearoa New Zealand’, </w:t>
      </w:r>
      <w:r w:rsidRPr="002C46D8">
        <w:rPr>
          <w:rFonts w:eastAsia="Verdana" w:cs="Verdana"/>
          <w:i/>
          <w:iCs/>
          <w:color w:val="000000" w:themeColor="text1"/>
          <w:sz w:val="22"/>
          <w:szCs w:val="22"/>
          <w:lang w:val="en-US"/>
        </w:rPr>
        <w:t>New Zealand Population Review</w:t>
      </w:r>
      <w:r w:rsidRPr="002C46D8">
        <w:rPr>
          <w:rFonts w:eastAsia="Verdana" w:cs="Verdana"/>
          <w:color w:val="000000" w:themeColor="text1"/>
          <w:sz w:val="22"/>
          <w:szCs w:val="22"/>
          <w:lang w:val="en-US"/>
        </w:rPr>
        <w:t xml:space="preserve">, vol. </w:t>
      </w:r>
      <w:r w:rsidR="00976847" w:rsidRPr="002C46D8">
        <w:rPr>
          <w:rFonts w:eastAsia="Verdana" w:cs="Verdana"/>
          <w:color w:val="000000" w:themeColor="text1"/>
          <w:sz w:val="22"/>
          <w:szCs w:val="22"/>
          <w:lang w:val="en-US"/>
        </w:rPr>
        <w:t>47</w:t>
      </w:r>
      <w:r w:rsidRPr="002C46D8">
        <w:rPr>
          <w:rFonts w:eastAsia="Verdana" w:cs="Verdana"/>
          <w:color w:val="000000" w:themeColor="text1"/>
          <w:sz w:val="22"/>
          <w:szCs w:val="22"/>
          <w:lang w:val="en-US"/>
        </w:rPr>
        <w:t>, p. 18</w:t>
      </w:r>
      <w:r w:rsidR="00A24CDD" w:rsidRPr="002C46D8">
        <w:rPr>
          <w:rFonts w:eastAsia="Verdana" w:cs="Verdana"/>
          <w:color w:val="000000" w:themeColor="text1"/>
          <w:sz w:val="22"/>
          <w:szCs w:val="22"/>
          <w:lang w:val="en-US"/>
        </w:rPr>
        <w:t>.</w:t>
      </w:r>
    </w:p>
  </w:footnote>
  <w:footnote w:id="9">
    <w:p w14:paraId="5099FAA0" w14:textId="7E77B036" w:rsidR="278D62C0" w:rsidRPr="002C46D8" w:rsidRDefault="278D62C0" w:rsidP="002C46D8">
      <w:pPr>
        <w:pStyle w:val="FootnoteText"/>
        <w:spacing w:before="0" w:line="240" w:lineRule="auto"/>
        <w:rPr>
          <w:rFonts w:eastAsia="Verdana" w:cs="Verdana"/>
          <w:sz w:val="22"/>
          <w:szCs w:val="22"/>
        </w:rPr>
      </w:pPr>
      <w:r w:rsidRPr="002C46D8">
        <w:rPr>
          <w:rStyle w:val="FootnoteReference"/>
          <w:rFonts w:eastAsia="Verdana" w:cs="Verdana"/>
          <w:sz w:val="22"/>
          <w:szCs w:val="22"/>
        </w:rPr>
        <w:footnoteRef/>
      </w:r>
      <w:r w:rsidRPr="002C46D8">
        <w:rPr>
          <w:rFonts w:eastAsia="Verdana" w:cs="Verdana"/>
          <w:sz w:val="22"/>
          <w:szCs w:val="22"/>
        </w:rPr>
        <w:t xml:space="preserve"> Ministry of Housing and Urban Development, </w:t>
      </w:r>
      <w:r w:rsidRPr="002C46D8">
        <w:rPr>
          <w:rFonts w:eastAsia="Verdana" w:cs="Verdana"/>
          <w:i/>
          <w:iCs/>
          <w:color w:val="000000" w:themeColor="text1"/>
          <w:sz w:val="22"/>
          <w:szCs w:val="22"/>
          <w:lang w:val="en-US"/>
        </w:rPr>
        <w:t>He Oranga Kāinga He Oranga Hapori – Housing and Urban Development Indicators</w:t>
      </w:r>
      <w:r w:rsidRPr="002C46D8">
        <w:rPr>
          <w:rFonts w:eastAsia="Verdana" w:cs="Verdana"/>
          <w:color w:val="000000" w:themeColor="text1"/>
          <w:sz w:val="22"/>
          <w:szCs w:val="22"/>
          <w:lang w:val="en-US"/>
        </w:rPr>
        <w:t xml:space="preserve">, available: </w:t>
      </w:r>
      <w:hyperlink r:id="rId4" w:anchor=":~:text=57.4%25%20of%20disabled%20people%20were,in%20an%20owner%2Doccupied%20dwelling.">
        <w:r w:rsidR="00DB747A" w:rsidRPr="002C46D8">
          <w:rPr>
            <w:sz w:val="22"/>
            <w:szCs w:val="22"/>
          </w:rPr>
          <w:t xml:space="preserve"> </w:t>
        </w:r>
        <w:hyperlink r:id="rId5" w:history="1">
          <w:r w:rsidR="00DB747A" w:rsidRPr="002C46D8">
            <w:rPr>
              <w:rStyle w:val="Hyperlink"/>
              <w:sz w:val="22"/>
              <w:szCs w:val="22"/>
            </w:rPr>
            <w:t>https://www.hud.govt.nz/stats-and-insights/system-indicators/data-available-for-whanau-maori-pacific-peoples-and-people-with-disabilities</w:t>
          </w:r>
        </w:hyperlink>
        <w:r w:rsidR="00DB747A" w:rsidRPr="002C46D8">
          <w:rPr>
            <w:rStyle w:val="Hyperlink"/>
            <w:rFonts w:eastAsia="Verdana" w:cs="Verdana"/>
            <w:sz w:val="22"/>
            <w:szCs w:val="22"/>
            <w:lang w:val="en-US"/>
          </w:rPr>
          <w:t xml:space="preserve"> </w:t>
        </w:r>
        <w:r w:rsidRPr="002C46D8">
          <w:rPr>
            <w:rStyle w:val="Hyperlink"/>
            <w:rFonts w:eastAsia="Verdana" w:cs="Verdana"/>
            <w:sz w:val="22"/>
            <w:szCs w:val="22"/>
            <w:lang w:val="en-US"/>
          </w:rPr>
          <w:t>disabilities#:~:text=57.4%25%20of%20disabled%20people%20were,in%20an%20owner%2Doccupied%20dwelling.</w:t>
        </w:r>
      </w:hyperlink>
    </w:p>
  </w:footnote>
  <w:footnote w:id="10">
    <w:p w14:paraId="627F9D70" w14:textId="77777777" w:rsidR="5965EF40" w:rsidRPr="002C46D8" w:rsidRDefault="5965EF40"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Stats NZ, </w:t>
      </w:r>
      <w:r w:rsidRPr="002C46D8">
        <w:rPr>
          <w:i/>
          <w:iCs/>
          <w:sz w:val="22"/>
          <w:szCs w:val="22"/>
        </w:rPr>
        <w:t>Wellbeing statistics: 2023</w:t>
      </w:r>
      <w:r w:rsidRPr="002C46D8">
        <w:rPr>
          <w:sz w:val="22"/>
          <w:szCs w:val="22"/>
        </w:rPr>
        <w:t xml:space="preserve">, 25 September 2024, available: </w:t>
      </w:r>
      <w:hyperlink r:id="rId6">
        <w:r w:rsidRPr="002C46D8">
          <w:rPr>
            <w:rStyle w:val="Hyperlink"/>
            <w:sz w:val="22"/>
            <w:szCs w:val="22"/>
          </w:rPr>
          <w:t>https://www.stats.govt.nz/information-releases/wellbeing-statistics-2023/</w:t>
        </w:r>
      </w:hyperlink>
    </w:p>
  </w:footnote>
  <w:footnote w:id="11">
    <w:p w14:paraId="56629B57" w14:textId="6D05ED2C" w:rsidR="004D5C6C" w:rsidRPr="002C46D8" w:rsidRDefault="004D5C6C"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Ibid.</w:t>
      </w:r>
    </w:p>
  </w:footnote>
  <w:footnote w:id="12">
    <w:p w14:paraId="595C3FEF" w14:textId="77777777" w:rsidR="00704AC7" w:rsidRPr="002C46D8" w:rsidRDefault="00704AC7"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7" w:anchor=":~:text=As%20at%20the%202023%20Census,deprivation%20status%20for%20355%2C299%20people." w:history="1">
        <w:r w:rsidRPr="002C46D8">
          <w:rPr>
            <w:rStyle w:val="Hyperlink"/>
            <w:sz w:val="22"/>
            <w:szCs w:val="22"/>
          </w:rPr>
          <w:t>https://www.stats.govt.nz/information-releases/2023-census-severe-housing-deprivation-homelessness-estimates/#:~:text=As%20at%20the%202023%20Census,deprivation%20status%20for%20355%2C299%20people.</w:t>
        </w:r>
      </w:hyperlink>
    </w:p>
  </w:footnote>
  <w:footnote w:id="13">
    <w:p w14:paraId="3B5E1796" w14:textId="234B0888" w:rsidR="278D62C0" w:rsidRPr="002C46D8" w:rsidRDefault="278D62C0" w:rsidP="002C46D8">
      <w:pPr>
        <w:pStyle w:val="FootnoteText"/>
        <w:spacing w:before="0" w:line="240" w:lineRule="auto"/>
        <w:rPr>
          <w:rFonts w:eastAsia="Verdana" w:cs="Verdana"/>
          <w:sz w:val="22"/>
          <w:szCs w:val="22"/>
        </w:rPr>
      </w:pPr>
      <w:r w:rsidRPr="002C46D8">
        <w:rPr>
          <w:rStyle w:val="FootnoteReference"/>
          <w:rFonts w:eastAsia="Verdana" w:cs="Verdana"/>
          <w:sz w:val="22"/>
          <w:szCs w:val="22"/>
        </w:rPr>
        <w:footnoteRef/>
      </w:r>
      <w:r w:rsidR="5AF30190" w:rsidRPr="002C46D8">
        <w:rPr>
          <w:rFonts w:eastAsia="Verdana" w:cs="Verdana"/>
          <w:sz w:val="22"/>
          <w:szCs w:val="22"/>
        </w:rPr>
        <w:t xml:space="preserve"> Data for ’usual residents’. </w:t>
      </w:r>
      <w:r w:rsidR="5AF30190" w:rsidRPr="002C46D8">
        <w:rPr>
          <w:rFonts w:eastAsia="Verdana" w:cs="Verdana"/>
          <w:color w:val="000000" w:themeColor="text1"/>
          <w:sz w:val="22"/>
          <w:szCs w:val="22"/>
          <w:lang w:val="en-US"/>
        </w:rPr>
        <w:t xml:space="preserve">Stats NZ, </w:t>
      </w:r>
      <w:r w:rsidR="5AF30190" w:rsidRPr="002C46D8">
        <w:rPr>
          <w:rFonts w:eastAsia="Verdana" w:cs="Verdana"/>
          <w:i/>
          <w:iCs/>
          <w:color w:val="000000" w:themeColor="text1"/>
          <w:sz w:val="22"/>
          <w:szCs w:val="22"/>
          <w:lang w:val="en-US"/>
        </w:rPr>
        <w:t>2023 Census severe housing deprivation (homelessness) estimates</w:t>
      </w:r>
      <w:r w:rsidR="5AF30190" w:rsidRPr="002C46D8">
        <w:rPr>
          <w:rFonts w:eastAsia="Verdana" w:cs="Verdana"/>
          <w:color w:val="000000" w:themeColor="text1"/>
          <w:sz w:val="22"/>
          <w:szCs w:val="22"/>
          <w:lang w:val="en-US"/>
        </w:rPr>
        <w:t>, 4 December 2024.</w:t>
      </w:r>
    </w:p>
  </w:footnote>
  <w:footnote w:id="14">
    <w:p w14:paraId="0992DF6D" w14:textId="728A3D0C" w:rsidR="008106A2" w:rsidRPr="002C46D8" w:rsidRDefault="008106A2"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8" w:history="1">
        <w:r w:rsidRPr="002C46D8">
          <w:rPr>
            <w:rStyle w:val="Hyperlink"/>
            <w:sz w:val="22"/>
            <w:szCs w:val="22"/>
          </w:rPr>
          <w:t>https://explore.data.stats.govt.nz/vis?tm=housing%20deprivation&amp;pg=0&amp;hc[2023%20Census]=Housing&amp;snb=5&amp;df[ds]=ds-nsiws-disseminate&amp;df[id]=CEN23_HOU_102&amp;df[ag]=STATSNZ&amp;df[vs]=1.0&amp;dq=2018%2B2023..00%2B01%2B999.999.99.99&amp;ly[rw]=CEN23_HUD_003&amp;ly[cl]=CEN23_YEAR_001%2CCEN23_ACT_002&amp;to[TIME]=false</w:t>
        </w:r>
      </w:hyperlink>
    </w:p>
  </w:footnote>
  <w:footnote w:id="15">
    <w:p w14:paraId="5F308E5F" w14:textId="1D8BE532" w:rsidR="278D62C0" w:rsidRPr="002C46D8" w:rsidRDefault="278D62C0" w:rsidP="002C46D8">
      <w:pPr>
        <w:pStyle w:val="FootnoteText"/>
        <w:spacing w:before="0" w:line="240" w:lineRule="auto"/>
        <w:rPr>
          <w:rFonts w:eastAsia="Verdana" w:cs="Verdana"/>
          <w:sz w:val="22"/>
          <w:szCs w:val="22"/>
        </w:rPr>
      </w:pPr>
      <w:r w:rsidRPr="002C46D8">
        <w:rPr>
          <w:rStyle w:val="FootnoteReference"/>
          <w:rFonts w:eastAsia="Verdana" w:cs="Verdana"/>
          <w:sz w:val="22"/>
          <w:szCs w:val="22"/>
        </w:rPr>
        <w:footnoteRef/>
      </w:r>
      <w:r w:rsidRPr="002C46D8">
        <w:rPr>
          <w:rFonts w:eastAsia="Verdana" w:cs="Verdana"/>
          <w:sz w:val="22"/>
          <w:szCs w:val="22"/>
        </w:rPr>
        <w:t xml:space="preserve"> </w:t>
      </w:r>
      <w:r w:rsidRPr="002C46D8">
        <w:rPr>
          <w:rFonts w:eastAsia="Verdana" w:cs="Verdana"/>
          <w:color w:val="000000" w:themeColor="text1"/>
          <w:sz w:val="22"/>
          <w:szCs w:val="22"/>
          <w:lang w:val="en-US"/>
        </w:rPr>
        <w:t>Ibid.</w:t>
      </w:r>
    </w:p>
  </w:footnote>
  <w:footnote w:id="16">
    <w:p w14:paraId="3BF34FFC" w14:textId="68DDE880" w:rsidR="5AF30190" w:rsidRPr="002C46D8" w:rsidRDefault="5AF30190" w:rsidP="002C46D8">
      <w:pPr>
        <w:pStyle w:val="FootnoteText"/>
        <w:spacing w:before="0" w:line="240" w:lineRule="auto"/>
        <w:rPr>
          <w:rFonts w:eastAsia="Verdana" w:cs="Verdana"/>
          <w:sz w:val="22"/>
          <w:szCs w:val="22"/>
        </w:rPr>
      </w:pPr>
      <w:r w:rsidRPr="002C46D8">
        <w:rPr>
          <w:rStyle w:val="FootnoteReference"/>
          <w:sz w:val="22"/>
          <w:szCs w:val="22"/>
        </w:rPr>
        <w:footnoteRef/>
      </w:r>
      <w:r w:rsidRPr="002C46D8">
        <w:rPr>
          <w:sz w:val="22"/>
          <w:szCs w:val="22"/>
        </w:rPr>
        <w:t xml:space="preserve"> </w:t>
      </w:r>
      <w:r w:rsidR="0010209E" w:rsidRPr="002C46D8">
        <w:rPr>
          <w:rFonts w:eastAsia="Verdana" w:cs="Verdana"/>
          <w:sz w:val="22"/>
          <w:szCs w:val="22"/>
        </w:rPr>
        <w:t>Ibid</w:t>
      </w:r>
      <w:r w:rsidRPr="002C46D8">
        <w:rPr>
          <w:rFonts w:eastAsia="Verdana" w:cs="Verdana"/>
          <w:color w:val="000000" w:themeColor="text1"/>
          <w:sz w:val="22"/>
          <w:szCs w:val="22"/>
          <w:lang w:val="en-US"/>
        </w:rPr>
        <w:t>.</w:t>
      </w:r>
    </w:p>
  </w:footnote>
  <w:footnote w:id="17">
    <w:p w14:paraId="1ABB2E52" w14:textId="5EBF9787" w:rsidR="5AF30190" w:rsidRPr="002C46D8" w:rsidRDefault="5AF30190" w:rsidP="002C46D8">
      <w:pPr>
        <w:pStyle w:val="FootnoteText"/>
        <w:spacing w:before="0" w:line="240" w:lineRule="auto"/>
        <w:rPr>
          <w:sz w:val="22"/>
          <w:szCs w:val="22"/>
        </w:rPr>
      </w:pPr>
      <w:r w:rsidRPr="002C46D8">
        <w:rPr>
          <w:rStyle w:val="FootnoteReference"/>
          <w:sz w:val="22"/>
          <w:szCs w:val="22"/>
        </w:rPr>
        <w:footnoteRef/>
      </w:r>
      <w:r w:rsidRPr="002C46D8">
        <w:rPr>
          <w:rFonts w:eastAsia="Verdana" w:cs="Verdana"/>
          <w:sz w:val="22"/>
          <w:szCs w:val="22"/>
        </w:rPr>
        <w:t xml:space="preserve"> Data for ’usual residents’.</w:t>
      </w:r>
      <w:r w:rsidRPr="002C46D8">
        <w:rPr>
          <w:sz w:val="22"/>
          <w:szCs w:val="22"/>
        </w:rPr>
        <w:t xml:space="preserve"> Ibid.</w:t>
      </w:r>
    </w:p>
  </w:footnote>
  <w:footnote w:id="18">
    <w:p w14:paraId="644CF545" w14:textId="77330D88" w:rsidR="69CE403C" w:rsidRPr="002C46D8" w:rsidRDefault="69CE403C"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AA46C0" w:rsidRPr="002C46D8">
        <w:rPr>
          <w:i/>
          <w:iCs/>
          <w:sz w:val="22"/>
          <w:szCs w:val="22"/>
        </w:rPr>
        <w:t>A Youth19 Brief: Rangatahi Māori with a disability or chronic condition</w:t>
      </w:r>
      <w:r w:rsidR="00EE3998" w:rsidRPr="002C46D8">
        <w:rPr>
          <w:sz w:val="22"/>
          <w:szCs w:val="22"/>
        </w:rPr>
        <w:t xml:space="preserve">, </w:t>
      </w:r>
      <w:r w:rsidR="00320D33" w:rsidRPr="002C46D8">
        <w:rPr>
          <w:sz w:val="22"/>
          <w:szCs w:val="22"/>
        </w:rPr>
        <w:t>16 June 202</w:t>
      </w:r>
      <w:r w:rsidR="00273D3C">
        <w:rPr>
          <w:sz w:val="22"/>
          <w:szCs w:val="22"/>
        </w:rPr>
        <w:t>1</w:t>
      </w:r>
      <w:r w:rsidR="00EE3998" w:rsidRPr="002C46D8">
        <w:rPr>
          <w:sz w:val="22"/>
          <w:szCs w:val="22"/>
        </w:rPr>
        <w:t>, p. 2.</w:t>
      </w:r>
      <w:r w:rsidR="005E59FC" w:rsidRPr="002C46D8">
        <w:rPr>
          <w:sz w:val="22"/>
          <w:szCs w:val="22"/>
        </w:rPr>
        <w:t xml:space="preserve"> Housing instability refers to needing to sleep or live in challenging conditions due to housing costs.</w:t>
      </w:r>
    </w:p>
  </w:footnote>
  <w:footnote w:id="19">
    <w:p w14:paraId="22E09E37" w14:textId="3527B837" w:rsidR="5AF30190" w:rsidRPr="002C46D8" w:rsidRDefault="5AF30190"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A. Veukiso-Ulugia et al., </w:t>
      </w:r>
      <w:r w:rsidRPr="002C46D8">
        <w:rPr>
          <w:i/>
          <w:iCs/>
          <w:sz w:val="22"/>
          <w:szCs w:val="22"/>
        </w:rPr>
        <w:t>Talavou o le Moana, The Health and Wellbeing of Pacific secondary school students in Aotearoa New Zealand, a Youth19 Report</w:t>
      </w:r>
      <w:r w:rsidRPr="002C46D8">
        <w:rPr>
          <w:sz w:val="22"/>
          <w:szCs w:val="22"/>
        </w:rPr>
        <w:t>, 2024, p. 107.</w:t>
      </w:r>
    </w:p>
  </w:footnote>
  <w:footnote w:id="20">
    <w:p w14:paraId="5255AACF" w14:textId="77777777" w:rsidR="00AC4101" w:rsidRPr="002C46D8" w:rsidRDefault="00AC410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Quote from Brent - a manual wheelchair user with a spinal cord impairment, in Disability Connect, </w:t>
      </w:r>
      <w:r w:rsidRPr="002C46D8">
        <w:rPr>
          <w:i/>
          <w:iCs/>
          <w:sz w:val="22"/>
          <w:szCs w:val="22"/>
        </w:rPr>
        <w:t>Where will we live in the future? Research into the unmet housing needs of people with disabilities, their family and whānau</w:t>
      </w:r>
      <w:r w:rsidRPr="002C46D8">
        <w:rPr>
          <w:sz w:val="22"/>
          <w:szCs w:val="22"/>
        </w:rPr>
        <w:t>, March 2021, p. 51.</w:t>
      </w:r>
    </w:p>
  </w:footnote>
  <w:footnote w:id="21">
    <w:p w14:paraId="3CA04CE7" w14:textId="77777777" w:rsidR="00802EB0" w:rsidRPr="002C46D8" w:rsidRDefault="00802EB0" w:rsidP="002C46D8">
      <w:pPr>
        <w:pStyle w:val="FootnoteText"/>
        <w:spacing w:before="0" w:line="240" w:lineRule="auto"/>
        <w:rPr>
          <w:rFonts w:eastAsia="Verdana" w:cs="Verdana"/>
          <w:sz w:val="22"/>
          <w:szCs w:val="22"/>
        </w:rPr>
      </w:pPr>
      <w:r w:rsidRPr="002C46D8">
        <w:rPr>
          <w:rStyle w:val="FootnoteReference"/>
          <w:rFonts w:eastAsia="Verdana" w:cs="Verdana"/>
          <w:sz w:val="22"/>
          <w:szCs w:val="22"/>
        </w:rPr>
        <w:footnoteRef/>
      </w:r>
      <w:r w:rsidRPr="002C46D8">
        <w:rPr>
          <w:rFonts w:eastAsia="Verdana" w:cs="Verdana"/>
          <w:sz w:val="22"/>
          <w:szCs w:val="22"/>
        </w:rPr>
        <w:t xml:space="preserve"> See: </w:t>
      </w:r>
      <w:hyperlink r:id="rId9" w:history="1">
        <w:r w:rsidRPr="002C46D8">
          <w:rPr>
            <w:rStyle w:val="Hyperlink"/>
            <w:sz w:val="22"/>
            <w:szCs w:val="22"/>
          </w:rPr>
          <w:t>https://www.whaikaha.govt.nz/news/news/labour-market-statistics-for-disabled-people-june-2024-quarter</w:t>
        </w:r>
      </w:hyperlink>
    </w:p>
  </w:footnote>
  <w:footnote w:id="22">
    <w:p w14:paraId="3B86AADB" w14:textId="012EE04E" w:rsidR="00AC4101" w:rsidRPr="002C46D8" w:rsidRDefault="00AC410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Hon Chris Bishop, </w:t>
      </w:r>
      <w:r w:rsidRPr="002C46D8">
        <w:rPr>
          <w:i/>
          <w:iCs/>
          <w:sz w:val="22"/>
          <w:szCs w:val="22"/>
        </w:rPr>
        <w:t>Cabinet paper: Fixing the Housing Crisis</w:t>
      </w:r>
      <w:r w:rsidRPr="002C46D8">
        <w:rPr>
          <w:sz w:val="22"/>
          <w:szCs w:val="22"/>
        </w:rPr>
        <w:t>, Office of the Minister of Housing, Infrastructure and RMA Reform, January 2024, p. 1.</w:t>
      </w:r>
      <w:r w:rsidR="009827A2" w:rsidRPr="002C46D8">
        <w:rPr>
          <w:sz w:val="22"/>
          <w:szCs w:val="22"/>
        </w:rPr>
        <w:t xml:space="preserve"> T</w:t>
      </w:r>
      <w:r w:rsidR="009827A2" w:rsidRPr="002C46D8">
        <w:rPr>
          <w:rStyle w:val="cf01"/>
          <w:rFonts w:ascii="Verdana" w:hAnsi="Verdana"/>
          <w:sz w:val="22"/>
          <w:szCs w:val="22"/>
        </w:rPr>
        <w:t>he Government’s Going for Housing Growth programme of work is aimed at boosting the supply of housing by freeing up land for development and removing restrictive planning rules, improving infrastructure funding and financing tools for government, and improving incentives for councils and communities to support growth</w:t>
      </w:r>
      <w:r w:rsidR="008D0EEE" w:rsidRPr="002C46D8">
        <w:rPr>
          <w:rStyle w:val="cf01"/>
          <w:rFonts w:ascii="Verdana" w:hAnsi="Verdana"/>
          <w:sz w:val="22"/>
          <w:szCs w:val="22"/>
        </w:rPr>
        <w:t>.</w:t>
      </w:r>
    </w:p>
  </w:footnote>
  <w:footnote w:id="23">
    <w:p w14:paraId="2260CB89" w14:textId="00C5093E" w:rsidR="00025DEF" w:rsidRPr="002C46D8" w:rsidRDefault="00025DEF"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750F77" w:rsidRPr="002C46D8">
        <w:rPr>
          <w:sz w:val="22"/>
          <w:szCs w:val="22"/>
        </w:rPr>
        <w:t xml:space="preserve">‘New Zealand’s housing crisis is worsening’, </w:t>
      </w:r>
      <w:r w:rsidR="00750F77" w:rsidRPr="002C46D8">
        <w:rPr>
          <w:i/>
          <w:iCs/>
          <w:sz w:val="22"/>
          <w:szCs w:val="22"/>
        </w:rPr>
        <w:t>The Economist</w:t>
      </w:r>
      <w:r w:rsidR="00750F77" w:rsidRPr="002C46D8">
        <w:rPr>
          <w:sz w:val="22"/>
          <w:szCs w:val="22"/>
        </w:rPr>
        <w:t>, 12 February 2022, cited in above Cabinet paper.</w:t>
      </w:r>
    </w:p>
  </w:footnote>
  <w:footnote w:id="24">
    <w:p w14:paraId="38555D5D" w14:textId="77777777" w:rsidR="00AC4101" w:rsidRPr="002C46D8" w:rsidRDefault="00AC4101" w:rsidP="002C46D8">
      <w:pPr>
        <w:spacing w:before="0" w:after="0" w:line="240" w:lineRule="auto"/>
      </w:pPr>
      <w:r w:rsidRPr="002C46D8">
        <w:rPr>
          <w:rStyle w:val="FootnoteReference"/>
          <w:sz w:val="22"/>
          <w:szCs w:val="22"/>
        </w:rPr>
        <w:footnoteRef/>
      </w:r>
      <w:r w:rsidRPr="002C46D8">
        <w:t xml:space="preserve"> Infometrics, </w:t>
      </w:r>
      <w:r w:rsidRPr="002C46D8">
        <w:rPr>
          <w:i/>
          <w:iCs/>
        </w:rPr>
        <w:t>Housing affordability</w:t>
      </w:r>
      <w:r w:rsidRPr="002C46D8">
        <w:t xml:space="preserve">, available: </w:t>
      </w:r>
      <w:hyperlink r:id="rId10" w:history="1">
        <w:r w:rsidRPr="002C46D8">
          <w:rPr>
            <w:rStyle w:val="Hyperlink"/>
          </w:rPr>
          <w:t>https://rep.infometrics.co.nz/new-zealand/income-and-housing/housing-affordability</w:t>
        </w:r>
      </w:hyperlink>
    </w:p>
  </w:footnote>
  <w:footnote w:id="25">
    <w:p w14:paraId="61CAFE07" w14:textId="69381537" w:rsidR="00135EBC" w:rsidRPr="002C46D8" w:rsidRDefault="00135EBC"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Infometrics, </w:t>
      </w:r>
      <w:r w:rsidRPr="002C46D8">
        <w:rPr>
          <w:i/>
          <w:iCs/>
          <w:sz w:val="22"/>
          <w:szCs w:val="22"/>
        </w:rPr>
        <w:t>Average rent</w:t>
      </w:r>
      <w:r w:rsidRPr="002C46D8">
        <w:rPr>
          <w:sz w:val="22"/>
          <w:szCs w:val="22"/>
        </w:rPr>
        <w:t xml:space="preserve">, available: </w:t>
      </w:r>
      <w:hyperlink r:id="rId11" w:history="1">
        <w:r w:rsidRPr="002C46D8">
          <w:rPr>
            <w:rStyle w:val="Hyperlink"/>
            <w:sz w:val="22"/>
            <w:szCs w:val="22"/>
          </w:rPr>
          <w:t>https://rep.infometrics.co.nz/new-zealand/income-and-housing/average-rent</w:t>
        </w:r>
      </w:hyperlink>
      <w:r w:rsidR="00A4130E" w:rsidRPr="002C46D8">
        <w:rPr>
          <w:sz w:val="22"/>
          <w:szCs w:val="22"/>
        </w:rPr>
        <w:t xml:space="preserve">; inflation calculated using </w:t>
      </w:r>
      <w:hyperlink r:id="rId12" w:history="1">
        <w:r w:rsidR="005F67A0" w:rsidRPr="002C46D8">
          <w:rPr>
            <w:rStyle w:val="Hyperlink"/>
            <w:sz w:val="22"/>
            <w:szCs w:val="22"/>
          </w:rPr>
          <w:t>https://www.rbnz.govt.nz/monetary-policy/about-monetary-policy/inflation-calculator</w:t>
        </w:r>
      </w:hyperlink>
    </w:p>
  </w:footnote>
  <w:footnote w:id="26">
    <w:p w14:paraId="7A40B631" w14:textId="1E8A7D17" w:rsidR="0060260F" w:rsidRPr="002C46D8" w:rsidRDefault="0060260F"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094F88" w:rsidRPr="002C46D8">
        <w:rPr>
          <w:sz w:val="22"/>
          <w:szCs w:val="22"/>
        </w:rPr>
        <w:t>Stats NZ, ‘Child poverty statistics: Year ended June</w:t>
      </w:r>
      <w:r w:rsidR="00AB0F64" w:rsidRPr="002C46D8">
        <w:rPr>
          <w:sz w:val="22"/>
          <w:szCs w:val="22"/>
        </w:rPr>
        <w:t xml:space="preserve"> 2024’</w:t>
      </w:r>
      <w:r w:rsidR="00094F88" w:rsidRPr="002C46D8">
        <w:rPr>
          <w:sz w:val="22"/>
          <w:szCs w:val="22"/>
        </w:rPr>
        <w:t xml:space="preserve">, </w:t>
      </w:r>
      <w:r w:rsidR="00557BA6" w:rsidRPr="002C46D8">
        <w:rPr>
          <w:sz w:val="22"/>
          <w:szCs w:val="22"/>
        </w:rPr>
        <w:t>2</w:t>
      </w:r>
      <w:r w:rsidR="00AB0F64" w:rsidRPr="002C46D8">
        <w:rPr>
          <w:sz w:val="22"/>
          <w:szCs w:val="22"/>
        </w:rPr>
        <w:t>0</w:t>
      </w:r>
      <w:r w:rsidR="00557BA6" w:rsidRPr="002C46D8">
        <w:rPr>
          <w:sz w:val="22"/>
          <w:szCs w:val="22"/>
        </w:rPr>
        <w:t xml:space="preserve"> February 202</w:t>
      </w:r>
      <w:r w:rsidR="00AB0F64" w:rsidRPr="002C46D8">
        <w:rPr>
          <w:sz w:val="22"/>
          <w:szCs w:val="22"/>
        </w:rPr>
        <w:t>5</w:t>
      </w:r>
      <w:r w:rsidR="00557BA6" w:rsidRPr="002C46D8">
        <w:rPr>
          <w:sz w:val="22"/>
          <w:szCs w:val="22"/>
        </w:rPr>
        <w:t>.</w:t>
      </w:r>
    </w:p>
  </w:footnote>
  <w:footnote w:id="27">
    <w:p w14:paraId="522705DB" w14:textId="13F701EC" w:rsidR="00094F88" w:rsidRPr="002C46D8" w:rsidRDefault="00094F88"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Ibid.</w:t>
      </w:r>
    </w:p>
  </w:footnote>
  <w:footnote w:id="28">
    <w:p w14:paraId="0FCAD16E" w14:textId="77777777" w:rsidR="00955FA4" w:rsidRPr="002C46D8" w:rsidRDefault="00955FA4"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Human Rights Commission, </w:t>
      </w:r>
      <w:r w:rsidRPr="002C46D8">
        <w:rPr>
          <w:i/>
          <w:iCs/>
          <w:sz w:val="22"/>
          <w:szCs w:val="22"/>
        </w:rPr>
        <w:t>Shortage of accessible homes a human rights deficit</w:t>
      </w:r>
      <w:r w:rsidRPr="002C46D8">
        <w:rPr>
          <w:sz w:val="22"/>
          <w:szCs w:val="22"/>
        </w:rPr>
        <w:t>, 29 September 2022.</w:t>
      </w:r>
    </w:p>
  </w:footnote>
  <w:footnote w:id="29">
    <w:p w14:paraId="48DBC106" w14:textId="5444B4FB" w:rsidR="007F1674" w:rsidRPr="002C46D8" w:rsidRDefault="007F1674"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2A2220" w:rsidRPr="002C46D8">
        <w:rPr>
          <w:sz w:val="22"/>
          <w:szCs w:val="22"/>
        </w:rPr>
        <w:t xml:space="preserve">UN General Assembly, </w:t>
      </w:r>
      <w:r w:rsidR="002A2220" w:rsidRPr="002C46D8">
        <w:rPr>
          <w:i/>
          <w:iCs/>
          <w:sz w:val="22"/>
          <w:szCs w:val="22"/>
        </w:rPr>
        <w:t>Report of the Special Rapporteur on adequate housing as a component of the right to an adequate standard of living and on the right to non-discrimination in this context on her visit to New Zealand</w:t>
      </w:r>
      <w:r w:rsidR="002A2220" w:rsidRPr="002C46D8">
        <w:rPr>
          <w:sz w:val="22"/>
          <w:szCs w:val="22"/>
        </w:rPr>
        <w:t>, A/HRC/47/43/Add.1, April 2021, p. 8.</w:t>
      </w:r>
    </w:p>
  </w:footnote>
  <w:footnote w:id="30">
    <w:p w14:paraId="72D11EAF" w14:textId="4B6D8967" w:rsidR="00955FA4" w:rsidRPr="002C46D8" w:rsidRDefault="00955FA4" w:rsidP="002C46D8">
      <w:pPr>
        <w:pStyle w:val="FootnoteText"/>
        <w:spacing w:before="0" w:line="240" w:lineRule="auto"/>
        <w:rPr>
          <w:rFonts w:eastAsia="Verdana" w:cs="Verdana"/>
          <w:sz w:val="22"/>
          <w:szCs w:val="22"/>
        </w:rPr>
      </w:pPr>
      <w:r w:rsidRPr="002C46D8">
        <w:rPr>
          <w:rStyle w:val="FootnoteReference"/>
          <w:sz w:val="22"/>
          <w:szCs w:val="22"/>
        </w:rPr>
        <w:footnoteRef/>
      </w:r>
      <w:r w:rsidRPr="002C46D8">
        <w:rPr>
          <w:sz w:val="22"/>
          <w:szCs w:val="22"/>
        </w:rPr>
        <w:t xml:space="preserve"> </w:t>
      </w:r>
      <w:r w:rsidRPr="002C46D8">
        <w:rPr>
          <w:rFonts w:eastAsia="Verdana" w:cs="Verdana"/>
          <w:color w:val="000000" w:themeColor="text1"/>
          <w:sz w:val="22"/>
          <w:szCs w:val="22"/>
          <w:lang w:val="en-US"/>
        </w:rPr>
        <w:t xml:space="preserve">Stats NZ, </w:t>
      </w:r>
      <w:r w:rsidRPr="002C46D8">
        <w:rPr>
          <w:rFonts w:eastAsia="Verdana" w:cs="Verdana"/>
          <w:i/>
          <w:iCs/>
          <w:color w:val="000000" w:themeColor="text1"/>
          <w:sz w:val="22"/>
          <w:szCs w:val="22"/>
          <w:lang w:val="en-US"/>
        </w:rPr>
        <w:t xml:space="preserve">Disability </w:t>
      </w:r>
      <w:r w:rsidR="00802EB0" w:rsidRPr="002C46D8">
        <w:rPr>
          <w:rFonts w:eastAsia="Verdana" w:cs="Verdana"/>
          <w:i/>
          <w:iCs/>
          <w:color w:val="000000" w:themeColor="text1"/>
          <w:sz w:val="22"/>
          <w:szCs w:val="22"/>
          <w:lang w:val="en-US"/>
        </w:rPr>
        <w:t>statistics: 2023</w:t>
      </w:r>
      <w:r w:rsidR="00802EB0" w:rsidRPr="002C46D8">
        <w:rPr>
          <w:rFonts w:eastAsia="Verdana" w:cs="Verdana"/>
          <w:color w:val="000000" w:themeColor="text1"/>
          <w:sz w:val="22"/>
          <w:szCs w:val="22"/>
          <w:lang w:val="en-US"/>
        </w:rPr>
        <w:t xml:space="preserve">, 27 February 2025, available: </w:t>
      </w:r>
      <w:hyperlink r:id="rId13" w:history="1">
        <w:r w:rsidR="00802EB0" w:rsidRPr="002C46D8">
          <w:rPr>
            <w:rStyle w:val="Hyperlink"/>
            <w:sz w:val="22"/>
            <w:szCs w:val="22"/>
          </w:rPr>
          <w:t>https://www.stats.govt.nz/information-releases/disability-statistics-2023</w:t>
        </w:r>
      </w:hyperlink>
    </w:p>
  </w:footnote>
  <w:footnote w:id="31">
    <w:p w14:paraId="5B93027A" w14:textId="77777777" w:rsidR="00955FA4" w:rsidRPr="002C46D8" w:rsidRDefault="00955FA4" w:rsidP="002C46D8">
      <w:pPr>
        <w:pStyle w:val="FootnoteText"/>
        <w:spacing w:before="0" w:line="240" w:lineRule="auto"/>
        <w:rPr>
          <w:rFonts w:eastAsia="Verdana" w:cs="Verdana"/>
          <w:sz w:val="22"/>
          <w:szCs w:val="22"/>
        </w:rPr>
      </w:pPr>
      <w:r w:rsidRPr="002C46D8">
        <w:rPr>
          <w:rStyle w:val="FootnoteReference"/>
          <w:rFonts w:eastAsia="Verdana" w:cs="Verdana"/>
          <w:sz w:val="22"/>
          <w:szCs w:val="22"/>
        </w:rPr>
        <w:footnoteRef/>
      </w:r>
      <w:r w:rsidRPr="002C46D8">
        <w:rPr>
          <w:rFonts w:eastAsia="Verdana" w:cs="Verdana"/>
          <w:sz w:val="22"/>
          <w:szCs w:val="22"/>
        </w:rPr>
        <w:t xml:space="preserve"> </w:t>
      </w:r>
      <w:r w:rsidRPr="002C46D8">
        <w:rPr>
          <w:rFonts w:eastAsia="Verdana" w:cs="Verdana"/>
          <w:color w:val="000000" w:themeColor="text1"/>
          <w:sz w:val="22"/>
          <w:szCs w:val="22"/>
          <w:lang w:val="en-US"/>
        </w:rPr>
        <w:t xml:space="preserve">Disability Connect, </w:t>
      </w:r>
      <w:r w:rsidRPr="002C46D8">
        <w:rPr>
          <w:rFonts w:eastAsia="Verdana" w:cs="Verdana"/>
          <w:i/>
          <w:iCs/>
          <w:color w:val="000000" w:themeColor="text1"/>
          <w:sz w:val="22"/>
          <w:szCs w:val="22"/>
          <w:lang w:val="en-US"/>
        </w:rPr>
        <w:t>Where will we live in the future? Research into the unmet housing needs of people with disabilities, their family and whānau</w:t>
      </w:r>
      <w:r w:rsidRPr="002C46D8">
        <w:rPr>
          <w:rFonts w:eastAsia="Verdana" w:cs="Verdana"/>
          <w:color w:val="000000" w:themeColor="text1"/>
          <w:sz w:val="22"/>
          <w:szCs w:val="22"/>
          <w:lang w:val="en-US"/>
        </w:rPr>
        <w:t>, March 2021, p. 23.</w:t>
      </w:r>
      <w:r w:rsidRPr="002C46D8">
        <w:rPr>
          <w:rFonts w:eastAsia="Verdana" w:cs="Verdana"/>
          <w:sz w:val="22"/>
          <w:szCs w:val="22"/>
        </w:rPr>
        <w:t xml:space="preserve"> </w:t>
      </w:r>
    </w:p>
  </w:footnote>
  <w:footnote w:id="32">
    <w:p w14:paraId="31D2F988" w14:textId="77777777" w:rsidR="00955FA4" w:rsidRPr="002C46D8" w:rsidRDefault="00955FA4" w:rsidP="002C46D8">
      <w:pPr>
        <w:pStyle w:val="FootnoteText"/>
        <w:spacing w:before="0" w:line="240" w:lineRule="auto"/>
        <w:rPr>
          <w:rFonts w:eastAsia="Verdana" w:cs="Verdana"/>
          <w:sz w:val="22"/>
          <w:szCs w:val="22"/>
        </w:rPr>
      </w:pPr>
      <w:r w:rsidRPr="002C46D8">
        <w:rPr>
          <w:rStyle w:val="FootnoteReference"/>
          <w:rFonts w:eastAsia="Verdana" w:cs="Verdana"/>
          <w:sz w:val="22"/>
          <w:szCs w:val="22"/>
        </w:rPr>
        <w:footnoteRef/>
      </w:r>
      <w:r w:rsidRPr="002C46D8">
        <w:rPr>
          <w:rFonts w:eastAsia="Verdana" w:cs="Verdana"/>
          <w:sz w:val="22"/>
          <w:szCs w:val="22"/>
        </w:rPr>
        <w:t xml:space="preserve"> </w:t>
      </w:r>
      <w:r w:rsidRPr="002C46D8">
        <w:rPr>
          <w:rFonts w:eastAsia="Verdana" w:cs="Verdana"/>
          <w:color w:val="000000" w:themeColor="text1"/>
          <w:sz w:val="22"/>
          <w:szCs w:val="22"/>
          <w:lang w:val="en-US"/>
        </w:rPr>
        <w:t xml:space="preserve">Stats NZ, </w:t>
      </w:r>
      <w:r w:rsidRPr="002C46D8">
        <w:rPr>
          <w:rFonts w:eastAsia="Verdana" w:cs="Verdana"/>
          <w:i/>
          <w:iCs/>
          <w:color w:val="000000" w:themeColor="text1"/>
          <w:sz w:val="22"/>
          <w:szCs w:val="22"/>
          <w:lang w:val="en-US"/>
        </w:rPr>
        <w:t>Measuring inequality for disabled New Zealanders: 2018</w:t>
      </w:r>
      <w:r w:rsidRPr="002C46D8">
        <w:rPr>
          <w:rFonts w:eastAsia="Verdana" w:cs="Verdana"/>
          <w:color w:val="000000" w:themeColor="text1"/>
          <w:sz w:val="22"/>
          <w:szCs w:val="22"/>
          <w:lang w:val="en-US"/>
        </w:rPr>
        <w:t>, 28 October 2020.</w:t>
      </w:r>
    </w:p>
  </w:footnote>
  <w:footnote w:id="33">
    <w:p w14:paraId="6BAB51D5" w14:textId="77777777" w:rsidR="00D128A0" w:rsidRPr="002C46D8" w:rsidRDefault="00D128A0"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Pr="002C46D8">
        <w:rPr>
          <w:rFonts w:eastAsia="Verdana" w:cs="Verdana"/>
          <w:color w:val="000000" w:themeColor="text1"/>
          <w:sz w:val="22"/>
          <w:szCs w:val="22"/>
        </w:rPr>
        <w:t xml:space="preserve">Donald Beasley Institute, </w:t>
      </w:r>
      <w:r w:rsidRPr="002C46D8">
        <w:rPr>
          <w:rFonts w:eastAsia="Verdana" w:cs="Verdana"/>
          <w:i/>
          <w:iCs/>
          <w:color w:val="000000" w:themeColor="text1"/>
          <w:sz w:val="22"/>
          <w:szCs w:val="22"/>
        </w:rPr>
        <w:t xml:space="preserve">My Experiences, My Rights: A Monitoring Report on Disabled Person’s Experience of Housing in Aotearoa New Zealand, </w:t>
      </w:r>
      <w:r w:rsidRPr="002C46D8">
        <w:rPr>
          <w:rFonts w:eastAsia="Verdana" w:cs="Verdana"/>
          <w:color w:val="000000" w:themeColor="text1"/>
          <w:sz w:val="22"/>
          <w:szCs w:val="22"/>
        </w:rPr>
        <w:t xml:space="preserve">2020; Donald Beasley Institute, </w:t>
      </w:r>
      <w:r w:rsidRPr="002C46D8">
        <w:rPr>
          <w:rFonts w:eastAsia="Verdana" w:cs="Verdana"/>
          <w:i/>
          <w:iCs/>
          <w:color w:val="000000" w:themeColor="text1"/>
          <w:sz w:val="22"/>
          <w:szCs w:val="22"/>
        </w:rPr>
        <w:t>Housing for Disabled People: Family/Whānau and Closer Supporter Perspectives</w:t>
      </w:r>
      <w:r w:rsidRPr="002C46D8">
        <w:rPr>
          <w:rFonts w:eastAsia="Verdana" w:cs="Verdana"/>
          <w:color w:val="000000" w:themeColor="text1"/>
          <w:sz w:val="22"/>
          <w:szCs w:val="22"/>
        </w:rPr>
        <w:t>, 2020.</w:t>
      </w:r>
    </w:p>
  </w:footnote>
  <w:footnote w:id="34">
    <w:p w14:paraId="6B401509" w14:textId="10F6585F" w:rsidR="006D1038" w:rsidRPr="002C46D8" w:rsidRDefault="006D1038"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617F32" w:rsidRPr="002C46D8">
        <w:rPr>
          <w:sz w:val="22"/>
          <w:szCs w:val="22"/>
        </w:rPr>
        <w:t xml:space="preserve">Bhargavi Davar and Aleisha Carroll, ‘Transforming Lives: Deinstitutionalisation for people with Disabilities’, </w:t>
      </w:r>
      <w:r w:rsidR="00617F32" w:rsidRPr="002C46D8">
        <w:rPr>
          <w:i/>
          <w:iCs/>
          <w:sz w:val="22"/>
          <w:szCs w:val="22"/>
        </w:rPr>
        <w:t>Melbourne School of Population and Global Health</w:t>
      </w:r>
      <w:r w:rsidR="00617F32" w:rsidRPr="002C46D8">
        <w:rPr>
          <w:sz w:val="22"/>
          <w:szCs w:val="22"/>
        </w:rPr>
        <w:t>, 3 December 2024.</w:t>
      </w:r>
    </w:p>
  </w:footnote>
  <w:footnote w:id="35">
    <w:p w14:paraId="265EBB38" w14:textId="4D82ED34" w:rsidR="006D1038" w:rsidRPr="002C46D8" w:rsidRDefault="006D1038"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C00390" w:rsidRPr="002C46D8">
        <w:rPr>
          <w:rFonts w:eastAsia="Verdana" w:cs="Verdana"/>
          <w:color w:val="000000" w:themeColor="text1"/>
          <w:sz w:val="22"/>
          <w:szCs w:val="22"/>
          <w:lang w:val="en-US"/>
        </w:rPr>
        <w:t>Royal Commission of Inquiry into Abuse in Care and Faith Based Institutions, ’C</w:t>
      </w:r>
      <w:r w:rsidR="0010662E" w:rsidRPr="002C46D8">
        <w:rPr>
          <w:rFonts w:eastAsia="Verdana" w:cs="Verdana"/>
          <w:color w:val="000000" w:themeColor="text1"/>
          <w:sz w:val="22"/>
          <w:szCs w:val="22"/>
          <w:lang w:val="en-US"/>
        </w:rPr>
        <w:t>hapter 3: Circumstances – Circumstances that led Deaf and disabled people to enter care</w:t>
      </w:r>
      <w:r w:rsidR="00C00390" w:rsidRPr="002C46D8">
        <w:rPr>
          <w:rFonts w:eastAsia="Verdana" w:cs="Verdana"/>
          <w:color w:val="000000" w:themeColor="text1"/>
          <w:sz w:val="22"/>
          <w:szCs w:val="22"/>
          <w:lang w:val="en-US"/>
        </w:rPr>
        <w:t xml:space="preserve">’, </w:t>
      </w:r>
      <w:r w:rsidR="00C00390" w:rsidRPr="002C46D8">
        <w:rPr>
          <w:rFonts w:eastAsia="Verdana" w:cs="Verdana"/>
          <w:i/>
          <w:iCs/>
          <w:color w:val="000000" w:themeColor="text1"/>
          <w:sz w:val="22"/>
          <w:szCs w:val="22"/>
          <w:lang w:val="en-US"/>
        </w:rPr>
        <w:t>Whanaketia</w:t>
      </w:r>
      <w:r w:rsidR="0010662E" w:rsidRPr="002C46D8">
        <w:rPr>
          <w:rFonts w:eastAsia="Verdana" w:cs="Verdana"/>
          <w:color w:val="000000" w:themeColor="text1"/>
          <w:sz w:val="22"/>
          <w:szCs w:val="22"/>
          <w:lang w:val="en-US"/>
        </w:rPr>
        <w:t>, p. 109.</w:t>
      </w:r>
    </w:p>
  </w:footnote>
  <w:footnote w:id="36">
    <w:p w14:paraId="406D88C5" w14:textId="53D99674" w:rsidR="00D23AE8" w:rsidRPr="002C46D8" w:rsidRDefault="00D23AE8"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E17DB9" w:rsidRPr="002C46D8">
        <w:rPr>
          <w:sz w:val="22"/>
          <w:szCs w:val="22"/>
        </w:rPr>
        <w:t>Information supplied in work commissioned by Whaikaha, unpublished.</w:t>
      </w:r>
    </w:p>
  </w:footnote>
  <w:footnote w:id="37">
    <w:p w14:paraId="2CAF5581" w14:textId="228F6FB6" w:rsidR="002D715E" w:rsidRPr="002C46D8" w:rsidRDefault="002D715E"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Marta Codina, Diego A. Díaz-Faes, and Noemí Pereda, ‘Better at home or in residential care? Victimization of people with intellectual disabilities at the hands of caregivers’, </w:t>
      </w:r>
      <w:r w:rsidRPr="002C46D8">
        <w:rPr>
          <w:i/>
          <w:iCs/>
          <w:sz w:val="22"/>
          <w:szCs w:val="22"/>
        </w:rPr>
        <w:t>Research in Developmental Disabilities</w:t>
      </w:r>
      <w:r w:rsidRPr="002C46D8">
        <w:rPr>
          <w:sz w:val="22"/>
          <w:szCs w:val="22"/>
        </w:rPr>
        <w:t>, vol. 146, March 2024.</w:t>
      </w:r>
    </w:p>
  </w:footnote>
  <w:footnote w:id="38">
    <w:p w14:paraId="287A569F" w14:textId="3D64AD82" w:rsidR="75638D44" w:rsidRPr="002C46D8" w:rsidRDefault="75638D44" w:rsidP="002C46D8">
      <w:pPr>
        <w:pStyle w:val="FootnoteText"/>
        <w:spacing w:before="0" w:line="240" w:lineRule="auto"/>
        <w:rPr>
          <w:rFonts w:eastAsia="Verdana" w:cs="Verdana"/>
          <w:sz w:val="22"/>
          <w:szCs w:val="22"/>
        </w:rPr>
      </w:pPr>
      <w:r w:rsidRPr="002C46D8">
        <w:rPr>
          <w:rStyle w:val="FootnoteReference"/>
          <w:rFonts w:eastAsia="Verdana" w:cs="Verdana"/>
          <w:sz w:val="22"/>
          <w:szCs w:val="22"/>
        </w:rPr>
        <w:footnoteRef/>
      </w:r>
      <w:r w:rsidRPr="002C46D8">
        <w:rPr>
          <w:rFonts w:eastAsia="Verdana" w:cs="Verdana"/>
          <w:sz w:val="22"/>
          <w:szCs w:val="22"/>
        </w:rPr>
        <w:t xml:space="preserve"> </w:t>
      </w:r>
      <w:r w:rsidRPr="002C46D8">
        <w:rPr>
          <w:rFonts w:eastAsia="Verdana" w:cs="Verdana"/>
          <w:color w:val="000000" w:themeColor="text1"/>
          <w:sz w:val="22"/>
          <w:szCs w:val="22"/>
          <w:lang w:val="en-US"/>
        </w:rPr>
        <w:t xml:space="preserve">United Nations Committee on the Rights of Persons with Disabilities, </w:t>
      </w:r>
      <w:r w:rsidRPr="002C46D8">
        <w:rPr>
          <w:rFonts w:eastAsia="Verdana" w:cs="Verdana"/>
          <w:i/>
          <w:iCs/>
          <w:color w:val="000000" w:themeColor="text1"/>
          <w:sz w:val="22"/>
          <w:szCs w:val="22"/>
          <w:lang w:val="en-US"/>
        </w:rPr>
        <w:t>Concluding observations on the combined second and third periodic reports of New Zealand</w:t>
      </w:r>
      <w:r w:rsidRPr="002C46D8">
        <w:rPr>
          <w:rFonts w:eastAsia="Verdana" w:cs="Verdana"/>
          <w:color w:val="000000" w:themeColor="text1"/>
          <w:sz w:val="22"/>
          <w:szCs w:val="22"/>
          <w:lang w:val="en-US"/>
        </w:rPr>
        <w:t>, CRPD/C/NZL/CO/2-3, 26 September 2022, pp. 6-7.</w:t>
      </w:r>
      <w:r w:rsidR="005B32D9" w:rsidRPr="002C46D8">
        <w:rPr>
          <w:rFonts w:eastAsia="Verdana" w:cs="Verdana"/>
          <w:color w:val="000000" w:themeColor="text1"/>
          <w:sz w:val="22"/>
          <w:szCs w:val="22"/>
          <w:lang w:val="en-US"/>
        </w:rPr>
        <w:t xml:space="preserve"> </w:t>
      </w:r>
      <w:r w:rsidR="00DF666B" w:rsidRPr="002C46D8">
        <w:rPr>
          <w:rFonts w:eastAsia="Verdana" w:cs="Verdana"/>
          <w:color w:val="000000" w:themeColor="text1"/>
          <w:sz w:val="22"/>
          <w:szCs w:val="22"/>
          <w:lang w:val="en-US"/>
        </w:rPr>
        <w:t xml:space="preserve">CO 34 recommended ‘that </w:t>
      </w:r>
      <w:r w:rsidR="00DF666B" w:rsidRPr="002C46D8">
        <w:rPr>
          <w:sz w:val="22"/>
          <w:szCs w:val="22"/>
        </w:rPr>
        <w:t>urgent action be taken to amend legislative and policy frameworks that facilitate violence, abuse and neglect in institutions, to remove persons with disabilities from institutional settings with adequate support for living in the community, to investigate and sanction institutions and perpetrators and to provide victim and recovery support services and redress.’ In response, the Department of Corrections is leading cross-agency work to improve the management of people in prison with significant suspected and diagnosed intellectual disability. Oranga Tamariki will consider future actions through the development of the refreshed NZDS.</w:t>
      </w:r>
    </w:p>
  </w:footnote>
  <w:footnote w:id="39">
    <w:p w14:paraId="51F2BFC3" w14:textId="79761DFC" w:rsidR="00A660C0" w:rsidRPr="002C46D8" w:rsidRDefault="00A660C0"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93023B" w:rsidRPr="002C46D8">
        <w:rPr>
          <w:sz w:val="22"/>
          <w:szCs w:val="22"/>
        </w:rPr>
        <w:t xml:space="preserve">The IMM </w:t>
      </w:r>
      <w:r w:rsidR="00F36C5F" w:rsidRPr="002C46D8">
        <w:rPr>
          <w:sz w:val="22"/>
          <w:szCs w:val="22"/>
        </w:rPr>
        <w:t>is constituted of The Ombudsman, the Human Rights Commission, and the Disabled People’s Organisations Coalition.</w:t>
      </w:r>
      <w:r w:rsidR="00CB1E23" w:rsidRPr="002C46D8">
        <w:rPr>
          <w:sz w:val="22"/>
          <w:szCs w:val="22"/>
        </w:rPr>
        <w:t xml:space="preserve"> It monitors and reports on the Government’s progress</w:t>
      </w:r>
      <w:r w:rsidR="00604BF5" w:rsidRPr="002C46D8">
        <w:rPr>
          <w:sz w:val="22"/>
          <w:szCs w:val="22"/>
        </w:rPr>
        <w:t xml:space="preserve"> to realising the rights of disabled people in New Zealand.</w:t>
      </w:r>
    </w:p>
  </w:footnote>
  <w:footnote w:id="40">
    <w:p w14:paraId="21841C00" w14:textId="421568C1" w:rsidR="00710B65" w:rsidRPr="002C46D8" w:rsidRDefault="00710B65"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Independent Monitoring Mechanism, </w:t>
      </w:r>
      <w:r w:rsidRPr="002C46D8">
        <w:rPr>
          <w:i/>
          <w:iCs/>
          <w:sz w:val="22"/>
          <w:szCs w:val="22"/>
        </w:rPr>
        <w:t>Making Disability Rights Real l Whakatūt</w:t>
      </w:r>
      <w:r w:rsidR="00E02FC7" w:rsidRPr="002C46D8">
        <w:rPr>
          <w:i/>
          <w:iCs/>
          <w:sz w:val="22"/>
          <w:szCs w:val="22"/>
        </w:rPr>
        <w:t>uru Ngā Tika Hauātanga</w:t>
      </w:r>
      <w:r w:rsidR="00E02FC7" w:rsidRPr="002C46D8">
        <w:rPr>
          <w:sz w:val="22"/>
          <w:szCs w:val="22"/>
        </w:rPr>
        <w:t xml:space="preserve">, June 2020, </w:t>
      </w:r>
      <w:r w:rsidRPr="002C46D8">
        <w:rPr>
          <w:sz w:val="22"/>
          <w:szCs w:val="22"/>
        </w:rPr>
        <w:t>p. 92.</w:t>
      </w:r>
    </w:p>
  </w:footnote>
  <w:footnote w:id="41">
    <w:p w14:paraId="6154C5B0" w14:textId="791748A9" w:rsidR="69CE403C" w:rsidRPr="002C46D8" w:rsidRDefault="69CE403C" w:rsidP="002C46D8">
      <w:pPr>
        <w:pStyle w:val="FootnoteText"/>
        <w:spacing w:before="0" w:line="240" w:lineRule="auto"/>
        <w:rPr>
          <w:rFonts w:eastAsia="Verdana" w:cs="Verdana"/>
          <w:sz w:val="22"/>
          <w:szCs w:val="22"/>
        </w:rPr>
      </w:pPr>
      <w:r w:rsidRPr="002C46D8">
        <w:rPr>
          <w:rStyle w:val="FootnoteReference"/>
          <w:rFonts w:eastAsia="Verdana" w:cs="Verdana"/>
          <w:sz w:val="22"/>
          <w:szCs w:val="22"/>
        </w:rPr>
        <w:footnoteRef/>
      </w:r>
      <w:r w:rsidRPr="002C46D8">
        <w:rPr>
          <w:rFonts w:eastAsia="Verdana" w:cs="Verdana"/>
          <w:sz w:val="22"/>
          <w:szCs w:val="22"/>
        </w:rPr>
        <w:t xml:space="preserve"> </w:t>
      </w:r>
      <w:r w:rsidRPr="002C46D8">
        <w:rPr>
          <w:rFonts w:eastAsia="Verdana" w:cs="Verdana"/>
          <w:color w:val="000000" w:themeColor="text1"/>
          <w:sz w:val="22"/>
          <w:szCs w:val="22"/>
          <w:lang w:val="en-US"/>
        </w:rPr>
        <w:t xml:space="preserve">Royal Commission of Inquiry into Abuse in Care and Faith Based Institutions, ’Recommendations, Ngā Tūtohi’, </w:t>
      </w:r>
      <w:r w:rsidRPr="002C46D8">
        <w:rPr>
          <w:rFonts w:eastAsia="Verdana" w:cs="Verdana"/>
          <w:i/>
          <w:iCs/>
          <w:color w:val="000000" w:themeColor="text1"/>
          <w:sz w:val="22"/>
          <w:szCs w:val="22"/>
          <w:lang w:val="en-US"/>
        </w:rPr>
        <w:t>Whanaketia</w:t>
      </w:r>
      <w:r w:rsidRPr="002C46D8">
        <w:rPr>
          <w:rFonts w:eastAsia="Verdana" w:cs="Verdana"/>
          <w:color w:val="000000" w:themeColor="text1"/>
          <w:sz w:val="22"/>
          <w:szCs w:val="22"/>
          <w:lang w:val="en-US"/>
        </w:rPr>
        <w:t xml:space="preserve">, available: </w:t>
      </w:r>
      <w:hyperlink r:id="rId14">
        <w:r w:rsidRPr="002C46D8">
          <w:rPr>
            <w:rStyle w:val="Hyperlink"/>
            <w:rFonts w:eastAsia="Verdana" w:cs="Verdana"/>
            <w:sz w:val="22"/>
            <w:szCs w:val="22"/>
            <w:lang w:val="en-US"/>
          </w:rPr>
          <w:t>https://www.abuseincare.org.nz/reports/whanaketia/preliminaries/recommendations/.</w:t>
        </w:r>
      </w:hyperlink>
    </w:p>
  </w:footnote>
  <w:footnote w:id="42">
    <w:p w14:paraId="7A55FEEB" w14:textId="77777777" w:rsidR="00E1085B" w:rsidRPr="002C46D8" w:rsidRDefault="00E1085B"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Maarten Wevers, Leanne Spice, Murray Edridge, </w:t>
      </w:r>
      <w:r w:rsidRPr="002C46D8">
        <w:rPr>
          <w:i/>
          <w:iCs/>
          <w:sz w:val="22"/>
          <w:szCs w:val="22"/>
        </w:rPr>
        <w:t>Independent Review of Disability Support Services</w:t>
      </w:r>
      <w:r w:rsidRPr="002C46D8">
        <w:rPr>
          <w:sz w:val="22"/>
          <w:szCs w:val="22"/>
        </w:rPr>
        <w:t>, June 2024, p. 25.</w:t>
      </w:r>
    </w:p>
  </w:footnote>
  <w:footnote w:id="43">
    <w:p w14:paraId="50216705" w14:textId="77777777" w:rsidR="00E1085B" w:rsidRPr="002C46D8" w:rsidRDefault="00E1085B"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Ibid.</w:t>
      </w:r>
    </w:p>
  </w:footnote>
  <w:footnote w:id="44">
    <w:p w14:paraId="120F078D" w14:textId="79BE8A44" w:rsidR="69CE403C" w:rsidRPr="002C46D8" w:rsidRDefault="69CE403C"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Interview #31, in Donald Beasley Institute, </w:t>
      </w:r>
      <w:r w:rsidRPr="002C46D8">
        <w:rPr>
          <w:i/>
          <w:iCs/>
          <w:sz w:val="22"/>
          <w:szCs w:val="22"/>
        </w:rPr>
        <w:t>My Experiences, My Rights: A Monitoring Report on Disabled Person’s Experience of Housing in Aotearoa New Zealand</w:t>
      </w:r>
      <w:r w:rsidRPr="002C46D8">
        <w:rPr>
          <w:sz w:val="22"/>
          <w:szCs w:val="22"/>
        </w:rPr>
        <w:t>, 2020, p. 78.</w:t>
      </w:r>
    </w:p>
  </w:footnote>
  <w:footnote w:id="45">
    <w:p w14:paraId="612440F0" w14:textId="44EE846A" w:rsidR="69CE403C" w:rsidRPr="002C46D8" w:rsidRDefault="69CE403C" w:rsidP="002C46D8">
      <w:pPr>
        <w:pStyle w:val="FootnoteText"/>
        <w:spacing w:before="0" w:line="240" w:lineRule="auto"/>
        <w:rPr>
          <w:rFonts w:eastAsia="Verdana" w:cs="Verdana"/>
          <w:sz w:val="22"/>
          <w:szCs w:val="22"/>
        </w:rPr>
      </w:pPr>
      <w:r w:rsidRPr="002C46D8">
        <w:rPr>
          <w:rStyle w:val="FootnoteReference"/>
          <w:rFonts w:eastAsia="Verdana" w:cs="Verdana"/>
          <w:sz w:val="22"/>
          <w:szCs w:val="22"/>
        </w:rPr>
        <w:footnoteRef/>
      </w:r>
      <w:r w:rsidRPr="002C46D8">
        <w:rPr>
          <w:rFonts w:eastAsia="Verdana" w:cs="Verdana"/>
          <w:sz w:val="22"/>
          <w:szCs w:val="22"/>
        </w:rPr>
        <w:t xml:space="preserve"> </w:t>
      </w:r>
      <w:r w:rsidRPr="002C46D8">
        <w:rPr>
          <w:rFonts w:eastAsia="Verdana" w:cs="Verdana"/>
          <w:color w:val="000000" w:themeColor="text1"/>
          <w:sz w:val="22"/>
          <w:szCs w:val="22"/>
          <w:lang w:val="en-US"/>
        </w:rPr>
        <w:t xml:space="preserve">Dr Catherine Bridge, </w:t>
      </w:r>
      <w:r w:rsidRPr="002C46D8">
        <w:rPr>
          <w:rFonts w:eastAsia="Verdana" w:cs="Verdana"/>
          <w:i/>
          <w:iCs/>
          <w:color w:val="000000" w:themeColor="text1"/>
          <w:sz w:val="22"/>
          <w:szCs w:val="22"/>
          <w:lang w:val="en-US"/>
        </w:rPr>
        <w:t>Housing and Disability a great opportunity</w:t>
      </w:r>
      <w:r w:rsidRPr="002C46D8">
        <w:rPr>
          <w:rFonts w:eastAsia="Verdana" w:cs="Verdana"/>
          <w:color w:val="000000" w:themeColor="text1"/>
          <w:sz w:val="22"/>
          <w:szCs w:val="22"/>
          <w:lang w:val="en-US"/>
        </w:rPr>
        <w:t>, Centre for Housing Research, Aotearoa New Zealand, May 2007, p. 1</w:t>
      </w:r>
      <w:r w:rsidR="008C30FA" w:rsidRPr="002C46D8">
        <w:rPr>
          <w:rFonts w:eastAsia="Verdana" w:cs="Verdana"/>
          <w:color w:val="000000" w:themeColor="text1"/>
          <w:sz w:val="22"/>
          <w:szCs w:val="22"/>
          <w:lang w:val="en-US"/>
        </w:rPr>
        <w:t xml:space="preserve">; </w:t>
      </w:r>
      <w:r w:rsidR="008C30FA" w:rsidRPr="002C46D8">
        <w:rPr>
          <w:sz w:val="22"/>
          <w:szCs w:val="22"/>
        </w:rPr>
        <w:t xml:space="preserve">Human Rights Commission, </w:t>
      </w:r>
      <w:r w:rsidR="008C30FA" w:rsidRPr="002C46D8">
        <w:rPr>
          <w:i/>
          <w:iCs/>
          <w:sz w:val="22"/>
          <w:szCs w:val="22"/>
        </w:rPr>
        <w:t>Shortage of accessible homes a human rights deficit</w:t>
      </w:r>
      <w:r w:rsidR="008C30FA" w:rsidRPr="002C46D8">
        <w:rPr>
          <w:sz w:val="22"/>
          <w:szCs w:val="22"/>
        </w:rPr>
        <w:t>, 29 September 2022.</w:t>
      </w:r>
    </w:p>
  </w:footnote>
  <w:footnote w:id="46">
    <w:p w14:paraId="74EEAEF5" w14:textId="19AE2B56" w:rsidR="00F40D48" w:rsidRPr="002C46D8" w:rsidRDefault="00F40D48"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Kay Saville-Smith and James Saville, </w:t>
      </w:r>
      <w:r w:rsidRPr="002C46D8">
        <w:rPr>
          <w:i/>
          <w:iCs/>
          <w:sz w:val="22"/>
          <w:szCs w:val="22"/>
        </w:rPr>
        <w:t>Getting Accessible Housing: Practical Approaches to Encouraging Industry Take-up and Meeting Need</w:t>
      </w:r>
      <w:r w:rsidRPr="002C46D8">
        <w:rPr>
          <w:sz w:val="22"/>
          <w:szCs w:val="22"/>
        </w:rPr>
        <w:t xml:space="preserve">, </w:t>
      </w:r>
      <w:r w:rsidR="00B2705C" w:rsidRPr="002C46D8">
        <w:rPr>
          <w:sz w:val="22"/>
          <w:szCs w:val="22"/>
        </w:rPr>
        <w:t>Centre for Research, Evaluation and Social Assessment, August 2012, p. 15.</w:t>
      </w:r>
    </w:p>
  </w:footnote>
  <w:footnote w:id="47">
    <w:p w14:paraId="28225DAC" w14:textId="5FACED36" w:rsidR="00B5110D" w:rsidRPr="002C46D8" w:rsidRDefault="00B5110D"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0438FC" w:rsidRPr="002C46D8">
        <w:rPr>
          <w:sz w:val="22"/>
          <w:szCs w:val="22"/>
        </w:rPr>
        <w:t xml:space="preserve">New Zealand Disability Support Network, </w:t>
      </w:r>
      <w:r w:rsidR="000438FC" w:rsidRPr="002C46D8">
        <w:rPr>
          <w:i/>
          <w:iCs/>
          <w:sz w:val="22"/>
          <w:szCs w:val="22"/>
        </w:rPr>
        <w:t>Accessible housing for disabled people living in Aotearoa New Zealand</w:t>
      </w:r>
      <w:r w:rsidR="000438FC" w:rsidRPr="002C46D8">
        <w:rPr>
          <w:sz w:val="22"/>
          <w:szCs w:val="22"/>
        </w:rPr>
        <w:t xml:space="preserve">, </w:t>
      </w:r>
      <w:r w:rsidR="00D07F56" w:rsidRPr="002C46D8">
        <w:rPr>
          <w:sz w:val="22"/>
          <w:szCs w:val="22"/>
        </w:rPr>
        <w:t>November 2022, p. 11.</w:t>
      </w:r>
    </w:p>
  </w:footnote>
  <w:footnote w:id="48">
    <w:p w14:paraId="119C9A52" w14:textId="359DE38B" w:rsidR="55CA0096" w:rsidRPr="002C46D8" w:rsidRDefault="55CA0096"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This document is expected to be published in April 2025.</w:t>
      </w:r>
    </w:p>
  </w:footnote>
  <w:footnote w:id="49">
    <w:p w14:paraId="04FB50EC" w14:textId="56BF9842" w:rsidR="00C1673B" w:rsidRPr="002C46D8" w:rsidRDefault="00C1673B"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Ministry of Health, </w:t>
      </w:r>
      <w:r w:rsidRPr="002C46D8">
        <w:rPr>
          <w:i/>
          <w:iCs/>
          <w:sz w:val="22"/>
          <w:szCs w:val="22"/>
        </w:rPr>
        <w:t>Equipment and Modification Services: Housing Modifications</w:t>
      </w:r>
      <w:r w:rsidRPr="002C46D8">
        <w:rPr>
          <w:sz w:val="22"/>
          <w:szCs w:val="22"/>
        </w:rPr>
        <w:t xml:space="preserve"> </w:t>
      </w:r>
      <w:r w:rsidRPr="002C46D8">
        <w:rPr>
          <w:i/>
          <w:iCs/>
          <w:sz w:val="22"/>
          <w:szCs w:val="22"/>
        </w:rPr>
        <w:t>Manual</w:t>
      </w:r>
      <w:r w:rsidRPr="002C46D8">
        <w:rPr>
          <w:sz w:val="22"/>
          <w:szCs w:val="22"/>
        </w:rPr>
        <w:t>, September 2014, pp. 29-30; such circumstances include things such as forced eviction, domestic violence or protection orders, or natural disasters necessitating relocation.</w:t>
      </w:r>
      <w:r w:rsidR="00BC0E92" w:rsidRPr="002C46D8">
        <w:rPr>
          <w:sz w:val="22"/>
          <w:szCs w:val="22"/>
        </w:rPr>
        <w:t xml:space="preserve"> Although this policy was published by the Ministry of Health, DSS is now managed by MSD.</w:t>
      </w:r>
    </w:p>
  </w:footnote>
  <w:footnote w:id="50">
    <w:p w14:paraId="3E03792D" w14:textId="4531E219" w:rsidR="00620A58" w:rsidRPr="002C46D8" w:rsidRDefault="00620A58"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Pr="002C46D8">
        <w:rPr>
          <w:rFonts w:eastAsia="Verdana" w:cs="Verdana"/>
          <w:color w:val="000000" w:themeColor="text1"/>
          <w:sz w:val="22"/>
          <w:szCs w:val="22"/>
          <w:lang w:val="en-US"/>
        </w:rPr>
        <w:t xml:space="preserve">Kāinga Ora, </w:t>
      </w:r>
      <w:r w:rsidRPr="002C46D8">
        <w:rPr>
          <w:rFonts w:eastAsia="Verdana" w:cs="Verdana"/>
          <w:i/>
          <w:iCs/>
          <w:color w:val="000000" w:themeColor="text1"/>
          <w:sz w:val="22"/>
          <w:szCs w:val="22"/>
          <w:lang w:val="en-US"/>
        </w:rPr>
        <w:t>Kāinga Ora Customer Accessibility Information</w:t>
      </w:r>
      <w:r w:rsidRPr="002C46D8">
        <w:rPr>
          <w:rFonts w:eastAsia="Verdana" w:cs="Verdana"/>
          <w:color w:val="000000" w:themeColor="text1"/>
          <w:sz w:val="22"/>
          <w:szCs w:val="22"/>
          <w:lang w:val="en-US"/>
        </w:rPr>
        <w:t>, July 2023, p. 9.</w:t>
      </w:r>
    </w:p>
  </w:footnote>
  <w:footnote w:id="51">
    <w:p w14:paraId="0741CFB6" w14:textId="0623BB3F" w:rsidR="00CD605B" w:rsidRPr="002C46D8" w:rsidRDefault="00CD605B" w:rsidP="002C46D8">
      <w:pPr>
        <w:pStyle w:val="FootnoteText"/>
        <w:spacing w:before="0" w:line="240" w:lineRule="auto"/>
        <w:rPr>
          <w:sz w:val="22"/>
          <w:szCs w:val="22"/>
        </w:rPr>
      </w:pPr>
      <w:r w:rsidRPr="00431CF2">
        <w:rPr>
          <w:rStyle w:val="FootnoteReference"/>
          <w:sz w:val="22"/>
          <w:szCs w:val="22"/>
        </w:rPr>
        <w:footnoteRef/>
      </w:r>
      <w:r w:rsidRPr="00431CF2">
        <w:rPr>
          <w:sz w:val="22"/>
          <w:szCs w:val="22"/>
        </w:rPr>
        <w:t xml:space="preserve"> It is yet to be decided whether the 15% target continues to be included in future SPE targets. There is no universally accepted ‘universal design standard’ – organisations such as Kāinga Ora and Lifemark develop their own standards.</w:t>
      </w:r>
    </w:p>
  </w:footnote>
  <w:footnote w:id="52">
    <w:p w14:paraId="49A6A1B3" w14:textId="325024BC" w:rsidR="002C0ADB" w:rsidRPr="002C46D8" w:rsidRDefault="002C0ADB"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The ‘Accessible’ category sets out additional performance indicators which must be met, including a sub-category of ‘customised accessible’ providing bespoke features based on individual customer needs.</w:t>
      </w:r>
    </w:p>
  </w:footnote>
  <w:footnote w:id="53">
    <w:p w14:paraId="66B6F478" w14:textId="2B5C528B" w:rsidR="0090673D" w:rsidRPr="002C46D8" w:rsidRDefault="0090673D"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The Housing Register contains applicants</w:t>
      </w:r>
      <w:r w:rsidRPr="002C46D8">
        <w:rPr>
          <w:color w:val="000000"/>
          <w:sz w:val="22"/>
          <w:szCs w:val="22"/>
          <w:shd w:val="clear" w:color="auto" w:fill="FFFFFF"/>
        </w:rPr>
        <w:t xml:space="preserve"> not currently in public housing who have been assessed as eligible and who are ready to be matched to a suitable property. The Transfer Register contains applicants already in public housing who need to be rehoused for reasons such as there being too few or too many bedrooms in their current public house, or for health reasons.</w:t>
      </w:r>
    </w:p>
  </w:footnote>
  <w:footnote w:id="54">
    <w:p w14:paraId="08C72EFC" w14:textId="4F6A9EA4" w:rsidR="00242FE1" w:rsidRPr="002C46D8" w:rsidRDefault="00242FE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15" w:history="1">
        <w:r w:rsidRPr="002C46D8">
          <w:rPr>
            <w:rStyle w:val="Hyperlink"/>
            <w:sz w:val="22"/>
            <w:szCs w:val="22"/>
          </w:rPr>
          <w:t>https://www.whaikaha.govt.nz/news/news/17-percent-of-new-zealanders-are-disabled</w:t>
        </w:r>
      </w:hyperlink>
    </w:p>
  </w:footnote>
  <w:footnote w:id="55">
    <w:p w14:paraId="3E16449F" w14:textId="6A4822E8" w:rsidR="006B57A7" w:rsidRPr="002C46D8" w:rsidRDefault="006B57A7"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Data supplied by MSD. The data includes both Kāinga Ora and Community Housing Provider tenancies.</w:t>
      </w:r>
    </w:p>
  </w:footnote>
  <w:footnote w:id="56">
    <w:p w14:paraId="583E574F" w14:textId="4EEF741D" w:rsidR="00A344A9" w:rsidRPr="002C46D8" w:rsidRDefault="00A344A9"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611A0E" w:rsidRPr="002C46D8">
        <w:rPr>
          <w:sz w:val="22"/>
          <w:szCs w:val="22"/>
        </w:rPr>
        <w:t>This issue was raised by Community Housing Aotearoa (the peak body for the community housing sector in NZ) with MSD and HUD</w:t>
      </w:r>
      <w:r w:rsidRPr="002C46D8">
        <w:rPr>
          <w:sz w:val="22"/>
          <w:szCs w:val="22"/>
        </w:rPr>
        <w:t xml:space="preserve">. </w:t>
      </w:r>
    </w:p>
  </w:footnote>
  <w:footnote w:id="57">
    <w:p w14:paraId="7774A4B1" w14:textId="77777777" w:rsidR="00CE6F5C" w:rsidRPr="002C46D8" w:rsidRDefault="00CE6F5C"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16" w:history="1">
        <w:r w:rsidRPr="002C46D8">
          <w:rPr>
            <w:rStyle w:val="Hyperlink"/>
            <w:sz w:val="22"/>
            <w:szCs w:val="22"/>
          </w:rPr>
          <w:t>https://www.msd.govt.nz/documents/about-msd-and-our-work/publications-resources/statistics/housing/monthly-housing-update/2024/monthly-housing-report-december-2024.pdf</w:t>
        </w:r>
      </w:hyperlink>
      <w:r w:rsidRPr="002C46D8">
        <w:rPr>
          <w:sz w:val="22"/>
          <w:szCs w:val="22"/>
        </w:rPr>
        <w:t xml:space="preserve"> ; as of December 2024, of the main Housing Register applicants who gave their ethnicity, 49.5% were Māori, 38.7% were European, and 15.9% were Pacific. Almost half of applications for the Register were for one-bedroom properties.</w:t>
      </w:r>
    </w:p>
  </w:footnote>
  <w:footnote w:id="58">
    <w:p w14:paraId="3BFC28FF" w14:textId="2E02D917" w:rsidR="69CE403C" w:rsidRPr="002C46D8" w:rsidRDefault="69CE403C"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17" w:history="1">
        <w:r w:rsidR="00867E10" w:rsidRPr="002C46D8">
          <w:rPr>
            <w:rStyle w:val="Hyperlink"/>
            <w:sz w:val="22"/>
            <w:szCs w:val="22"/>
          </w:rPr>
          <w:t>https://www.workandincome.govt.nz/map/social-housing/assessment-of-eligibility/assessment-of-housing-need-01.html</w:t>
        </w:r>
      </w:hyperlink>
    </w:p>
  </w:footnote>
  <w:footnote w:id="59">
    <w:p w14:paraId="0DC88CCC" w14:textId="0FDAD855" w:rsidR="00402B65" w:rsidRPr="002C46D8" w:rsidRDefault="00402B65"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6F731A" w:rsidRPr="002C46D8">
        <w:rPr>
          <w:sz w:val="22"/>
          <w:szCs w:val="22"/>
        </w:rPr>
        <w:t xml:space="preserve">There are fast-track provisions to </w:t>
      </w:r>
      <w:r w:rsidR="00BC798B" w:rsidRPr="002C46D8">
        <w:rPr>
          <w:sz w:val="22"/>
          <w:szCs w:val="22"/>
        </w:rPr>
        <w:t>help certain households get into social housing faster</w:t>
      </w:r>
      <w:r w:rsidR="00A2124F" w:rsidRPr="002C46D8">
        <w:rPr>
          <w:sz w:val="22"/>
          <w:szCs w:val="22"/>
        </w:rPr>
        <w:t xml:space="preserve"> –</w:t>
      </w:r>
      <w:r w:rsidR="00BC798B" w:rsidRPr="002C46D8">
        <w:rPr>
          <w:sz w:val="22"/>
          <w:szCs w:val="22"/>
        </w:rPr>
        <w:t xml:space="preserve"> for example, households with at least 1 dependent child </w:t>
      </w:r>
      <w:r w:rsidR="00A2124F" w:rsidRPr="002C46D8">
        <w:rPr>
          <w:sz w:val="22"/>
          <w:szCs w:val="22"/>
        </w:rPr>
        <w:t xml:space="preserve">who have been staying in emergency housing for 12 continuous weeks or more, see: </w:t>
      </w:r>
      <w:hyperlink r:id="rId18" w:history="1">
        <w:r w:rsidR="00A2124F" w:rsidRPr="002C46D8">
          <w:rPr>
            <w:rStyle w:val="Hyperlink"/>
            <w:sz w:val="22"/>
            <w:szCs w:val="22"/>
          </w:rPr>
          <w:t>https://www.workandincome.govt.nz/map/social-housing/assessment-of-eligibility/fast-track-provision.html</w:t>
        </w:r>
      </w:hyperlink>
    </w:p>
  </w:footnote>
  <w:footnote w:id="60">
    <w:p w14:paraId="32647DD6" w14:textId="03CC3B75" w:rsidR="69CE403C" w:rsidRPr="002C46D8" w:rsidRDefault="69CE403C"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0E30C9" w:rsidRPr="002C46D8">
        <w:rPr>
          <w:sz w:val="22"/>
          <w:szCs w:val="22"/>
        </w:rPr>
        <w:t>Ibid.</w:t>
      </w:r>
    </w:p>
  </w:footnote>
  <w:footnote w:id="61">
    <w:p w14:paraId="581B5BEC" w14:textId="30A4F403" w:rsidR="69CE403C" w:rsidRPr="002C46D8" w:rsidRDefault="69CE403C"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Pr="002C46D8">
        <w:rPr>
          <w:rFonts w:eastAsia="Verdana" w:cs="Verdana"/>
          <w:color w:val="000000" w:themeColor="text1"/>
          <w:sz w:val="22"/>
          <w:szCs w:val="22"/>
        </w:rPr>
        <w:t xml:space="preserve">Donald Beasley Institute, </w:t>
      </w:r>
      <w:r w:rsidRPr="002C46D8">
        <w:rPr>
          <w:rFonts w:eastAsia="Verdana" w:cs="Verdana"/>
          <w:i/>
          <w:iCs/>
          <w:color w:val="000000" w:themeColor="text1"/>
          <w:sz w:val="22"/>
          <w:szCs w:val="22"/>
        </w:rPr>
        <w:t xml:space="preserve">My Experiences, My Rights: A Monitoring Report on Disabled Person’s Experience of Housing in Aotearoa New Zealand, </w:t>
      </w:r>
      <w:r w:rsidRPr="002C46D8">
        <w:rPr>
          <w:rFonts w:eastAsia="Verdana" w:cs="Verdana"/>
          <w:color w:val="000000" w:themeColor="text1"/>
          <w:sz w:val="22"/>
          <w:szCs w:val="22"/>
        </w:rPr>
        <w:t>2020, p. 11, 37.</w:t>
      </w:r>
    </w:p>
  </w:footnote>
  <w:footnote w:id="62">
    <w:p w14:paraId="43B8BFE9" w14:textId="49B2AD86" w:rsidR="69CE403C" w:rsidRPr="002C46D8" w:rsidRDefault="69CE403C"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0E30C9" w:rsidRPr="002C46D8">
        <w:rPr>
          <w:rFonts w:eastAsia="Verdana" w:cs="Verdana"/>
          <w:color w:val="000000" w:themeColor="text1"/>
          <w:sz w:val="22"/>
          <w:szCs w:val="22"/>
        </w:rPr>
        <w:t>Ibid</w:t>
      </w:r>
      <w:r w:rsidRPr="002C46D8">
        <w:rPr>
          <w:rFonts w:eastAsia="Verdana" w:cs="Verdana"/>
          <w:color w:val="000000" w:themeColor="text1"/>
          <w:sz w:val="22"/>
          <w:szCs w:val="22"/>
        </w:rPr>
        <w:t>, p. 36.</w:t>
      </w:r>
    </w:p>
  </w:footnote>
  <w:footnote w:id="63">
    <w:p w14:paraId="3BC26182" w14:textId="08D6C65C" w:rsidR="69CE403C" w:rsidRPr="002C46D8" w:rsidRDefault="69CE403C"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03272D" w:rsidRPr="002C46D8">
        <w:rPr>
          <w:rFonts w:eastAsia="Verdana" w:cs="Verdana"/>
          <w:color w:val="000000" w:themeColor="text1"/>
          <w:sz w:val="22"/>
          <w:szCs w:val="22"/>
        </w:rPr>
        <w:t>Ibid</w:t>
      </w:r>
      <w:r w:rsidRPr="002C46D8">
        <w:rPr>
          <w:rFonts w:eastAsia="Verdana" w:cs="Verdana"/>
          <w:color w:val="000000" w:themeColor="text1"/>
          <w:sz w:val="22"/>
          <w:szCs w:val="22"/>
        </w:rPr>
        <w:t>, p. 39.</w:t>
      </w:r>
    </w:p>
  </w:footnote>
  <w:footnote w:id="64">
    <w:p w14:paraId="1E3D8835" w14:textId="6ADFE3A3" w:rsidR="00775A7B" w:rsidRPr="002C46D8" w:rsidRDefault="00775A7B"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7B217B" w:rsidRPr="002C46D8">
        <w:rPr>
          <w:sz w:val="22"/>
          <w:szCs w:val="22"/>
        </w:rPr>
        <w:t xml:space="preserve">UN General Assembly, </w:t>
      </w:r>
      <w:r w:rsidR="00AB0FFB" w:rsidRPr="002C46D8">
        <w:rPr>
          <w:i/>
          <w:iCs/>
          <w:sz w:val="22"/>
          <w:szCs w:val="22"/>
        </w:rPr>
        <w:t>Report of the Special Rapporteur on adequate</w:t>
      </w:r>
      <w:r w:rsidR="00AB0FFB" w:rsidRPr="002C46D8">
        <w:rPr>
          <w:sz w:val="22"/>
          <w:szCs w:val="22"/>
        </w:rPr>
        <w:t xml:space="preserve">, A/HRC/47/43/Add.1, </w:t>
      </w:r>
      <w:r w:rsidR="007C50AA" w:rsidRPr="002C46D8">
        <w:rPr>
          <w:sz w:val="22"/>
          <w:szCs w:val="22"/>
        </w:rPr>
        <w:t>April 2021, pp. 16-17.</w:t>
      </w:r>
    </w:p>
  </w:footnote>
  <w:footnote w:id="65">
    <w:p w14:paraId="7B2A2B53"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This can include longer term residential accommodation for disabled adults through to temporary respite options.</w:t>
      </w:r>
    </w:p>
  </w:footnote>
  <w:footnote w:id="66">
    <w:p w14:paraId="250F4504"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Pr="002C46D8">
        <w:rPr>
          <w:rStyle w:val="normaltextrun"/>
          <w:sz w:val="22"/>
          <w:szCs w:val="22"/>
          <w:lang w:val="en-US"/>
        </w:rPr>
        <w:t>Modifications can be minor (under $2,000 and non-structural, such as handrails, showerhead changes etc), or major (over $2,000, such as wet area showers, doorway widening etc).</w:t>
      </w:r>
      <w:r w:rsidRPr="002C46D8">
        <w:rPr>
          <w:rStyle w:val="eop"/>
          <w:sz w:val="22"/>
          <w:szCs w:val="22"/>
        </w:rPr>
        <w:t> </w:t>
      </w:r>
    </w:p>
  </w:footnote>
  <w:footnote w:id="67">
    <w:p w14:paraId="55D77A07" w14:textId="77777777" w:rsidR="00DF5C11" w:rsidRPr="002C46D8" w:rsidRDefault="00DF5C11" w:rsidP="002C46D8">
      <w:pPr>
        <w:pStyle w:val="ParaLevel2"/>
        <w:numPr>
          <w:ilvl w:val="0"/>
          <w:numId w:val="0"/>
        </w:numPr>
        <w:spacing w:before="0" w:after="0" w:line="240" w:lineRule="auto"/>
      </w:pPr>
      <w:r w:rsidRPr="002C46D8">
        <w:rPr>
          <w:rStyle w:val="FootnoteReference"/>
          <w:sz w:val="22"/>
          <w:szCs w:val="22"/>
        </w:rPr>
        <w:footnoteRef/>
      </w:r>
      <w:r w:rsidRPr="002C46D8">
        <w:t xml:space="preserve"> Includes both Community Group Housing and Transitional Housing properties. </w:t>
      </w:r>
      <w:r w:rsidRPr="002C46D8">
        <w:rPr>
          <w:rStyle w:val="normaltextrun"/>
        </w:rPr>
        <w:t>Between 1 July 2023 and 31 October 2024, 62,059 properties were inspected for accessibility features—representing approximately 83% of the Kāinga Ora portfolio. Of these properties, 44% (27,412) were found to have modifications or accessibility features. Kāinga Ora has updated its asset records to reflect the accessibility features of its properties, except for any minor modifications that can be temporary in nature (such as handrails). This has resulted in a significant improvement in its asset data as the total number of managed stock (supported and state housing) recorded as being “modified” has more than doubled compared to June 2023, increasing from 6,788 to 16,559.</w:t>
      </w:r>
      <w:r w:rsidRPr="002C46D8">
        <w:rPr>
          <w:rStyle w:val="eop"/>
        </w:rPr>
        <w:t> </w:t>
      </w:r>
    </w:p>
  </w:footnote>
  <w:footnote w:id="68">
    <w:p w14:paraId="467134A3"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19" w:history="1">
        <w:r w:rsidRPr="002C46D8">
          <w:rPr>
            <w:rStyle w:val="Hyperlink"/>
            <w:sz w:val="22"/>
            <w:szCs w:val="22"/>
          </w:rPr>
          <w:t>https://kaingaora.govt.nz/en_NZ/about-us/accessibility-at-kainga-ora/disabled-customer-working-group/</w:t>
        </w:r>
      </w:hyperlink>
    </w:p>
  </w:footnote>
  <w:footnote w:id="69">
    <w:p w14:paraId="7FFD1FBC"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20">
        <w:r w:rsidRPr="002C46D8">
          <w:rPr>
            <w:rStyle w:val="Hyperlink"/>
            <w:sz w:val="22"/>
            <w:szCs w:val="22"/>
          </w:rPr>
          <w:t>https://www.tpk.govt.nz/en/nga-putea-me-nga-ratonga/maori-housing-support/repairs-to-whanau-owned-homes</w:t>
        </w:r>
      </w:hyperlink>
    </w:p>
  </w:footnote>
  <w:footnote w:id="70">
    <w:p w14:paraId="2CB77D4A"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Te Puni Kōkiri, ‘What has been delivered’, 23 September 2022, available: </w:t>
      </w:r>
      <w:hyperlink r:id="rId21" w:history="1">
        <w:r w:rsidRPr="002C46D8">
          <w:rPr>
            <w:rStyle w:val="Hyperlink"/>
            <w:sz w:val="22"/>
            <w:szCs w:val="22"/>
          </w:rPr>
          <w:t>https://www.tpk.govt.nz/en/nga-putea-me-nga-ratonga/maori-housing-support/what-funding-is-available</w:t>
        </w:r>
      </w:hyperlink>
    </w:p>
  </w:footnote>
  <w:footnote w:id="71">
    <w:p w14:paraId="164E3B74"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Te Puni Kōkiri, </w:t>
      </w:r>
      <w:r w:rsidRPr="002C46D8">
        <w:rPr>
          <w:i/>
          <w:iCs/>
          <w:sz w:val="22"/>
          <w:szCs w:val="22"/>
        </w:rPr>
        <w:t>2023/2024 Pūrongo-ā-tau, Annual Report</w:t>
      </w:r>
      <w:r w:rsidRPr="002C46D8">
        <w:rPr>
          <w:sz w:val="22"/>
          <w:szCs w:val="22"/>
        </w:rPr>
        <w:t>, p. 14.</w:t>
      </w:r>
    </w:p>
  </w:footnote>
  <w:footnote w:id="72">
    <w:p w14:paraId="5DC818F0" w14:textId="108AD0B4" w:rsidR="00145364" w:rsidRPr="002C46D8" w:rsidRDefault="00145364"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22" w:anchor=":~:text=Local%20councils%20operate%20their%20own,rental%20housing%20for%20older%20people." w:history="1">
        <w:r w:rsidRPr="002C46D8">
          <w:rPr>
            <w:rStyle w:val="Hyperlink"/>
            <w:sz w:val="22"/>
            <w:szCs w:val="22"/>
          </w:rPr>
          <w:t>https://communitylaw.org.nz/community-law-manual/test/social-housing-tenants-in-state-and-community-housing/#:~:text=Local%20councils%20operate%20their%20own,rental%20housing%20for%20older%20people.</w:t>
        </w:r>
      </w:hyperlink>
      <w:r w:rsidR="00AC4DE3" w:rsidRPr="002C46D8">
        <w:rPr>
          <w:sz w:val="22"/>
          <w:szCs w:val="22"/>
        </w:rPr>
        <w:t xml:space="preserve"> Some councils have also established entity CHPs and house people from the Housing Register.</w:t>
      </w:r>
    </w:p>
  </w:footnote>
  <w:footnote w:id="73">
    <w:p w14:paraId="387E784D" w14:textId="77777777" w:rsidR="00DF5C11" w:rsidRPr="002C46D8" w:rsidRDefault="00DF5C11" w:rsidP="002C46D8">
      <w:pPr>
        <w:spacing w:before="0" w:after="0" w:line="240" w:lineRule="auto"/>
      </w:pPr>
      <w:r w:rsidRPr="002C46D8">
        <w:rPr>
          <w:rStyle w:val="FootnoteReference"/>
          <w:sz w:val="22"/>
          <w:szCs w:val="22"/>
        </w:rPr>
        <w:footnoteRef/>
      </w:r>
      <w:r w:rsidRPr="002C46D8">
        <w:t xml:space="preserve"> Available: </w:t>
      </w:r>
      <w:hyperlink r:id="rId23">
        <w:r w:rsidRPr="002C46D8">
          <w:rPr>
            <w:rStyle w:val="Hyperlink"/>
          </w:rPr>
          <w:t>https://www.tauranga.govt.nz/Portals/0/data/council/strategies/files/accessible-tauranga-aip.pdf</w:t>
        </w:r>
      </w:hyperlink>
    </w:p>
  </w:footnote>
  <w:footnote w:id="74">
    <w:p w14:paraId="66D9F24B"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Hamilton City Council, </w:t>
      </w:r>
      <w:r w:rsidRPr="002C46D8">
        <w:rPr>
          <w:i/>
          <w:iCs/>
          <w:sz w:val="22"/>
          <w:szCs w:val="22"/>
        </w:rPr>
        <w:t>Disability Policy Action Plan 2022-2025</w:t>
      </w:r>
      <w:r w:rsidRPr="002C46D8">
        <w:rPr>
          <w:sz w:val="22"/>
          <w:szCs w:val="22"/>
        </w:rPr>
        <w:t xml:space="preserve">, p. 5. </w:t>
      </w:r>
    </w:p>
  </w:footnote>
  <w:footnote w:id="75">
    <w:p w14:paraId="52311CA8"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BRANZ, ’Future-proof buildings good for all’, Build Magazine, October/November 2021, p. 85.</w:t>
      </w:r>
    </w:p>
  </w:footnote>
  <w:footnote w:id="76">
    <w:p w14:paraId="41254B13"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Geoff Penrose, ’It’s universal design’s time’, Build Magazine, June/July 2019, p. 6.</w:t>
      </w:r>
    </w:p>
  </w:footnote>
  <w:footnote w:id="77">
    <w:p w14:paraId="4EBDDCE9"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Lifemark, ’Case Study: Housing Incentives that Work’, 2 October 2024, available: </w:t>
      </w:r>
      <w:hyperlink r:id="rId24">
        <w:r w:rsidRPr="002C46D8">
          <w:rPr>
            <w:rStyle w:val="Hyperlink"/>
            <w:sz w:val="22"/>
            <w:szCs w:val="22"/>
          </w:rPr>
          <w:t>https://www.lifemark.co.nz/our-design-standards/case-studies/article/case-study-housing-incentives-that-work</w:t>
        </w:r>
      </w:hyperlink>
    </w:p>
  </w:footnote>
  <w:footnote w:id="78">
    <w:p w14:paraId="64D0BBA5"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25">
        <w:r w:rsidRPr="002C46D8">
          <w:rPr>
            <w:rStyle w:val="Hyperlink"/>
            <w:sz w:val="22"/>
            <w:szCs w:val="22"/>
          </w:rPr>
          <w:t>https://chra.hud.govt.nz/.</w:t>
        </w:r>
      </w:hyperlink>
    </w:p>
  </w:footnote>
  <w:footnote w:id="79">
    <w:p w14:paraId="720E7295" w14:textId="0AA3735E" w:rsidR="00C6607D" w:rsidRPr="002C46D8" w:rsidRDefault="00C6607D"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The University of Otago Wellington in collaboration with the University of Victoria Wellington, Auckland University of Technology, and Massey University Wellington.</w:t>
      </w:r>
    </w:p>
  </w:footnote>
  <w:footnote w:id="80">
    <w:p w14:paraId="0D4CC500" w14:textId="53DA7D4E" w:rsidR="00D7121A" w:rsidRPr="002C46D8" w:rsidRDefault="00D7121A"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26" w:history="1">
        <w:r w:rsidRPr="002C46D8">
          <w:rPr>
            <w:rStyle w:val="Hyperlink"/>
            <w:sz w:val="22"/>
            <w:szCs w:val="22"/>
          </w:rPr>
          <w:t>https://www.flourishingtogether.co.nz/about-the-research</w:t>
        </w:r>
      </w:hyperlink>
    </w:p>
  </w:footnote>
  <w:footnote w:id="81">
    <w:p w14:paraId="6FE2634F" w14:textId="0DAE126C" w:rsidR="00947A3E" w:rsidRPr="002C46D8" w:rsidRDefault="00947A3E"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Ibid.</w:t>
      </w:r>
    </w:p>
  </w:footnote>
  <w:footnote w:id="82">
    <w:p w14:paraId="577A4BF1"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27" w:history="1">
        <w:r w:rsidRPr="002C46D8">
          <w:rPr>
            <w:rStyle w:val="Hyperlink"/>
            <w:sz w:val="22"/>
            <w:szCs w:val="22"/>
          </w:rPr>
          <w:t>https://www.lifemark.co.nz/our-design-standards</w:t>
        </w:r>
      </w:hyperlink>
      <w:r w:rsidRPr="002C46D8">
        <w:rPr>
          <w:rStyle w:val="Hyperlink"/>
          <w:sz w:val="22"/>
          <w:szCs w:val="22"/>
        </w:rPr>
        <w:t xml:space="preserve"> </w:t>
      </w:r>
      <w:r w:rsidRPr="002C46D8">
        <w:rPr>
          <w:rFonts w:eastAsia="Verdana"/>
          <w:sz w:val="22"/>
          <w:szCs w:val="22"/>
        </w:rPr>
        <w:t>- Lifemark standards are based on the principles of usability, adaptability, accessibility, safety, and lifetime value.</w:t>
      </w:r>
    </w:p>
  </w:footnote>
  <w:footnote w:id="83">
    <w:p w14:paraId="09C03C3D"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Pr="002C46D8">
        <w:rPr>
          <w:rFonts w:eastAsia="Verdana" w:cs="Verdana"/>
          <w:color w:val="000000" w:themeColor="text1"/>
          <w:sz w:val="22"/>
          <w:szCs w:val="22"/>
        </w:rPr>
        <w:t xml:space="preserve">Ministry of Housing and Urban Development, ’He whare nā te Māori, mō te Māori, me te Māori Housing by Māori, for Māori and with Māori’, available: </w:t>
      </w:r>
      <w:hyperlink r:id="rId28">
        <w:r w:rsidRPr="002C46D8">
          <w:rPr>
            <w:rStyle w:val="Hyperlink"/>
            <w:sz w:val="22"/>
            <w:szCs w:val="22"/>
          </w:rPr>
          <w:t>https://www.hud.govt.nz/our-focus/housing-for-by-and-with-maori</w:t>
        </w:r>
      </w:hyperlink>
    </w:p>
  </w:footnote>
  <w:footnote w:id="84">
    <w:p w14:paraId="2ED3A1EA"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Te Hiiri o Mahuta Marae accessed funding from the Provincial Growth Fund, Oranga Marae (administered by Te Puni Kōkiri), local council, and a community trust, see: Firstport, ‘Celebrating accessibility on Marae’, 28 May 2024.</w:t>
      </w:r>
    </w:p>
  </w:footnote>
  <w:footnote w:id="85">
    <w:p w14:paraId="0518958F" w14:textId="09FF11E6" w:rsidR="00496CFE" w:rsidRPr="002C46D8" w:rsidRDefault="00496CFE"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Funded by the DSS Unit of MSD, CiCL is available in some regions and provides an alternative to more traditional residential care. For more information, see Appendix A.</w:t>
      </w:r>
    </w:p>
  </w:footnote>
  <w:footnote w:id="86">
    <w:p w14:paraId="07F758DD" w14:textId="77777777" w:rsidR="00DF5C11" w:rsidRPr="002C46D8" w:rsidRDefault="00DF5C11"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Kylie Klein Nixon, ‘Upper Hutt development a space disabled folks can call home’, </w:t>
      </w:r>
      <w:r w:rsidRPr="002C46D8">
        <w:rPr>
          <w:i/>
          <w:iCs/>
          <w:sz w:val="22"/>
          <w:szCs w:val="22"/>
        </w:rPr>
        <w:t>Stuff</w:t>
      </w:r>
      <w:r w:rsidRPr="002C46D8">
        <w:rPr>
          <w:sz w:val="22"/>
          <w:szCs w:val="22"/>
        </w:rPr>
        <w:t xml:space="preserve">, 26 November 2024. </w:t>
      </w:r>
    </w:p>
  </w:footnote>
  <w:footnote w:id="87">
    <w:p w14:paraId="02145B0E" w14:textId="77777777" w:rsidR="00256C96" w:rsidRPr="002C46D8" w:rsidRDefault="00256C96"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Pr="002C46D8">
        <w:rPr>
          <w:rFonts w:eastAsia="Verdana"/>
          <w:sz w:val="22"/>
          <w:szCs w:val="22"/>
        </w:rPr>
        <w:t xml:space="preserve">Kāinga Tipu – The Centre for Housing Research, </w:t>
      </w:r>
      <w:r w:rsidRPr="002C46D8">
        <w:rPr>
          <w:i/>
          <w:iCs/>
          <w:sz w:val="22"/>
          <w:szCs w:val="22"/>
        </w:rPr>
        <w:t>Housing and Disability: Future Proofing New Zealand’s Housing Stock for an Inclusive Society</w:t>
      </w:r>
      <w:r w:rsidRPr="002C46D8">
        <w:rPr>
          <w:sz w:val="22"/>
          <w:szCs w:val="22"/>
        </w:rPr>
        <w:t>, May 2007.</w:t>
      </w:r>
    </w:p>
  </w:footnote>
  <w:footnote w:id="88">
    <w:p w14:paraId="61F5E53A" w14:textId="77777777" w:rsidR="00256C96" w:rsidRPr="002C46D8" w:rsidRDefault="00256C96"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Margie Scotts, Kay Saville-Smith, and Bev James, </w:t>
      </w:r>
      <w:r w:rsidRPr="002C46D8">
        <w:rPr>
          <w:i/>
          <w:iCs/>
          <w:sz w:val="22"/>
          <w:szCs w:val="22"/>
        </w:rPr>
        <w:t>International Trends in Accessible Housing for People with Disabilities</w:t>
      </w:r>
      <w:r w:rsidRPr="002C46D8">
        <w:rPr>
          <w:sz w:val="22"/>
          <w:szCs w:val="22"/>
        </w:rPr>
        <w:t xml:space="preserve">, p. 7. </w:t>
      </w:r>
    </w:p>
  </w:footnote>
  <w:footnote w:id="89">
    <w:p w14:paraId="77DB5BCE" w14:textId="14C24F9E" w:rsidR="00605E9E" w:rsidRPr="002C46D8" w:rsidRDefault="00605E9E"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29" w:history="1">
        <w:r w:rsidRPr="002C46D8">
          <w:rPr>
            <w:rStyle w:val="Hyperlink"/>
            <w:sz w:val="22"/>
            <w:szCs w:val="22"/>
          </w:rPr>
          <w:t>https://www1.bca.gov.sg/regulatory-info/building-control/universal-design-and-friendly-buildings/universal-design-index</w:t>
        </w:r>
      </w:hyperlink>
    </w:p>
  </w:footnote>
  <w:footnote w:id="90">
    <w:p w14:paraId="3167C44E" w14:textId="77777777" w:rsidR="00256C96" w:rsidRPr="002C46D8" w:rsidRDefault="00256C96"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30" w:anchor=":~:text=Under%20this%20standard%2C%20new%20houses,wider%20internal%20doors%20and%20corridors">
        <w:r w:rsidRPr="002C46D8">
          <w:rPr>
            <w:rStyle w:val="Hyperlink"/>
            <w:sz w:val="22"/>
            <w:szCs w:val="22"/>
          </w:rPr>
          <w:t>https://www.housing.qld.gov.au/news-publications/strategies-plans/building-plan/areas-of-reform/livable-housing-design-standard#:~:text=Under%20this%20standard%2C%20new%20houses,wider%20internal%20doors%20and%20corridors</w:t>
        </w:r>
      </w:hyperlink>
    </w:p>
  </w:footnote>
  <w:footnote w:id="91">
    <w:p w14:paraId="31712A74" w14:textId="29C1ED1A" w:rsidR="00FC4B88" w:rsidRPr="002C46D8" w:rsidRDefault="00FC4B88"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w:t>
      </w:r>
      <w:r w:rsidR="00C14402" w:rsidRPr="002C46D8">
        <w:rPr>
          <w:i/>
          <w:iCs/>
          <w:sz w:val="22"/>
          <w:szCs w:val="22"/>
        </w:rPr>
        <w:t>The Building Regulations 2010, Access to and use of buildings</w:t>
      </w:r>
      <w:r w:rsidR="00C14402" w:rsidRPr="002C46D8">
        <w:rPr>
          <w:sz w:val="22"/>
          <w:szCs w:val="22"/>
        </w:rPr>
        <w:t xml:space="preserve">, </w:t>
      </w:r>
      <w:r w:rsidR="00727E0F" w:rsidRPr="002C46D8">
        <w:rPr>
          <w:sz w:val="22"/>
          <w:szCs w:val="22"/>
        </w:rPr>
        <w:t>V</w:t>
      </w:r>
      <w:r w:rsidR="004F417D" w:rsidRPr="002C46D8">
        <w:rPr>
          <w:sz w:val="22"/>
          <w:szCs w:val="22"/>
        </w:rPr>
        <w:t xml:space="preserve">olume </w:t>
      </w:r>
      <w:r w:rsidR="00727E0F" w:rsidRPr="002C46D8">
        <w:rPr>
          <w:sz w:val="22"/>
          <w:szCs w:val="22"/>
        </w:rPr>
        <w:t>1, 2015 edition.</w:t>
      </w:r>
    </w:p>
  </w:footnote>
  <w:footnote w:id="92">
    <w:p w14:paraId="5721DE7F" w14:textId="77777777" w:rsidR="00256C96" w:rsidRPr="002C46D8" w:rsidRDefault="00256C96"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OECD, </w:t>
      </w:r>
      <w:r w:rsidRPr="002C46D8">
        <w:rPr>
          <w:i/>
          <w:iCs/>
          <w:sz w:val="22"/>
          <w:szCs w:val="22"/>
        </w:rPr>
        <w:t>A crisis on the horizon: Ensuring affordable, accessible housing for people with disabilities, Employment, Labour and Social Affairs Policy Briefs</w:t>
      </w:r>
      <w:r w:rsidRPr="002C46D8">
        <w:rPr>
          <w:sz w:val="22"/>
          <w:szCs w:val="22"/>
        </w:rPr>
        <w:t>, 2021, p. 14.</w:t>
      </w:r>
    </w:p>
  </w:footnote>
  <w:footnote w:id="93">
    <w:p w14:paraId="49619384" w14:textId="77777777" w:rsidR="00256C96" w:rsidRPr="002C46D8" w:rsidRDefault="00256C96"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31" w:anchor="private-rented-sector-database.">
        <w:r w:rsidRPr="002C46D8">
          <w:rPr>
            <w:rStyle w:val="Hyperlink"/>
            <w:sz w:val="22"/>
            <w:szCs w:val="22"/>
          </w:rPr>
          <w:t>https://www.gov.uk/government/publications/guide-to-the-renters-rights-bill/82ffc7fb-64b0-4af5-a72e-c24701a5f12a#private-rented-sector-database.</w:t>
        </w:r>
      </w:hyperlink>
    </w:p>
  </w:footnote>
  <w:footnote w:id="94">
    <w:p w14:paraId="3F64FF94" w14:textId="77777777" w:rsidR="00256C96" w:rsidRPr="002C46D8" w:rsidRDefault="00256C96"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House of Commons, Levelling Up, Housing and Communities Committee, </w:t>
      </w:r>
      <w:r w:rsidRPr="002C46D8">
        <w:rPr>
          <w:i/>
          <w:iCs/>
          <w:sz w:val="22"/>
          <w:szCs w:val="22"/>
        </w:rPr>
        <w:t>Disabled people in the housing sector, Seventh Report of Session 2023–24</w:t>
      </w:r>
      <w:r w:rsidRPr="002C46D8">
        <w:rPr>
          <w:sz w:val="22"/>
          <w:szCs w:val="22"/>
        </w:rPr>
        <w:t xml:space="preserve">, 20 May 2024, p. 17. </w:t>
      </w:r>
    </w:p>
  </w:footnote>
  <w:footnote w:id="95">
    <w:p w14:paraId="20AD9554" w14:textId="77777777" w:rsidR="00256C96" w:rsidRPr="002C46D8" w:rsidRDefault="00256C96" w:rsidP="002C46D8">
      <w:pPr>
        <w:spacing w:before="0" w:after="0" w:line="240" w:lineRule="auto"/>
        <w:rPr>
          <w:rFonts w:eastAsia="Verdana" w:cs="Verdana"/>
        </w:rPr>
      </w:pPr>
      <w:r w:rsidRPr="002C46D8">
        <w:rPr>
          <w:rStyle w:val="FootnoteReference"/>
          <w:rFonts w:eastAsia="Verdana" w:cs="Verdana"/>
          <w:sz w:val="22"/>
          <w:szCs w:val="22"/>
        </w:rPr>
        <w:footnoteRef/>
      </w:r>
      <w:r w:rsidRPr="002C46D8">
        <w:rPr>
          <w:rFonts w:eastAsia="Verdana" w:cs="Verdana"/>
        </w:rPr>
        <w:t xml:space="preserve"> National Residential Landlords Association, </w:t>
      </w:r>
      <w:r w:rsidRPr="002C46D8">
        <w:rPr>
          <w:rFonts w:eastAsia="Verdana" w:cs="Verdana"/>
          <w:i/>
          <w:iCs/>
        </w:rPr>
        <w:t>Written evidence submitted by National Residential Landlords Association [DPH 010]</w:t>
      </w:r>
      <w:r w:rsidRPr="002C46D8">
        <w:rPr>
          <w:rFonts w:eastAsia="Verdana" w:cs="Verdana"/>
        </w:rPr>
        <w:t>, September 2023.</w:t>
      </w:r>
    </w:p>
  </w:footnote>
  <w:footnote w:id="96">
    <w:p w14:paraId="3E4672B6" w14:textId="1B8B9754" w:rsidR="00256C96" w:rsidRPr="002C46D8" w:rsidRDefault="00256C96" w:rsidP="002C46D8">
      <w:pPr>
        <w:pStyle w:val="FootnoteText"/>
        <w:spacing w:before="0" w:line="240" w:lineRule="auto"/>
        <w:rPr>
          <w:sz w:val="22"/>
          <w:szCs w:val="22"/>
        </w:rPr>
      </w:pPr>
      <w:r w:rsidRPr="002C46D8">
        <w:rPr>
          <w:rStyle w:val="FootnoteReference"/>
          <w:sz w:val="22"/>
          <w:szCs w:val="22"/>
        </w:rPr>
        <w:footnoteRef/>
      </w:r>
      <w:r w:rsidR="008C30FA" w:rsidRPr="002C46D8">
        <w:rPr>
          <w:sz w:val="22"/>
          <w:szCs w:val="22"/>
        </w:rPr>
        <w:t xml:space="preserve"> </w:t>
      </w:r>
      <w:r w:rsidRPr="002C46D8">
        <w:rPr>
          <w:sz w:val="22"/>
          <w:szCs w:val="22"/>
        </w:rPr>
        <w:t xml:space="preserve">OECD, </w:t>
      </w:r>
      <w:r w:rsidRPr="002C46D8">
        <w:rPr>
          <w:i/>
          <w:iCs/>
          <w:sz w:val="22"/>
          <w:szCs w:val="22"/>
        </w:rPr>
        <w:t>A crisis on the horizon: Ensuring affordable, accessible housing for people with disabilities, Employment, Labour and Social Affairs Policy Briefs</w:t>
      </w:r>
      <w:r w:rsidRPr="002C46D8">
        <w:rPr>
          <w:sz w:val="22"/>
          <w:szCs w:val="22"/>
        </w:rPr>
        <w:t>, 2021, p. 14.</w:t>
      </w:r>
    </w:p>
  </w:footnote>
  <w:footnote w:id="97">
    <w:p w14:paraId="3F6D6744" w14:textId="1C77F223" w:rsidR="00660DE1" w:rsidRPr="002C46D8" w:rsidRDefault="00660DE1" w:rsidP="002C46D8">
      <w:pPr>
        <w:pStyle w:val="pf0"/>
        <w:spacing w:before="0" w:beforeAutospacing="0" w:after="0" w:afterAutospacing="0"/>
        <w:rPr>
          <w:rFonts w:ascii="Verdana" w:hAnsi="Verdana" w:cs="Arial"/>
          <w:sz w:val="22"/>
          <w:szCs w:val="22"/>
        </w:rPr>
      </w:pPr>
      <w:r w:rsidRPr="002C46D8">
        <w:rPr>
          <w:rStyle w:val="FootnoteReference"/>
          <w:sz w:val="22"/>
          <w:szCs w:val="22"/>
        </w:rPr>
        <w:footnoteRef/>
      </w:r>
      <w:r w:rsidRPr="002C46D8">
        <w:rPr>
          <w:rFonts w:ascii="Verdana" w:hAnsi="Verdana"/>
          <w:sz w:val="22"/>
          <w:szCs w:val="22"/>
        </w:rPr>
        <w:t xml:space="preserve"> Noting that changes to the Social Allocation System would likely need Cabinet approval.</w:t>
      </w:r>
    </w:p>
  </w:footnote>
  <w:footnote w:id="98">
    <w:p w14:paraId="45C83246" w14:textId="38CF216C" w:rsidR="00E11089" w:rsidRPr="002C46D8" w:rsidRDefault="00E11089"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The Pacific Housing Initiative is administered by the Ministry for Pacific Peoples, for more information see appendix A.</w:t>
      </w:r>
    </w:p>
  </w:footnote>
  <w:footnote w:id="99">
    <w:p w14:paraId="1C168347" w14:textId="774375A5" w:rsidR="00A14D1E" w:rsidRPr="002C46D8" w:rsidRDefault="00A14D1E" w:rsidP="002C46D8">
      <w:pPr>
        <w:spacing w:before="0" w:after="0" w:line="240" w:lineRule="auto"/>
      </w:pPr>
      <w:r w:rsidRPr="002C46D8">
        <w:rPr>
          <w:rStyle w:val="FootnoteReference"/>
          <w:sz w:val="22"/>
          <w:szCs w:val="22"/>
        </w:rPr>
        <w:footnoteRef/>
      </w:r>
      <w:r w:rsidRPr="002C46D8">
        <w:t xml:space="preserve"> Current eligible whānau and families include pregnant people, low-income families with children aged between 0 and 5 who’ve been hospitalised with a specified housing-related condition, families that are receiving a benefit, and individuals at risk of Rheumatic Fever or have Rheumatic Fever.</w:t>
      </w:r>
    </w:p>
  </w:footnote>
  <w:footnote w:id="100">
    <w:p w14:paraId="0493CC5E" w14:textId="20B1D6C4" w:rsidR="77043C5B" w:rsidRPr="002C46D8" w:rsidRDefault="77043C5B"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Independent Living Institute, F</w:t>
      </w:r>
      <w:r w:rsidRPr="002C46D8">
        <w:rPr>
          <w:i/>
          <w:iCs/>
          <w:sz w:val="22"/>
          <w:szCs w:val="22"/>
        </w:rPr>
        <w:t>reedom to Choose with Whom, Where, and How You Want to Live</w:t>
      </w:r>
      <w:r w:rsidRPr="002C46D8">
        <w:rPr>
          <w:sz w:val="22"/>
          <w:szCs w:val="22"/>
        </w:rPr>
        <w:t>, 2022, p. 66</w:t>
      </w:r>
      <w:r w:rsidR="003F4924" w:rsidRPr="002C46D8">
        <w:rPr>
          <w:sz w:val="22"/>
          <w:szCs w:val="22"/>
        </w:rPr>
        <w:t xml:space="preserve">. </w:t>
      </w:r>
    </w:p>
  </w:footnote>
  <w:footnote w:id="101">
    <w:p w14:paraId="73122C16" w14:textId="4F4AA029" w:rsidR="77043C5B" w:rsidRPr="002C46D8" w:rsidRDefault="77043C5B"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BRANZ, Study Report, Lifetime Housing – the Value Case, 2011, p. 22, </w:t>
      </w:r>
      <w:r w:rsidR="0085400F" w:rsidRPr="002C46D8">
        <w:rPr>
          <w:sz w:val="22"/>
          <w:szCs w:val="22"/>
        </w:rPr>
        <w:t>available</w:t>
      </w:r>
      <w:r w:rsidRPr="002C46D8">
        <w:rPr>
          <w:sz w:val="22"/>
          <w:szCs w:val="22"/>
        </w:rPr>
        <w:t xml:space="preserve">: </w:t>
      </w:r>
      <w:hyperlink r:id="rId32">
        <w:r w:rsidRPr="002C46D8">
          <w:rPr>
            <w:rStyle w:val="Hyperlink"/>
            <w:sz w:val="22"/>
            <w:szCs w:val="22"/>
          </w:rPr>
          <w:t>https://d39d3mj7qio96p.cloudfront.net/media/documents/SR263_Lifetime_housing_-_the_value_case.pdf</w:t>
        </w:r>
      </w:hyperlink>
    </w:p>
  </w:footnote>
  <w:footnote w:id="102">
    <w:p w14:paraId="46E55516" w14:textId="77777777" w:rsidR="009C242F" w:rsidRPr="002C46D8" w:rsidRDefault="009C242F" w:rsidP="002C46D8">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33" w:anchor="tabset" w:history="1">
        <w:r w:rsidRPr="002C46D8">
          <w:rPr>
            <w:rStyle w:val="Hyperlink"/>
            <w:sz w:val="22"/>
            <w:szCs w:val="22"/>
          </w:rPr>
          <w:t>https://www.hud.govt.nz/stats-and-insights/the-government-housing-dashboard/transitional-housing#tabset</w:t>
        </w:r>
      </w:hyperlink>
    </w:p>
  </w:footnote>
  <w:footnote w:id="103">
    <w:p w14:paraId="063C2975" w14:textId="77777777" w:rsidR="009C242F" w:rsidRPr="002C46D8" w:rsidRDefault="009C242F" w:rsidP="009C242F">
      <w:pPr>
        <w:pStyle w:val="FootnoteText"/>
        <w:spacing w:before="0"/>
        <w:rPr>
          <w:sz w:val="22"/>
          <w:szCs w:val="22"/>
        </w:rPr>
      </w:pPr>
      <w:r w:rsidRPr="002C46D8">
        <w:rPr>
          <w:rStyle w:val="FootnoteReference"/>
          <w:sz w:val="22"/>
          <w:szCs w:val="22"/>
        </w:rPr>
        <w:footnoteRef/>
      </w:r>
      <w:r w:rsidRPr="002C46D8">
        <w:rPr>
          <w:sz w:val="22"/>
          <w:szCs w:val="22"/>
        </w:rPr>
        <w:t xml:space="preserve"> See: </w:t>
      </w:r>
      <w:hyperlink r:id="rId34" w:history="1">
        <w:r w:rsidRPr="002C46D8">
          <w:rPr>
            <w:rStyle w:val="Hyperlink"/>
            <w:sz w:val="22"/>
            <w:szCs w:val="22"/>
          </w:rPr>
          <w:t>https://www.msd.govt.nz/documents/about-msd-and-our-work/publications-resources/statistics/housing/monthly-housing-update/2025/monthly-housing-report-february-2025.pdf</w:t>
        </w:r>
      </w:hyperlink>
      <w:r w:rsidRPr="002C46D8">
        <w:rPr>
          <w:sz w:val="22"/>
          <w:szCs w:val="22"/>
        </w:rPr>
        <w:t xml:space="preserve"> and </w:t>
      </w:r>
      <w:hyperlink r:id="rId35" w:history="1">
        <w:r w:rsidRPr="002C46D8">
          <w:rPr>
            <w:rStyle w:val="Hyperlink"/>
            <w:sz w:val="22"/>
            <w:szCs w:val="22"/>
          </w:rPr>
          <w:t>https://www.hud.govt.nz/assets/Uploads/Documents/Rotorua-Temporary-Housing-Dashboard/2025/Rotorua-Temporary-Housing-Dashboard-February-2025-V2.pdf</w:t>
        </w:r>
      </w:hyperlink>
    </w:p>
  </w:footnote>
  <w:footnote w:id="104">
    <w:p w14:paraId="2590D7B4" w14:textId="77777777" w:rsidR="009C242F" w:rsidRPr="002C46D8" w:rsidRDefault="009C242F" w:rsidP="009C242F">
      <w:pPr>
        <w:pStyle w:val="FootnoteText"/>
        <w:spacing w:before="0"/>
        <w:rPr>
          <w:sz w:val="22"/>
          <w:szCs w:val="22"/>
        </w:rPr>
      </w:pPr>
      <w:r w:rsidRPr="002C46D8">
        <w:rPr>
          <w:rStyle w:val="FootnoteReference"/>
          <w:sz w:val="22"/>
          <w:szCs w:val="22"/>
        </w:rPr>
        <w:footnoteRef/>
      </w:r>
      <w:r w:rsidRPr="002C46D8">
        <w:rPr>
          <w:sz w:val="22"/>
          <w:szCs w:val="22"/>
        </w:rPr>
        <w:t xml:space="preserve"> See: </w:t>
      </w:r>
      <w:hyperlink r:id="rId36">
        <w:r w:rsidRPr="002C46D8">
          <w:rPr>
            <w:rStyle w:val="Hyperlink"/>
            <w:sz w:val="22"/>
            <w:szCs w:val="22"/>
          </w:rPr>
          <w:t>https://www.mpp.govt.nz/programmes/pacific-housing-initiative/</w:t>
        </w:r>
      </w:hyperlink>
    </w:p>
  </w:footnote>
  <w:footnote w:id="105">
    <w:p w14:paraId="7C695C4C" w14:textId="77777777" w:rsidR="009C242F" w:rsidRPr="002C46D8" w:rsidRDefault="009C242F" w:rsidP="009C242F">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37">
        <w:r w:rsidRPr="002C46D8">
          <w:rPr>
            <w:rStyle w:val="Hyperlink"/>
            <w:sz w:val="22"/>
            <w:szCs w:val="22"/>
          </w:rPr>
          <w:t>https://www.tpk.govt.nz/en/nga-putea-me-nga-ratonga/maori-housing-support/financial-capability-programmes-sorted-kainga-ora</w:t>
        </w:r>
      </w:hyperlink>
    </w:p>
  </w:footnote>
  <w:footnote w:id="106">
    <w:p w14:paraId="1088BAC2" w14:textId="77777777" w:rsidR="009C242F" w:rsidRPr="002C46D8" w:rsidRDefault="009C242F" w:rsidP="009C242F">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Nicola Bright and Georgia Palmer, </w:t>
      </w:r>
      <w:r w:rsidRPr="002C46D8">
        <w:rPr>
          <w:i/>
          <w:iCs/>
          <w:sz w:val="22"/>
          <w:szCs w:val="22"/>
        </w:rPr>
        <w:t xml:space="preserve">Sorted Kāinga Ora: Pathway to Home Ownership Programme, Evaluation report </w:t>
      </w:r>
      <w:r w:rsidRPr="002C46D8">
        <w:rPr>
          <w:sz w:val="22"/>
          <w:szCs w:val="22"/>
        </w:rPr>
        <w:t>2024, New Zealand Council for Educational Research, 2024, p. 1.</w:t>
      </w:r>
    </w:p>
  </w:footnote>
  <w:footnote w:id="107">
    <w:p w14:paraId="0C0CA80B" w14:textId="77777777" w:rsidR="009C242F" w:rsidRPr="002C46D8" w:rsidRDefault="009C242F" w:rsidP="009C242F">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38">
        <w:r w:rsidRPr="002C46D8">
          <w:rPr>
            <w:rStyle w:val="Hyperlink"/>
            <w:sz w:val="22"/>
            <w:szCs w:val="22"/>
          </w:rPr>
          <w:t>https://www.hud.govt.nz/our-focus/our-maihi-approach</w:t>
        </w:r>
      </w:hyperlink>
    </w:p>
  </w:footnote>
  <w:footnote w:id="108">
    <w:p w14:paraId="27F99845" w14:textId="77777777" w:rsidR="009C242F" w:rsidRPr="002C46D8" w:rsidRDefault="009C242F" w:rsidP="009C242F">
      <w:pPr>
        <w:pStyle w:val="FootnoteText"/>
        <w:spacing w:before="0" w:line="240" w:lineRule="auto"/>
        <w:rPr>
          <w:sz w:val="22"/>
          <w:szCs w:val="22"/>
        </w:rPr>
      </w:pPr>
      <w:r w:rsidRPr="002C46D8">
        <w:rPr>
          <w:rStyle w:val="FootnoteReference"/>
          <w:sz w:val="22"/>
          <w:szCs w:val="22"/>
        </w:rPr>
        <w:footnoteRef/>
      </w:r>
      <w:r w:rsidRPr="002C46D8">
        <w:rPr>
          <w:sz w:val="22"/>
          <w:szCs w:val="22"/>
        </w:rPr>
        <w:t xml:space="preserve"> See: </w:t>
      </w:r>
      <w:hyperlink r:id="rId39">
        <w:r w:rsidRPr="002C46D8">
          <w:rPr>
            <w:rStyle w:val="Hyperlink"/>
            <w:sz w:val="22"/>
            <w:szCs w:val="22"/>
          </w:rPr>
          <w:t>https://www.tpk.govt.nz/en/nga-putea-me-nga-ratonga/maori-housing-support/supporting-new-homes-and-papakainga</w:t>
        </w:r>
      </w:hyperlink>
    </w:p>
  </w:footnote>
  <w:footnote w:id="109">
    <w:p w14:paraId="595B0865" w14:textId="77777777" w:rsidR="00A2327C" w:rsidRPr="002C46D8" w:rsidRDefault="00A2327C" w:rsidP="00A2327C">
      <w:pPr>
        <w:pStyle w:val="FootnoteText"/>
        <w:spacing w:before="0"/>
        <w:rPr>
          <w:sz w:val="22"/>
          <w:szCs w:val="22"/>
          <w:highlight w:val="green"/>
        </w:rPr>
      </w:pPr>
      <w:r w:rsidRPr="002C46D8">
        <w:rPr>
          <w:rStyle w:val="FootnoteReference"/>
          <w:sz w:val="22"/>
          <w:szCs w:val="22"/>
        </w:rPr>
        <w:footnoteRef/>
      </w:r>
      <w:r w:rsidRPr="002C46D8">
        <w:rPr>
          <w:sz w:val="22"/>
          <w:szCs w:val="22"/>
        </w:rPr>
        <w:t xml:space="preserve"> This includes services under the HCSS service specification and excludes Individualised Funding allocations.</w:t>
      </w:r>
    </w:p>
  </w:footnote>
  <w:footnote w:id="110">
    <w:p w14:paraId="4AD30CB3" w14:textId="77777777" w:rsidR="00A2327C" w:rsidRPr="002C46D8" w:rsidRDefault="00A2327C" w:rsidP="00A2327C">
      <w:pPr>
        <w:pStyle w:val="FootnoteText"/>
        <w:spacing w:before="0" w:line="240" w:lineRule="auto"/>
        <w:rPr>
          <w:rFonts w:eastAsia="Verdana" w:cs="Verdana"/>
          <w:sz w:val="22"/>
          <w:szCs w:val="22"/>
        </w:rPr>
      </w:pPr>
      <w:r w:rsidRPr="002C46D8">
        <w:rPr>
          <w:rStyle w:val="FootnoteReference"/>
          <w:rFonts w:eastAsia="Verdana" w:cs="Verdana"/>
          <w:sz w:val="22"/>
          <w:szCs w:val="22"/>
        </w:rPr>
        <w:footnoteRef/>
      </w:r>
      <w:r w:rsidRPr="002C46D8">
        <w:rPr>
          <w:rFonts w:eastAsia="Verdana" w:cs="Verdana"/>
          <w:sz w:val="22"/>
          <w:szCs w:val="22"/>
        </w:rPr>
        <w:t xml:space="preserve"> Currently </w:t>
      </w:r>
      <w:r w:rsidRPr="002C46D8">
        <w:rPr>
          <w:rFonts w:eastAsia="Verdana" w:cs="Verdana"/>
          <w:color w:val="222222"/>
          <w:sz w:val="22"/>
          <w:szCs w:val="22"/>
        </w:rPr>
        <w:t>Auckland, Waikato, the Hutt, Otago, and Southland.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5CBA" w14:textId="0C017F6A" w:rsidR="003E58D6" w:rsidRDefault="003E58D6">
    <w:pPr>
      <w:pStyle w:val="Header"/>
    </w:pPr>
    <w:r>
      <w:rPr>
        <w:noProof/>
      </w:rPr>
      <mc:AlternateContent>
        <mc:Choice Requires="wps">
          <w:drawing>
            <wp:anchor distT="0" distB="0" distL="0" distR="0" simplePos="0" relativeHeight="251656192" behindDoc="0" locked="0" layoutInCell="1" allowOverlap="1" wp14:anchorId="3081B756" wp14:editId="7611F03F">
              <wp:simplePos x="635" y="635"/>
              <wp:positionH relativeFrom="page">
                <wp:align>center</wp:align>
              </wp:positionH>
              <wp:positionV relativeFrom="page">
                <wp:align>top</wp:align>
              </wp:positionV>
              <wp:extent cx="443865" cy="443865"/>
              <wp:effectExtent l="0" t="0" r="9525" b="0"/>
              <wp:wrapNone/>
              <wp:docPr id="724553267" name="Text Box 724553267"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5FD423" w14:textId="175A1630" w:rsidR="003E58D6" w:rsidRPr="003E58D6" w:rsidRDefault="003E58D6" w:rsidP="003E58D6">
                          <w:pPr>
                            <w:spacing w:after="0"/>
                            <w:rPr>
                              <w:rFonts w:ascii="Calibri" w:eastAsia="Calibri" w:hAnsi="Calibri" w:cs="Calibri"/>
                              <w:noProof/>
                              <w:color w:val="000000"/>
                              <w:sz w:val="20"/>
                            </w:rPr>
                          </w:pPr>
                          <w:r w:rsidRPr="003E58D6">
                            <w:rPr>
                              <w:rFonts w:ascii="Calibri" w:eastAsia="Calibri" w:hAnsi="Calibri" w:cs="Calibri"/>
                              <w:noProof/>
                              <w:color w:val="000000"/>
                              <w:sz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81B756" id="_x0000_t202" coordsize="21600,21600" o:spt="202" path="m,l,21600r21600,l21600,xe">
              <v:stroke joinstyle="miter"/>
              <v:path gradientshapeok="t" o:connecttype="rect"/>
            </v:shapetype>
            <v:shape id="Text Box 724553267" o:spid="_x0000_s1026" type="#_x0000_t202" alt="IN-CONFIDENCE" style="position:absolute;margin-left:0;margin-top:0;width:34.95pt;height:34.95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05FD423" w14:textId="175A1630" w:rsidR="003E58D6" w:rsidRPr="003E58D6" w:rsidRDefault="003E58D6" w:rsidP="003E58D6">
                    <w:pPr>
                      <w:spacing w:after="0"/>
                      <w:rPr>
                        <w:rFonts w:ascii="Calibri" w:eastAsia="Calibri" w:hAnsi="Calibri" w:cs="Calibri"/>
                        <w:noProof/>
                        <w:color w:val="000000"/>
                        <w:sz w:val="20"/>
                      </w:rPr>
                    </w:pPr>
                    <w:r w:rsidRPr="003E58D6">
                      <w:rPr>
                        <w:rFonts w:ascii="Calibri" w:eastAsia="Calibri" w:hAnsi="Calibri" w:cs="Calibri"/>
                        <w:noProof/>
                        <w:color w:val="000000"/>
                        <w:sz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8C2B3" w14:textId="51990FD4" w:rsidR="003E58D6" w:rsidRDefault="00CB4A17" w:rsidP="00EE37A3">
    <w:pPr>
      <w:pStyle w:val="Header"/>
      <w:jc w:val="center"/>
    </w:pPr>
    <w:r w:rsidRPr="00CB4A17">
      <w:rPr>
        <w:rFonts w:eastAsia="Calibri" w:cs="Calibri"/>
        <w:noProof/>
        <w:color w:val="000000"/>
        <w:sz w:val="22"/>
        <w:szCs w:val="22"/>
        <w:lang w:eastAsia="en-NZ"/>
      </w:rPr>
      <w:t>In confidence: for discussion - not government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16353" w14:textId="059D89AC" w:rsidR="00733801" w:rsidRDefault="003E58D6">
    <w:pPr>
      <w:pStyle w:val="Header"/>
    </w:pPr>
    <w:r>
      <w:rPr>
        <w:noProof/>
      </w:rPr>
      <mc:AlternateContent>
        <mc:Choice Requires="wps">
          <w:drawing>
            <wp:anchor distT="0" distB="0" distL="0" distR="0" simplePos="0" relativeHeight="251657216" behindDoc="0" locked="0" layoutInCell="1" allowOverlap="1" wp14:anchorId="44B0DC05" wp14:editId="3F13DFB8">
              <wp:simplePos x="635" y="635"/>
              <wp:positionH relativeFrom="page">
                <wp:align>center</wp:align>
              </wp:positionH>
              <wp:positionV relativeFrom="page">
                <wp:align>top</wp:align>
              </wp:positionV>
              <wp:extent cx="443865" cy="443865"/>
              <wp:effectExtent l="0" t="0" r="9525" b="0"/>
              <wp:wrapNone/>
              <wp:docPr id="1127106891" name="Text Box 112710689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A03F586" w14:textId="57EAC6C0" w:rsidR="003E58D6" w:rsidRPr="003E58D6" w:rsidRDefault="003E58D6" w:rsidP="003E58D6">
                          <w:pPr>
                            <w:spacing w:after="0"/>
                            <w:rPr>
                              <w:rFonts w:ascii="Calibri" w:eastAsia="Calibri" w:hAnsi="Calibri" w:cs="Calibri"/>
                              <w:noProof/>
                              <w:color w:val="000000"/>
                              <w:sz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B0DC05" id="_x0000_t202" coordsize="21600,21600" o:spt="202" path="m,l,21600r21600,l21600,xe">
              <v:stroke joinstyle="miter"/>
              <v:path gradientshapeok="t" o:connecttype="rect"/>
            </v:shapetype>
            <v:shape id="Text Box 1127106891" o:spid="_x0000_s1027" type="#_x0000_t202" alt="IN-CONFIDENCE" style="position:absolute;margin-left:0;margin-top:0;width:34.95pt;height:34.9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5A03F586" w14:textId="57EAC6C0" w:rsidR="003E58D6" w:rsidRPr="003E58D6" w:rsidRDefault="003E58D6" w:rsidP="003E58D6">
                    <w:pPr>
                      <w:spacing w:after="0"/>
                      <w:rPr>
                        <w:rFonts w:ascii="Calibri" w:eastAsia="Calibri" w:hAnsi="Calibri" w:cs="Calibri"/>
                        <w:noProof/>
                        <w:color w:val="000000"/>
                        <w:sz w:val="20"/>
                      </w:rPr>
                    </w:pPr>
                  </w:p>
                </w:txbxContent>
              </v:textbox>
              <w10:wrap anchorx="page" anchory="page"/>
            </v:shape>
          </w:pict>
        </mc:Fallback>
      </mc:AlternateContent>
    </w:r>
    <w:r w:rsidR="00673780">
      <w:ptab w:relativeTo="margin" w:alignment="center" w:leader="none"/>
    </w:r>
    <w:r w:rsidR="00900CAB">
      <w:rPr>
        <w:noProof/>
      </w:rPr>
      <w:drawing>
        <wp:inline distT="0" distB="0" distL="0" distR="0" wp14:anchorId="777C9877" wp14:editId="01F1FA68">
          <wp:extent cx="5876556" cy="978410"/>
          <wp:effectExtent l="0" t="0" r="0" b="0"/>
          <wp:docPr id="1643816099" name="Picture 1643816099" descr="Whaikaha logo in purple with QR code of NZSL name at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ikaha logo in purple with QR code of NZSL name at right"/>
                  <pic:cNvPicPr/>
                </pic:nvPicPr>
                <pic:blipFill>
                  <a:blip r:embed="rId1">
                    <a:extLst>
                      <a:ext uri="{28A0092B-C50C-407E-A947-70E740481C1C}">
                        <a14:useLocalDpi xmlns:a14="http://schemas.microsoft.com/office/drawing/2010/main" val="0"/>
                      </a:ext>
                    </a:extLst>
                  </a:blip>
                  <a:stretch>
                    <a:fillRect/>
                  </a:stretch>
                </pic:blipFill>
                <pic:spPr>
                  <a:xfrm>
                    <a:off x="0" y="0"/>
                    <a:ext cx="5876556" cy="978410"/>
                  </a:xfrm>
                  <a:prstGeom prst="rect">
                    <a:avLst/>
                  </a:prstGeom>
                </pic:spPr>
              </pic:pic>
            </a:graphicData>
          </a:graphic>
        </wp:inline>
      </w:drawing>
    </w:r>
    <w:r w:rsidR="00E704FE">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4F973" w14:textId="03B6CF53" w:rsidR="00F150D8" w:rsidRDefault="00F150D8">
    <w:pPr>
      <w:pStyle w:val="Header"/>
    </w:pPr>
    <w:r>
      <w:rPr>
        <w:noProof/>
      </w:rPr>
      <mc:AlternateContent>
        <mc:Choice Requires="wps">
          <w:drawing>
            <wp:anchor distT="0" distB="0" distL="0" distR="0" simplePos="0" relativeHeight="251658240" behindDoc="0" locked="0" layoutInCell="1" allowOverlap="1" wp14:anchorId="5B329ACD" wp14:editId="3F698523">
              <wp:simplePos x="635" y="635"/>
              <wp:positionH relativeFrom="page">
                <wp:align>center</wp:align>
              </wp:positionH>
              <wp:positionV relativeFrom="page">
                <wp:align>top</wp:align>
              </wp:positionV>
              <wp:extent cx="443865" cy="443865"/>
              <wp:effectExtent l="0" t="0" r="9525" b="0"/>
              <wp:wrapNone/>
              <wp:docPr id="554683188" name="Text Box 554683188"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3ED7D5" w14:textId="77777777" w:rsidR="00F150D8" w:rsidRPr="003E58D6" w:rsidRDefault="00F150D8" w:rsidP="003E58D6">
                          <w:pPr>
                            <w:spacing w:after="0"/>
                            <w:rPr>
                              <w:rFonts w:ascii="Calibri" w:eastAsia="Calibri" w:hAnsi="Calibri" w:cs="Calibri"/>
                              <w:noProof/>
                              <w:color w:val="000000"/>
                              <w:sz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329ACD" id="_x0000_t202" coordsize="21600,21600" o:spt="202" path="m,l,21600r21600,l21600,xe">
              <v:stroke joinstyle="miter"/>
              <v:path gradientshapeok="t" o:connecttype="rect"/>
            </v:shapetype>
            <v:shape id="Text Box 554683188" o:spid="_x0000_s1028"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063ED7D5" w14:textId="77777777" w:rsidR="00F150D8" w:rsidRPr="003E58D6" w:rsidRDefault="00F150D8" w:rsidP="003E58D6">
                    <w:pPr>
                      <w:spacing w:after="0"/>
                      <w:rPr>
                        <w:rFonts w:ascii="Calibri" w:eastAsia="Calibri" w:hAnsi="Calibri" w:cs="Calibri"/>
                        <w:noProof/>
                        <w:color w:val="000000"/>
                        <w:sz w:val="20"/>
                      </w:rPr>
                    </w:pPr>
                  </w:p>
                </w:txbxContent>
              </v:textbox>
              <w10:wrap anchorx="page" anchory="page"/>
            </v:shape>
          </w:pict>
        </mc:Fallback>
      </mc:AlternateContent>
    </w: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4A72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263D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558C9AA"/>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8974C9DA"/>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C8A4BAEC"/>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8A8324E"/>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9"/>
    <w:multiLevelType w:val="singleLevel"/>
    <w:tmpl w:val="3086E34A"/>
    <w:lvl w:ilvl="0">
      <w:start w:val="1"/>
      <w:numFmt w:val="bullet"/>
      <w:pStyle w:val="ListBullet"/>
      <w:lvlText w:val=""/>
      <w:lvlJc w:val="left"/>
      <w:pPr>
        <w:tabs>
          <w:tab w:val="num" w:pos="1060"/>
        </w:tabs>
        <w:ind w:left="1060" w:hanging="567"/>
      </w:pPr>
      <w:rPr>
        <w:rFonts w:ascii="Symbol" w:hAnsi="Symbol" w:hint="default"/>
      </w:rPr>
    </w:lvl>
  </w:abstractNum>
  <w:abstractNum w:abstractNumId="7" w15:restartNumberingAfterBreak="0">
    <w:nsid w:val="0ADB1583"/>
    <w:multiLevelType w:val="multilevel"/>
    <w:tmpl w:val="08FAA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F16C65"/>
    <w:multiLevelType w:val="multilevel"/>
    <w:tmpl w:val="344228A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18D00F0"/>
    <w:multiLevelType w:val="hybridMultilevel"/>
    <w:tmpl w:val="D2C2E0F4"/>
    <w:lvl w:ilvl="0" w:tplc="2EF86A56">
      <w:start w:val="1"/>
      <w:numFmt w:val="bullet"/>
      <w:pStyle w:val="Bullet2"/>
      <w:lvlText w:val=""/>
      <w:lvlJc w:val="left"/>
      <w:pPr>
        <w:tabs>
          <w:tab w:val="num" w:pos="1418"/>
        </w:tabs>
        <w:ind w:left="1418"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316CE0"/>
    <w:multiLevelType w:val="multilevel"/>
    <w:tmpl w:val="3E04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EF72B4"/>
    <w:multiLevelType w:val="hybridMultilevel"/>
    <w:tmpl w:val="585E663C"/>
    <w:lvl w:ilvl="0" w:tplc="80AA5F84">
      <w:start w:val="1"/>
      <w:numFmt w:val="bullet"/>
      <w:lvlText w:val=""/>
      <w:lvlJc w:val="left"/>
      <w:pPr>
        <w:ind w:left="1560" w:hanging="360"/>
      </w:pPr>
      <w:rPr>
        <w:rFonts w:ascii="Symbol" w:hAnsi="Symbol"/>
      </w:rPr>
    </w:lvl>
    <w:lvl w:ilvl="1" w:tplc="CF4075E6">
      <w:start w:val="1"/>
      <w:numFmt w:val="bullet"/>
      <w:lvlText w:val=""/>
      <w:lvlJc w:val="left"/>
      <w:pPr>
        <w:ind w:left="1560" w:hanging="360"/>
      </w:pPr>
      <w:rPr>
        <w:rFonts w:ascii="Symbol" w:hAnsi="Symbol"/>
      </w:rPr>
    </w:lvl>
    <w:lvl w:ilvl="2" w:tplc="96B642D4">
      <w:start w:val="1"/>
      <w:numFmt w:val="bullet"/>
      <w:lvlText w:val=""/>
      <w:lvlJc w:val="left"/>
      <w:pPr>
        <w:ind w:left="1560" w:hanging="360"/>
      </w:pPr>
      <w:rPr>
        <w:rFonts w:ascii="Symbol" w:hAnsi="Symbol"/>
      </w:rPr>
    </w:lvl>
    <w:lvl w:ilvl="3" w:tplc="476A38D8">
      <w:start w:val="1"/>
      <w:numFmt w:val="bullet"/>
      <w:lvlText w:val=""/>
      <w:lvlJc w:val="left"/>
      <w:pPr>
        <w:ind w:left="1560" w:hanging="360"/>
      </w:pPr>
      <w:rPr>
        <w:rFonts w:ascii="Symbol" w:hAnsi="Symbol"/>
      </w:rPr>
    </w:lvl>
    <w:lvl w:ilvl="4" w:tplc="0E0085C8">
      <w:start w:val="1"/>
      <w:numFmt w:val="bullet"/>
      <w:lvlText w:val=""/>
      <w:lvlJc w:val="left"/>
      <w:pPr>
        <w:ind w:left="1560" w:hanging="360"/>
      </w:pPr>
      <w:rPr>
        <w:rFonts w:ascii="Symbol" w:hAnsi="Symbol"/>
      </w:rPr>
    </w:lvl>
    <w:lvl w:ilvl="5" w:tplc="C548F318">
      <w:start w:val="1"/>
      <w:numFmt w:val="bullet"/>
      <w:lvlText w:val=""/>
      <w:lvlJc w:val="left"/>
      <w:pPr>
        <w:ind w:left="1560" w:hanging="360"/>
      </w:pPr>
      <w:rPr>
        <w:rFonts w:ascii="Symbol" w:hAnsi="Symbol"/>
      </w:rPr>
    </w:lvl>
    <w:lvl w:ilvl="6" w:tplc="94C015A0">
      <w:start w:val="1"/>
      <w:numFmt w:val="bullet"/>
      <w:lvlText w:val=""/>
      <w:lvlJc w:val="left"/>
      <w:pPr>
        <w:ind w:left="1560" w:hanging="360"/>
      </w:pPr>
      <w:rPr>
        <w:rFonts w:ascii="Symbol" w:hAnsi="Symbol"/>
      </w:rPr>
    </w:lvl>
    <w:lvl w:ilvl="7" w:tplc="22C66834">
      <w:start w:val="1"/>
      <w:numFmt w:val="bullet"/>
      <w:lvlText w:val=""/>
      <w:lvlJc w:val="left"/>
      <w:pPr>
        <w:ind w:left="1560" w:hanging="360"/>
      </w:pPr>
      <w:rPr>
        <w:rFonts w:ascii="Symbol" w:hAnsi="Symbol"/>
      </w:rPr>
    </w:lvl>
    <w:lvl w:ilvl="8" w:tplc="06C05F3E">
      <w:start w:val="1"/>
      <w:numFmt w:val="bullet"/>
      <w:lvlText w:val=""/>
      <w:lvlJc w:val="left"/>
      <w:pPr>
        <w:ind w:left="1560" w:hanging="360"/>
      </w:pPr>
      <w:rPr>
        <w:rFonts w:ascii="Symbol" w:hAnsi="Symbol"/>
      </w:rPr>
    </w:lvl>
  </w:abstractNum>
  <w:abstractNum w:abstractNumId="12" w15:restartNumberingAfterBreak="0">
    <w:nsid w:val="2D490A46"/>
    <w:multiLevelType w:val="multilevel"/>
    <w:tmpl w:val="BA6A0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F9093F"/>
    <w:multiLevelType w:val="multilevel"/>
    <w:tmpl w:val="53741CB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74597C"/>
    <w:multiLevelType w:val="multilevel"/>
    <w:tmpl w:val="B366BC22"/>
    <w:lvl w:ilvl="0">
      <w:start w:val="1"/>
      <w:numFmt w:val="decimal"/>
      <w:pStyle w:val="RecLevel1"/>
      <w:lvlText w:val="%1"/>
      <w:lvlJc w:val="left"/>
      <w:pPr>
        <w:tabs>
          <w:tab w:val="num" w:pos="493"/>
        </w:tabs>
        <w:ind w:left="493" w:hanging="493"/>
      </w:pPr>
      <w:rPr>
        <w:rFonts w:hint="default"/>
      </w:rPr>
    </w:lvl>
    <w:lvl w:ilvl="1">
      <w:start w:val="1"/>
      <w:numFmt w:val="decimal"/>
      <w:pStyle w:val="ReportBody2"/>
      <w:lvlText w:val="%1.%2"/>
      <w:lvlJc w:val="left"/>
      <w:pPr>
        <w:tabs>
          <w:tab w:val="num" w:pos="493"/>
        </w:tabs>
        <w:ind w:left="987" w:hanging="494"/>
      </w:pPr>
      <w:rPr>
        <w:rFonts w:hint="default"/>
      </w:rPr>
    </w:lvl>
    <w:lvl w:ilvl="2">
      <w:start w:val="1"/>
      <w:numFmt w:val="decimal"/>
      <w:lvlText w:val="%1.%2.%3"/>
      <w:lvlJc w:val="left"/>
      <w:pPr>
        <w:tabs>
          <w:tab w:val="num" w:pos="1554"/>
        </w:tabs>
        <w:ind w:left="1554" w:hanging="567"/>
      </w:pPr>
      <w:rPr>
        <w:rFonts w:hint="default"/>
      </w:rPr>
    </w:lvl>
    <w:lvl w:ilvl="3">
      <w:start w:val="1"/>
      <w:numFmt w:val="decimal"/>
      <w:lvlText w:val="%1.%2.%3.%4."/>
      <w:lvlJc w:val="left"/>
      <w:pPr>
        <w:tabs>
          <w:tab w:val="num" w:pos="2133"/>
        </w:tabs>
        <w:ind w:left="1701" w:hanging="648"/>
      </w:pPr>
      <w:rPr>
        <w:rFonts w:hint="default"/>
      </w:rPr>
    </w:lvl>
    <w:lvl w:ilvl="4">
      <w:start w:val="1"/>
      <w:numFmt w:val="decimal"/>
      <w:lvlText w:val="%1.%2.%3.%4.%5."/>
      <w:lvlJc w:val="left"/>
      <w:pPr>
        <w:tabs>
          <w:tab w:val="num" w:pos="2493"/>
        </w:tabs>
        <w:ind w:left="2205" w:hanging="792"/>
      </w:pPr>
      <w:rPr>
        <w:rFonts w:hint="default"/>
      </w:rPr>
    </w:lvl>
    <w:lvl w:ilvl="5">
      <w:start w:val="1"/>
      <w:numFmt w:val="decimal"/>
      <w:lvlText w:val="%1.%2.%3.%4.%5.%6."/>
      <w:lvlJc w:val="left"/>
      <w:pPr>
        <w:tabs>
          <w:tab w:val="num" w:pos="3213"/>
        </w:tabs>
        <w:ind w:left="2709" w:hanging="936"/>
      </w:pPr>
      <w:rPr>
        <w:rFonts w:hint="default"/>
      </w:rPr>
    </w:lvl>
    <w:lvl w:ilvl="6">
      <w:start w:val="1"/>
      <w:numFmt w:val="decimal"/>
      <w:lvlText w:val="%1.%2.%3.%4.%5.%6.%7."/>
      <w:lvlJc w:val="left"/>
      <w:pPr>
        <w:tabs>
          <w:tab w:val="num" w:pos="3573"/>
        </w:tabs>
        <w:ind w:left="3213" w:hanging="1080"/>
      </w:pPr>
      <w:rPr>
        <w:rFonts w:hint="default"/>
      </w:rPr>
    </w:lvl>
    <w:lvl w:ilvl="7">
      <w:start w:val="1"/>
      <w:numFmt w:val="decimal"/>
      <w:lvlText w:val="%1.%2.%3.%4.%5.%6.%7.%8."/>
      <w:lvlJc w:val="left"/>
      <w:pPr>
        <w:tabs>
          <w:tab w:val="num" w:pos="4293"/>
        </w:tabs>
        <w:ind w:left="3717" w:hanging="1224"/>
      </w:pPr>
      <w:rPr>
        <w:rFonts w:hint="default"/>
      </w:rPr>
    </w:lvl>
    <w:lvl w:ilvl="8">
      <w:start w:val="1"/>
      <w:numFmt w:val="decimal"/>
      <w:lvlText w:val="%1.%2.%3.%4.%5.%6.%7.%8.%9."/>
      <w:lvlJc w:val="left"/>
      <w:pPr>
        <w:tabs>
          <w:tab w:val="num" w:pos="4653"/>
        </w:tabs>
        <w:ind w:left="4293" w:hanging="1440"/>
      </w:pPr>
      <w:rPr>
        <w:rFonts w:hint="default"/>
      </w:rPr>
    </w:lvl>
  </w:abstractNum>
  <w:abstractNum w:abstractNumId="15" w15:restartNumberingAfterBreak="0">
    <w:nsid w:val="32EE167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5E70FF1"/>
    <w:multiLevelType w:val="multilevel"/>
    <w:tmpl w:val="6FBCF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459C4A"/>
    <w:multiLevelType w:val="hybridMultilevel"/>
    <w:tmpl w:val="42E80E9E"/>
    <w:lvl w:ilvl="0" w:tplc="33221C58">
      <w:start w:val="1"/>
      <w:numFmt w:val="bullet"/>
      <w:lvlText w:val="o"/>
      <w:lvlJc w:val="left"/>
      <w:pPr>
        <w:ind w:left="720" w:hanging="360"/>
      </w:pPr>
      <w:rPr>
        <w:rFonts w:ascii="Courier New" w:hAnsi="Courier New" w:hint="default"/>
      </w:rPr>
    </w:lvl>
    <w:lvl w:ilvl="1" w:tplc="B68E0410">
      <w:start w:val="1"/>
      <w:numFmt w:val="bullet"/>
      <w:lvlText w:val="o"/>
      <w:lvlJc w:val="left"/>
      <w:pPr>
        <w:ind w:left="1440" w:hanging="360"/>
      </w:pPr>
      <w:rPr>
        <w:rFonts w:ascii="Courier New" w:hAnsi="Courier New" w:hint="default"/>
      </w:rPr>
    </w:lvl>
    <w:lvl w:ilvl="2" w:tplc="48D0D918">
      <w:start w:val="1"/>
      <w:numFmt w:val="bullet"/>
      <w:lvlText w:val=""/>
      <w:lvlJc w:val="left"/>
      <w:pPr>
        <w:ind w:left="2160" w:hanging="360"/>
      </w:pPr>
      <w:rPr>
        <w:rFonts w:ascii="Wingdings" w:hAnsi="Wingdings" w:hint="default"/>
      </w:rPr>
    </w:lvl>
    <w:lvl w:ilvl="3" w:tplc="F29CF2C2">
      <w:start w:val="1"/>
      <w:numFmt w:val="bullet"/>
      <w:lvlText w:val=""/>
      <w:lvlJc w:val="left"/>
      <w:pPr>
        <w:ind w:left="2880" w:hanging="360"/>
      </w:pPr>
      <w:rPr>
        <w:rFonts w:ascii="Symbol" w:hAnsi="Symbol" w:hint="default"/>
      </w:rPr>
    </w:lvl>
    <w:lvl w:ilvl="4" w:tplc="9CEA624C">
      <w:start w:val="1"/>
      <w:numFmt w:val="bullet"/>
      <w:lvlText w:val="o"/>
      <w:lvlJc w:val="left"/>
      <w:pPr>
        <w:ind w:left="3600" w:hanging="360"/>
      </w:pPr>
      <w:rPr>
        <w:rFonts w:ascii="Courier New" w:hAnsi="Courier New" w:hint="default"/>
      </w:rPr>
    </w:lvl>
    <w:lvl w:ilvl="5" w:tplc="60F29202">
      <w:start w:val="1"/>
      <w:numFmt w:val="bullet"/>
      <w:lvlText w:val=""/>
      <w:lvlJc w:val="left"/>
      <w:pPr>
        <w:ind w:left="4320" w:hanging="360"/>
      </w:pPr>
      <w:rPr>
        <w:rFonts w:ascii="Wingdings" w:hAnsi="Wingdings" w:hint="default"/>
      </w:rPr>
    </w:lvl>
    <w:lvl w:ilvl="6" w:tplc="D6E21E08">
      <w:start w:val="1"/>
      <w:numFmt w:val="bullet"/>
      <w:lvlText w:val=""/>
      <w:lvlJc w:val="left"/>
      <w:pPr>
        <w:ind w:left="5040" w:hanging="360"/>
      </w:pPr>
      <w:rPr>
        <w:rFonts w:ascii="Symbol" w:hAnsi="Symbol" w:hint="default"/>
      </w:rPr>
    </w:lvl>
    <w:lvl w:ilvl="7" w:tplc="A1469092">
      <w:start w:val="1"/>
      <w:numFmt w:val="bullet"/>
      <w:lvlText w:val="o"/>
      <w:lvlJc w:val="left"/>
      <w:pPr>
        <w:ind w:left="5760" w:hanging="360"/>
      </w:pPr>
      <w:rPr>
        <w:rFonts w:ascii="Courier New" w:hAnsi="Courier New" w:hint="default"/>
      </w:rPr>
    </w:lvl>
    <w:lvl w:ilvl="8" w:tplc="C4DCAC5E">
      <w:start w:val="1"/>
      <w:numFmt w:val="bullet"/>
      <w:lvlText w:val=""/>
      <w:lvlJc w:val="left"/>
      <w:pPr>
        <w:ind w:left="6480" w:hanging="360"/>
      </w:pPr>
      <w:rPr>
        <w:rFonts w:ascii="Wingdings" w:hAnsi="Wingdings" w:hint="default"/>
      </w:rPr>
    </w:lvl>
  </w:abstractNum>
  <w:abstractNum w:abstractNumId="18" w15:restartNumberingAfterBreak="0">
    <w:nsid w:val="42CF3EE1"/>
    <w:multiLevelType w:val="multilevel"/>
    <w:tmpl w:val="0FC4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231DB2"/>
    <w:multiLevelType w:val="hybridMultilevel"/>
    <w:tmpl w:val="F38E1084"/>
    <w:lvl w:ilvl="0" w:tplc="53B8102A">
      <w:start w:val="1"/>
      <w:numFmt w:val="lowerRoman"/>
      <w:pStyle w:val="RecLevel2"/>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4946480C"/>
    <w:multiLevelType w:val="multilevel"/>
    <w:tmpl w:val="36442E3C"/>
    <w:lvl w:ilvl="0">
      <w:start w:val="1"/>
      <w:numFmt w:val="decimal"/>
      <w:pStyle w:val="ParaLevel1"/>
      <w:lvlText w:val="%1"/>
      <w:lvlJc w:val="left"/>
      <w:pPr>
        <w:ind w:left="360" w:hanging="360"/>
      </w:pPr>
      <w:rPr>
        <w:vertAlign w:val="baseline"/>
      </w:rPr>
    </w:lvl>
    <w:lvl w:ilvl="1">
      <w:start w:val="1"/>
      <w:numFmt w:val="bullet"/>
      <w:pStyle w:val="ParaLevel2"/>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ADA139A"/>
    <w:multiLevelType w:val="hybridMultilevel"/>
    <w:tmpl w:val="28A6F140"/>
    <w:lvl w:ilvl="0" w:tplc="B2E4600E">
      <w:start w:val="1"/>
      <w:numFmt w:val="bullet"/>
      <w:pStyle w:val="Bullet1"/>
      <w:lvlText w:val=""/>
      <w:lvlJc w:val="left"/>
      <w:pPr>
        <w:tabs>
          <w:tab w:val="num" w:pos="964"/>
        </w:tabs>
        <w:ind w:left="964"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190F8B"/>
    <w:multiLevelType w:val="hybridMultilevel"/>
    <w:tmpl w:val="108C3F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5F6CFE0D"/>
    <w:multiLevelType w:val="multilevel"/>
    <w:tmpl w:val="4C8CECA0"/>
    <w:lvl w:ilvl="0">
      <w:start w:val="49"/>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59B32F6"/>
    <w:multiLevelType w:val="multilevel"/>
    <w:tmpl w:val="AFEC80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C51F49"/>
    <w:multiLevelType w:val="multilevel"/>
    <w:tmpl w:val="E5AA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AE82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16D393E"/>
    <w:multiLevelType w:val="hybridMultilevel"/>
    <w:tmpl w:val="91807AC8"/>
    <w:lvl w:ilvl="0" w:tplc="EE6EA08E">
      <w:start w:val="1"/>
      <w:numFmt w:val="bullet"/>
      <w:pStyle w:val="Bulletlist"/>
      <w:lvlText w:val=""/>
      <w:lvlJc w:val="left"/>
      <w:pPr>
        <w:ind w:left="360" w:hanging="360"/>
      </w:pPr>
      <w:rPr>
        <w:rFonts w:ascii="Symbol" w:hAnsi="Symbol" w:hint="default"/>
        <w:color w:val="auto"/>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15:restartNumberingAfterBreak="0">
    <w:nsid w:val="72521362"/>
    <w:multiLevelType w:val="multilevel"/>
    <w:tmpl w:val="94FAE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1C09DF"/>
    <w:multiLevelType w:val="hybridMultilevel"/>
    <w:tmpl w:val="CEBCB64C"/>
    <w:lvl w:ilvl="0" w:tplc="0204CEBA">
      <w:start w:val="1"/>
      <w:numFmt w:val="bullet"/>
      <w:lvlText w:val=""/>
      <w:lvlJc w:val="left"/>
      <w:pPr>
        <w:ind w:left="1560" w:hanging="360"/>
      </w:pPr>
      <w:rPr>
        <w:rFonts w:ascii="Symbol" w:hAnsi="Symbol"/>
      </w:rPr>
    </w:lvl>
    <w:lvl w:ilvl="1" w:tplc="6796675E">
      <w:start w:val="1"/>
      <w:numFmt w:val="bullet"/>
      <w:lvlText w:val=""/>
      <w:lvlJc w:val="left"/>
      <w:pPr>
        <w:ind w:left="1560" w:hanging="360"/>
      </w:pPr>
      <w:rPr>
        <w:rFonts w:ascii="Symbol" w:hAnsi="Symbol"/>
      </w:rPr>
    </w:lvl>
    <w:lvl w:ilvl="2" w:tplc="12A49710">
      <w:start w:val="1"/>
      <w:numFmt w:val="bullet"/>
      <w:lvlText w:val=""/>
      <w:lvlJc w:val="left"/>
      <w:pPr>
        <w:ind w:left="1560" w:hanging="360"/>
      </w:pPr>
      <w:rPr>
        <w:rFonts w:ascii="Symbol" w:hAnsi="Symbol"/>
      </w:rPr>
    </w:lvl>
    <w:lvl w:ilvl="3" w:tplc="B2A85E64">
      <w:start w:val="1"/>
      <w:numFmt w:val="bullet"/>
      <w:lvlText w:val=""/>
      <w:lvlJc w:val="left"/>
      <w:pPr>
        <w:ind w:left="1560" w:hanging="360"/>
      </w:pPr>
      <w:rPr>
        <w:rFonts w:ascii="Symbol" w:hAnsi="Symbol"/>
      </w:rPr>
    </w:lvl>
    <w:lvl w:ilvl="4" w:tplc="B64C3820">
      <w:start w:val="1"/>
      <w:numFmt w:val="bullet"/>
      <w:lvlText w:val=""/>
      <w:lvlJc w:val="left"/>
      <w:pPr>
        <w:ind w:left="1560" w:hanging="360"/>
      </w:pPr>
      <w:rPr>
        <w:rFonts w:ascii="Symbol" w:hAnsi="Symbol"/>
      </w:rPr>
    </w:lvl>
    <w:lvl w:ilvl="5" w:tplc="947017B8">
      <w:start w:val="1"/>
      <w:numFmt w:val="bullet"/>
      <w:lvlText w:val=""/>
      <w:lvlJc w:val="left"/>
      <w:pPr>
        <w:ind w:left="1560" w:hanging="360"/>
      </w:pPr>
      <w:rPr>
        <w:rFonts w:ascii="Symbol" w:hAnsi="Symbol"/>
      </w:rPr>
    </w:lvl>
    <w:lvl w:ilvl="6" w:tplc="4830EF9C">
      <w:start w:val="1"/>
      <w:numFmt w:val="bullet"/>
      <w:lvlText w:val=""/>
      <w:lvlJc w:val="left"/>
      <w:pPr>
        <w:ind w:left="1560" w:hanging="360"/>
      </w:pPr>
      <w:rPr>
        <w:rFonts w:ascii="Symbol" w:hAnsi="Symbol"/>
      </w:rPr>
    </w:lvl>
    <w:lvl w:ilvl="7" w:tplc="FE2A2434">
      <w:start w:val="1"/>
      <w:numFmt w:val="bullet"/>
      <w:lvlText w:val=""/>
      <w:lvlJc w:val="left"/>
      <w:pPr>
        <w:ind w:left="1560" w:hanging="360"/>
      </w:pPr>
      <w:rPr>
        <w:rFonts w:ascii="Symbol" w:hAnsi="Symbol"/>
      </w:rPr>
    </w:lvl>
    <w:lvl w:ilvl="8" w:tplc="68FAC14A">
      <w:start w:val="1"/>
      <w:numFmt w:val="bullet"/>
      <w:lvlText w:val=""/>
      <w:lvlJc w:val="left"/>
      <w:pPr>
        <w:ind w:left="1560" w:hanging="360"/>
      </w:pPr>
      <w:rPr>
        <w:rFonts w:ascii="Symbol" w:hAnsi="Symbol"/>
      </w:rPr>
    </w:lvl>
  </w:abstractNum>
  <w:abstractNum w:abstractNumId="30" w15:restartNumberingAfterBreak="0">
    <w:nsid w:val="76C12612"/>
    <w:multiLevelType w:val="hybridMultilevel"/>
    <w:tmpl w:val="5F50E20C"/>
    <w:lvl w:ilvl="0" w:tplc="FFFFFFFF">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1" w15:restartNumberingAfterBreak="0">
    <w:nsid w:val="7F7F7FB5"/>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46148483">
    <w:abstractNumId w:val="17"/>
  </w:num>
  <w:num w:numId="2" w16cid:durableId="2029479440">
    <w:abstractNumId w:val="23"/>
  </w:num>
  <w:num w:numId="3" w16cid:durableId="1109858912">
    <w:abstractNumId w:val="13"/>
  </w:num>
  <w:num w:numId="4" w16cid:durableId="21632516">
    <w:abstractNumId w:val="15"/>
  </w:num>
  <w:num w:numId="5" w16cid:durableId="1272400878">
    <w:abstractNumId w:val="26"/>
  </w:num>
  <w:num w:numId="6" w16cid:durableId="457337359">
    <w:abstractNumId w:val="31"/>
  </w:num>
  <w:num w:numId="7" w16cid:durableId="1952584748">
    <w:abstractNumId w:val="6"/>
  </w:num>
  <w:num w:numId="8" w16cid:durableId="1666779896">
    <w:abstractNumId w:val="5"/>
  </w:num>
  <w:num w:numId="9" w16cid:durableId="1382483542">
    <w:abstractNumId w:val="4"/>
  </w:num>
  <w:num w:numId="10" w16cid:durableId="1634484236">
    <w:abstractNumId w:val="3"/>
  </w:num>
  <w:num w:numId="11" w16cid:durableId="1639842458">
    <w:abstractNumId w:val="2"/>
  </w:num>
  <w:num w:numId="12" w16cid:durableId="893463142">
    <w:abstractNumId w:val="1"/>
  </w:num>
  <w:num w:numId="13" w16cid:durableId="949505878">
    <w:abstractNumId w:val="0"/>
  </w:num>
  <w:num w:numId="14" w16cid:durableId="1651866768">
    <w:abstractNumId w:val="21"/>
  </w:num>
  <w:num w:numId="15" w16cid:durableId="733087173">
    <w:abstractNumId w:val="9"/>
  </w:num>
  <w:num w:numId="16" w16cid:durableId="592856489">
    <w:abstractNumId w:val="14"/>
    <w:lvlOverride w:ilvl="0">
      <w:lvl w:ilvl="0">
        <w:start w:val="1"/>
        <w:numFmt w:val="lowerLetter"/>
        <w:pStyle w:val="RecLevel1"/>
        <w:lvlText w:val="%1)"/>
        <w:lvlJc w:val="left"/>
        <w:pPr>
          <w:ind w:left="360" w:hanging="360"/>
        </w:pPr>
        <w:rPr>
          <w:rFonts w:ascii="Verdana" w:hAnsi="Verdana" w:hint="default"/>
        </w:rPr>
      </w:lvl>
    </w:lvlOverride>
    <w:lvlOverride w:ilvl="1">
      <w:lvl w:ilvl="1" w:tentative="1">
        <w:start w:val="1"/>
        <w:numFmt w:val="lowerLetter"/>
        <w:pStyle w:val="ReportBody2"/>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7" w16cid:durableId="596717833">
    <w:abstractNumId w:val="20"/>
  </w:num>
  <w:num w:numId="18" w16cid:durableId="176968873">
    <w:abstractNumId w:val="27"/>
  </w:num>
  <w:num w:numId="19" w16cid:durableId="1584954149">
    <w:abstractNumId w:val="19"/>
  </w:num>
  <w:num w:numId="20" w16cid:durableId="974987209">
    <w:abstractNumId w:val="8"/>
  </w:num>
  <w:num w:numId="21" w16cid:durableId="1242525008">
    <w:abstractNumId w:val="30"/>
  </w:num>
  <w:num w:numId="22" w16cid:durableId="1839730639">
    <w:abstractNumId w:val="18"/>
  </w:num>
  <w:num w:numId="23" w16cid:durableId="1208450460">
    <w:abstractNumId w:val="16"/>
  </w:num>
  <w:num w:numId="24" w16cid:durableId="1696688504">
    <w:abstractNumId w:val="10"/>
  </w:num>
  <w:num w:numId="25" w16cid:durableId="387341172">
    <w:abstractNumId w:val="28"/>
  </w:num>
  <w:num w:numId="26" w16cid:durableId="1194734519">
    <w:abstractNumId w:val="25"/>
  </w:num>
  <w:num w:numId="27" w16cid:durableId="1547645645">
    <w:abstractNumId w:val="12"/>
  </w:num>
  <w:num w:numId="28" w16cid:durableId="1497307794">
    <w:abstractNumId w:val="29"/>
  </w:num>
  <w:num w:numId="29" w16cid:durableId="862981719">
    <w:abstractNumId w:val="11"/>
  </w:num>
  <w:num w:numId="30" w16cid:durableId="1434746351">
    <w:abstractNumId w:val="20"/>
  </w:num>
  <w:num w:numId="31" w16cid:durableId="1719016698">
    <w:abstractNumId w:val="20"/>
  </w:num>
  <w:num w:numId="32" w16cid:durableId="953825799">
    <w:abstractNumId w:val="7"/>
  </w:num>
  <w:num w:numId="33" w16cid:durableId="1220627296">
    <w:abstractNumId w:val="20"/>
  </w:num>
  <w:num w:numId="34" w16cid:durableId="1065761864">
    <w:abstractNumId w:val="20"/>
  </w:num>
  <w:num w:numId="35" w16cid:durableId="1752657437">
    <w:abstractNumId w:val="20"/>
  </w:num>
  <w:num w:numId="36" w16cid:durableId="1641574850">
    <w:abstractNumId w:val="20"/>
  </w:num>
  <w:num w:numId="37" w16cid:durableId="1082483061">
    <w:abstractNumId w:val="20"/>
  </w:num>
  <w:num w:numId="38" w16cid:durableId="971329778">
    <w:abstractNumId w:val="20"/>
  </w:num>
  <w:num w:numId="39" w16cid:durableId="1205212908">
    <w:abstractNumId w:val="20"/>
  </w:num>
  <w:num w:numId="40" w16cid:durableId="1722747906">
    <w:abstractNumId w:val="22"/>
  </w:num>
  <w:num w:numId="41" w16cid:durableId="636497924">
    <w:abstractNumId w:val="20"/>
  </w:num>
  <w:num w:numId="42" w16cid:durableId="412430587">
    <w:abstractNumId w:val="20"/>
  </w:num>
  <w:num w:numId="43" w16cid:durableId="1267158933">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801"/>
    <w:rsid w:val="000000A4"/>
    <w:rsid w:val="000008DA"/>
    <w:rsid w:val="0000231C"/>
    <w:rsid w:val="00003853"/>
    <w:rsid w:val="00003D83"/>
    <w:rsid w:val="00005181"/>
    <w:rsid w:val="00005568"/>
    <w:rsid w:val="00005A33"/>
    <w:rsid w:val="00005E1C"/>
    <w:rsid w:val="0000601F"/>
    <w:rsid w:val="000062C7"/>
    <w:rsid w:val="00006F30"/>
    <w:rsid w:val="0000739C"/>
    <w:rsid w:val="00007A3F"/>
    <w:rsid w:val="0000B545"/>
    <w:rsid w:val="0001102F"/>
    <w:rsid w:val="000122C8"/>
    <w:rsid w:val="000123BE"/>
    <w:rsid w:val="00012C50"/>
    <w:rsid w:val="00013268"/>
    <w:rsid w:val="00014ABF"/>
    <w:rsid w:val="00016BFD"/>
    <w:rsid w:val="00020A65"/>
    <w:rsid w:val="00020C78"/>
    <w:rsid w:val="00021352"/>
    <w:rsid w:val="00021EA0"/>
    <w:rsid w:val="00022D2F"/>
    <w:rsid w:val="00023A92"/>
    <w:rsid w:val="00023BA5"/>
    <w:rsid w:val="00023D56"/>
    <w:rsid w:val="00024049"/>
    <w:rsid w:val="00024145"/>
    <w:rsid w:val="00025DEF"/>
    <w:rsid w:val="0002609D"/>
    <w:rsid w:val="000261E9"/>
    <w:rsid w:val="00026710"/>
    <w:rsid w:val="000270DB"/>
    <w:rsid w:val="0003272D"/>
    <w:rsid w:val="000329F2"/>
    <w:rsid w:val="00032C0F"/>
    <w:rsid w:val="00033822"/>
    <w:rsid w:val="00034268"/>
    <w:rsid w:val="00034CC5"/>
    <w:rsid w:val="00034EC0"/>
    <w:rsid w:val="000353B7"/>
    <w:rsid w:val="000357C7"/>
    <w:rsid w:val="00035C67"/>
    <w:rsid w:val="00036245"/>
    <w:rsid w:val="000365AA"/>
    <w:rsid w:val="00037569"/>
    <w:rsid w:val="00040B13"/>
    <w:rsid w:val="00041313"/>
    <w:rsid w:val="00041A1C"/>
    <w:rsid w:val="00041BCB"/>
    <w:rsid w:val="000421DA"/>
    <w:rsid w:val="00042373"/>
    <w:rsid w:val="000438FC"/>
    <w:rsid w:val="00043F23"/>
    <w:rsid w:val="0004439A"/>
    <w:rsid w:val="00044E71"/>
    <w:rsid w:val="00046654"/>
    <w:rsid w:val="00049A02"/>
    <w:rsid w:val="0005019A"/>
    <w:rsid w:val="00050DBD"/>
    <w:rsid w:val="00051C67"/>
    <w:rsid w:val="00051CB5"/>
    <w:rsid w:val="00051FBD"/>
    <w:rsid w:val="000535D5"/>
    <w:rsid w:val="00053967"/>
    <w:rsid w:val="000548FA"/>
    <w:rsid w:val="00054FCC"/>
    <w:rsid w:val="000553E1"/>
    <w:rsid w:val="00055E02"/>
    <w:rsid w:val="00056E14"/>
    <w:rsid w:val="00057553"/>
    <w:rsid w:val="00057A13"/>
    <w:rsid w:val="00061A25"/>
    <w:rsid w:val="00061C2E"/>
    <w:rsid w:val="00061CFB"/>
    <w:rsid w:val="00064AE7"/>
    <w:rsid w:val="00065613"/>
    <w:rsid w:val="00065A16"/>
    <w:rsid w:val="00065D00"/>
    <w:rsid w:val="00065FFE"/>
    <w:rsid w:val="000678FD"/>
    <w:rsid w:val="00067E41"/>
    <w:rsid w:val="000712E1"/>
    <w:rsid w:val="000713B7"/>
    <w:rsid w:val="000717B2"/>
    <w:rsid w:val="00071F98"/>
    <w:rsid w:val="0007237A"/>
    <w:rsid w:val="000737DF"/>
    <w:rsid w:val="00073816"/>
    <w:rsid w:val="00074630"/>
    <w:rsid w:val="000748BF"/>
    <w:rsid w:val="00074ABD"/>
    <w:rsid w:val="000774F8"/>
    <w:rsid w:val="00077942"/>
    <w:rsid w:val="000804B3"/>
    <w:rsid w:val="000820E8"/>
    <w:rsid w:val="00082225"/>
    <w:rsid w:val="000824C7"/>
    <w:rsid w:val="00082565"/>
    <w:rsid w:val="00083252"/>
    <w:rsid w:val="00083E1F"/>
    <w:rsid w:val="0008475D"/>
    <w:rsid w:val="00085565"/>
    <w:rsid w:val="00085C09"/>
    <w:rsid w:val="00086261"/>
    <w:rsid w:val="000866DA"/>
    <w:rsid w:val="0008692F"/>
    <w:rsid w:val="00087391"/>
    <w:rsid w:val="00087888"/>
    <w:rsid w:val="00090FD3"/>
    <w:rsid w:val="00091511"/>
    <w:rsid w:val="00092299"/>
    <w:rsid w:val="000924AE"/>
    <w:rsid w:val="000924ED"/>
    <w:rsid w:val="00092CD2"/>
    <w:rsid w:val="000930AD"/>
    <w:rsid w:val="00093158"/>
    <w:rsid w:val="00094483"/>
    <w:rsid w:val="00094F88"/>
    <w:rsid w:val="000952B9"/>
    <w:rsid w:val="000959D4"/>
    <w:rsid w:val="00095D60"/>
    <w:rsid w:val="00095DF9"/>
    <w:rsid w:val="00095F47"/>
    <w:rsid w:val="000960D3"/>
    <w:rsid w:val="000A0034"/>
    <w:rsid w:val="000A0071"/>
    <w:rsid w:val="000A14E9"/>
    <w:rsid w:val="000A167A"/>
    <w:rsid w:val="000A335B"/>
    <w:rsid w:val="000A3B1C"/>
    <w:rsid w:val="000A3C4F"/>
    <w:rsid w:val="000A4103"/>
    <w:rsid w:val="000A4208"/>
    <w:rsid w:val="000A45F8"/>
    <w:rsid w:val="000A4894"/>
    <w:rsid w:val="000A58A0"/>
    <w:rsid w:val="000A662A"/>
    <w:rsid w:val="000B1300"/>
    <w:rsid w:val="000B176B"/>
    <w:rsid w:val="000B1798"/>
    <w:rsid w:val="000B1877"/>
    <w:rsid w:val="000B1C4F"/>
    <w:rsid w:val="000B211E"/>
    <w:rsid w:val="000B2125"/>
    <w:rsid w:val="000B24F2"/>
    <w:rsid w:val="000B3AF1"/>
    <w:rsid w:val="000B3E11"/>
    <w:rsid w:val="000B3F16"/>
    <w:rsid w:val="000B5313"/>
    <w:rsid w:val="000B64DF"/>
    <w:rsid w:val="000B6CC7"/>
    <w:rsid w:val="000B6F59"/>
    <w:rsid w:val="000B6FAA"/>
    <w:rsid w:val="000B796C"/>
    <w:rsid w:val="000B7C4D"/>
    <w:rsid w:val="000C0DE0"/>
    <w:rsid w:val="000C0E96"/>
    <w:rsid w:val="000C20B6"/>
    <w:rsid w:val="000C2F05"/>
    <w:rsid w:val="000C49EE"/>
    <w:rsid w:val="000C4ADF"/>
    <w:rsid w:val="000C4C43"/>
    <w:rsid w:val="000C53C1"/>
    <w:rsid w:val="000C54D3"/>
    <w:rsid w:val="000C621D"/>
    <w:rsid w:val="000C631D"/>
    <w:rsid w:val="000C71F3"/>
    <w:rsid w:val="000C7803"/>
    <w:rsid w:val="000C7A26"/>
    <w:rsid w:val="000C7A2F"/>
    <w:rsid w:val="000D0004"/>
    <w:rsid w:val="000D1CBC"/>
    <w:rsid w:val="000D4407"/>
    <w:rsid w:val="000D4D4F"/>
    <w:rsid w:val="000D4EB2"/>
    <w:rsid w:val="000D4EF3"/>
    <w:rsid w:val="000D65EE"/>
    <w:rsid w:val="000D6DFB"/>
    <w:rsid w:val="000D7C6F"/>
    <w:rsid w:val="000E0CD3"/>
    <w:rsid w:val="000E22DA"/>
    <w:rsid w:val="000E26DD"/>
    <w:rsid w:val="000E30C9"/>
    <w:rsid w:val="000E3F5F"/>
    <w:rsid w:val="000E400B"/>
    <w:rsid w:val="000E55A6"/>
    <w:rsid w:val="000E5DDB"/>
    <w:rsid w:val="000E6C9B"/>
    <w:rsid w:val="000E7602"/>
    <w:rsid w:val="000F1CAE"/>
    <w:rsid w:val="000F227A"/>
    <w:rsid w:val="000F4735"/>
    <w:rsid w:val="000F51DD"/>
    <w:rsid w:val="000F577D"/>
    <w:rsid w:val="000F71BB"/>
    <w:rsid w:val="000F7498"/>
    <w:rsid w:val="000F7FAC"/>
    <w:rsid w:val="001011FF"/>
    <w:rsid w:val="0010209E"/>
    <w:rsid w:val="001038CA"/>
    <w:rsid w:val="00103C2C"/>
    <w:rsid w:val="00104BDD"/>
    <w:rsid w:val="001051BC"/>
    <w:rsid w:val="0010574A"/>
    <w:rsid w:val="0010662E"/>
    <w:rsid w:val="00110003"/>
    <w:rsid w:val="00110B2E"/>
    <w:rsid w:val="00111CEB"/>
    <w:rsid w:val="00112326"/>
    <w:rsid w:val="001123E8"/>
    <w:rsid w:val="00112AED"/>
    <w:rsid w:val="00113E46"/>
    <w:rsid w:val="00115807"/>
    <w:rsid w:val="00116371"/>
    <w:rsid w:val="00117442"/>
    <w:rsid w:val="00117A9D"/>
    <w:rsid w:val="00117D98"/>
    <w:rsid w:val="00117F06"/>
    <w:rsid w:val="00120A64"/>
    <w:rsid w:val="0012418A"/>
    <w:rsid w:val="0012437F"/>
    <w:rsid w:val="00125B29"/>
    <w:rsid w:val="00125DD9"/>
    <w:rsid w:val="00126067"/>
    <w:rsid w:val="00126D5E"/>
    <w:rsid w:val="00126EB7"/>
    <w:rsid w:val="00127DB8"/>
    <w:rsid w:val="00130163"/>
    <w:rsid w:val="00132901"/>
    <w:rsid w:val="00132F77"/>
    <w:rsid w:val="00133AC6"/>
    <w:rsid w:val="00134150"/>
    <w:rsid w:val="00134DA2"/>
    <w:rsid w:val="00135EBC"/>
    <w:rsid w:val="001360D4"/>
    <w:rsid w:val="00136517"/>
    <w:rsid w:val="00137C12"/>
    <w:rsid w:val="00137C27"/>
    <w:rsid w:val="00137E3E"/>
    <w:rsid w:val="00140624"/>
    <w:rsid w:val="00140FD1"/>
    <w:rsid w:val="00141C96"/>
    <w:rsid w:val="00142009"/>
    <w:rsid w:val="001424C0"/>
    <w:rsid w:val="00142A82"/>
    <w:rsid w:val="00143915"/>
    <w:rsid w:val="00143EEF"/>
    <w:rsid w:val="00144E21"/>
    <w:rsid w:val="00145364"/>
    <w:rsid w:val="00146381"/>
    <w:rsid w:val="00146CB2"/>
    <w:rsid w:val="00146FAC"/>
    <w:rsid w:val="001477FE"/>
    <w:rsid w:val="00147FF6"/>
    <w:rsid w:val="00151421"/>
    <w:rsid w:val="00157C28"/>
    <w:rsid w:val="0016001D"/>
    <w:rsid w:val="001605BA"/>
    <w:rsid w:val="00160E59"/>
    <w:rsid w:val="00161D60"/>
    <w:rsid w:val="0016226A"/>
    <w:rsid w:val="00162A01"/>
    <w:rsid w:val="00162A18"/>
    <w:rsid w:val="00162B40"/>
    <w:rsid w:val="00163F4A"/>
    <w:rsid w:val="001643F8"/>
    <w:rsid w:val="00164AC4"/>
    <w:rsid w:val="0016556E"/>
    <w:rsid w:val="00165DB8"/>
    <w:rsid w:val="00166C38"/>
    <w:rsid w:val="00166D0F"/>
    <w:rsid w:val="00167730"/>
    <w:rsid w:val="0017004B"/>
    <w:rsid w:val="00170465"/>
    <w:rsid w:val="00170591"/>
    <w:rsid w:val="00171394"/>
    <w:rsid w:val="001715BF"/>
    <w:rsid w:val="00172BA9"/>
    <w:rsid w:val="0017349D"/>
    <w:rsid w:val="001739CC"/>
    <w:rsid w:val="001740B3"/>
    <w:rsid w:val="00174AFC"/>
    <w:rsid w:val="00174B26"/>
    <w:rsid w:val="00174B41"/>
    <w:rsid w:val="001767E3"/>
    <w:rsid w:val="00176A0E"/>
    <w:rsid w:val="00176E12"/>
    <w:rsid w:val="00177532"/>
    <w:rsid w:val="00177773"/>
    <w:rsid w:val="00177A76"/>
    <w:rsid w:val="00177F37"/>
    <w:rsid w:val="00180895"/>
    <w:rsid w:val="001811C4"/>
    <w:rsid w:val="00181962"/>
    <w:rsid w:val="00182796"/>
    <w:rsid w:val="00182BE9"/>
    <w:rsid w:val="00182FDD"/>
    <w:rsid w:val="00183254"/>
    <w:rsid w:val="0018382F"/>
    <w:rsid w:val="001848AC"/>
    <w:rsid w:val="00184E98"/>
    <w:rsid w:val="001870DF"/>
    <w:rsid w:val="001870E7"/>
    <w:rsid w:val="00190D59"/>
    <w:rsid w:val="00191F02"/>
    <w:rsid w:val="00192187"/>
    <w:rsid w:val="00192CC9"/>
    <w:rsid w:val="001930D8"/>
    <w:rsid w:val="0019341C"/>
    <w:rsid w:val="0019398D"/>
    <w:rsid w:val="00193ACE"/>
    <w:rsid w:val="00193E0B"/>
    <w:rsid w:val="00194437"/>
    <w:rsid w:val="00194F07"/>
    <w:rsid w:val="00195018"/>
    <w:rsid w:val="00195456"/>
    <w:rsid w:val="00195917"/>
    <w:rsid w:val="00196AF8"/>
    <w:rsid w:val="001A0420"/>
    <w:rsid w:val="001A396D"/>
    <w:rsid w:val="001A3CBA"/>
    <w:rsid w:val="001A40F3"/>
    <w:rsid w:val="001A45AD"/>
    <w:rsid w:val="001A5586"/>
    <w:rsid w:val="001A65EC"/>
    <w:rsid w:val="001A67CD"/>
    <w:rsid w:val="001A7C1D"/>
    <w:rsid w:val="001B0B48"/>
    <w:rsid w:val="001B0E94"/>
    <w:rsid w:val="001B26A7"/>
    <w:rsid w:val="001B300A"/>
    <w:rsid w:val="001B4093"/>
    <w:rsid w:val="001B6DB4"/>
    <w:rsid w:val="001B6DE3"/>
    <w:rsid w:val="001C196A"/>
    <w:rsid w:val="001C1B0D"/>
    <w:rsid w:val="001C2B46"/>
    <w:rsid w:val="001C3A88"/>
    <w:rsid w:val="001C4595"/>
    <w:rsid w:val="001C4813"/>
    <w:rsid w:val="001C4D4B"/>
    <w:rsid w:val="001C4D9C"/>
    <w:rsid w:val="001C5EC5"/>
    <w:rsid w:val="001C74CF"/>
    <w:rsid w:val="001C7717"/>
    <w:rsid w:val="001C7B0E"/>
    <w:rsid w:val="001C7B72"/>
    <w:rsid w:val="001D198D"/>
    <w:rsid w:val="001D3359"/>
    <w:rsid w:val="001D3414"/>
    <w:rsid w:val="001D36F0"/>
    <w:rsid w:val="001D390B"/>
    <w:rsid w:val="001D4623"/>
    <w:rsid w:val="001D4A57"/>
    <w:rsid w:val="001D624B"/>
    <w:rsid w:val="001D68A1"/>
    <w:rsid w:val="001D69E6"/>
    <w:rsid w:val="001D79A0"/>
    <w:rsid w:val="001E00B8"/>
    <w:rsid w:val="001E0B7D"/>
    <w:rsid w:val="001E0C8F"/>
    <w:rsid w:val="001E1497"/>
    <w:rsid w:val="001E2B9C"/>
    <w:rsid w:val="001E2DDD"/>
    <w:rsid w:val="001E30F0"/>
    <w:rsid w:val="001E400C"/>
    <w:rsid w:val="001E41F5"/>
    <w:rsid w:val="001E4E09"/>
    <w:rsid w:val="001E5433"/>
    <w:rsid w:val="001E59B0"/>
    <w:rsid w:val="001E5FA3"/>
    <w:rsid w:val="001F06EA"/>
    <w:rsid w:val="001F0779"/>
    <w:rsid w:val="001F1286"/>
    <w:rsid w:val="001F189F"/>
    <w:rsid w:val="001F1FC4"/>
    <w:rsid w:val="001F23AD"/>
    <w:rsid w:val="001F44F1"/>
    <w:rsid w:val="001F4A92"/>
    <w:rsid w:val="001F4EB0"/>
    <w:rsid w:val="001F53DE"/>
    <w:rsid w:val="001F5840"/>
    <w:rsid w:val="001F6379"/>
    <w:rsid w:val="00200964"/>
    <w:rsid w:val="00200C5B"/>
    <w:rsid w:val="00200F34"/>
    <w:rsid w:val="00201463"/>
    <w:rsid w:val="0020178B"/>
    <w:rsid w:val="00202174"/>
    <w:rsid w:val="0020278A"/>
    <w:rsid w:val="002027A4"/>
    <w:rsid w:val="00202CD7"/>
    <w:rsid w:val="00202CDA"/>
    <w:rsid w:val="00203EB5"/>
    <w:rsid w:val="0020433B"/>
    <w:rsid w:val="002053EF"/>
    <w:rsid w:val="0020547A"/>
    <w:rsid w:val="002058A9"/>
    <w:rsid w:val="00205AC0"/>
    <w:rsid w:val="002061E7"/>
    <w:rsid w:val="002067A2"/>
    <w:rsid w:val="0020783B"/>
    <w:rsid w:val="002115D5"/>
    <w:rsid w:val="00212D92"/>
    <w:rsid w:val="00213804"/>
    <w:rsid w:val="00213F96"/>
    <w:rsid w:val="002149F0"/>
    <w:rsid w:val="0021504B"/>
    <w:rsid w:val="002153F9"/>
    <w:rsid w:val="00215BF7"/>
    <w:rsid w:val="00215E1E"/>
    <w:rsid w:val="002162A6"/>
    <w:rsid w:val="002172DD"/>
    <w:rsid w:val="00217830"/>
    <w:rsid w:val="00217946"/>
    <w:rsid w:val="00220F12"/>
    <w:rsid w:val="00221298"/>
    <w:rsid w:val="00222492"/>
    <w:rsid w:val="00222791"/>
    <w:rsid w:val="00222B06"/>
    <w:rsid w:val="002246C9"/>
    <w:rsid w:val="002251AF"/>
    <w:rsid w:val="002253B3"/>
    <w:rsid w:val="002254E6"/>
    <w:rsid w:val="00225C09"/>
    <w:rsid w:val="00225C36"/>
    <w:rsid w:val="00225F8B"/>
    <w:rsid w:val="00225FCD"/>
    <w:rsid w:val="0022604C"/>
    <w:rsid w:val="00226727"/>
    <w:rsid w:val="00226D3D"/>
    <w:rsid w:val="0022751B"/>
    <w:rsid w:val="00227CDE"/>
    <w:rsid w:val="002302A5"/>
    <w:rsid w:val="002308C7"/>
    <w:rsid w:val="00230914"/>
    <w:rsid w:val="00230E78"/>
    <w:rsid w:val="0023166C"/>
    <w:rsid w:val="00232F9B"/>
    <w:rsid w:val="00233053"/>
    <w:rsid w:val="00233701"/>
    <w:rsid w:val="00233C16"/>
    <w:rsid w:val="002347CF"/>
    <w:rsid w:val="00234F9A"/>
    <w:rsid w:val="002350FB"/>
    <w:rsid w:val="00235609"/>
    <w:rsid w:val="00235DB5"/>
    <w:rsid w:val="002361C2"/>
    <w:rsid w:val="002361E2"/>
    <w:rsid w:val="00237DD6"/>
    <w:rsid w:val="00237E90"/>
    <w:rsid w:val="002407DC"/>
    <w:rsid w:val="00240F4B"/>
    <w:rsid w:val="002413C4"/>
    <w:rsid w:val="00241BAC"/>
    <w:rsid w:val="002427B2"/>
    <w:rsid w:val="002427B6"/>
    <w:rsid w:val="002427DC"/>
    <w:rsid w:val="00242FE1"/>
    <w:rsid w:val="00243384"/>
    <w:rsid w:val="00245EC0"/>
    <w:rsid w:val="002462F2"/>
    <w:rsid w:val="00246E9B"/>
    <w:rsid w:val="0025012E"/>
    <w:rsid w:val="002506CC"/>
    <w:rsid w:val="00252AF9"/>
    <w:rsid w:val="002536B0"/>
    <w:rsid w:val="00253B3D"/>
    <w:rsid w:val="00253BB9"/>
    <w:rsid w:val="002546C7"/>
    <w:rsid w:val="00254920"/>
    <w:rsid w:val="00255C1C"/>
    <w:rsid w:val="00255EF6"/>
    <w:rsid w:val="00256C96"/>
    <w:rsid w:val="00257293"/>
    <w:rsid w:val="00257993"/>
    <w:rsid w:val="00257ADD"/>
    <w:rsid w:val="00257C30"/>
    <w:rsid w:val="00257FC2"/>
    <w:rsid w:val="00260EA5"/>
    <w:rsid w:val="00260F06"/>
    <w:rsid w:val="002613FE"/>
    <w:rsid w:val="00261E2B"/>
    <w:rsid w:val="00262AA7"/>
    <w:rsid w:val="00263084"/>
    <w:rsid w:val="0026415D"/>
    <w:rsid w:val="00265446"/>
    <w:rsid w:val="00265542"/>
    <w:rsid w:val="00265857"/>
    <w:rsid w:val="00265FB8"/>
    <w:rsid w:val="002668B6"/>
    <w:rsid w:val="00266F34"/>
    <w:rsid w:val="002677BA"/>
    <w:rsid w:val="00267F20"/>
    <w:rsid w:val="002706FF"/>
    <w:rsid w:val="002717FA"/>
    <w:rsid w:val="00273D3C"/>
    <w:rsid w:val="002749D4"/>
    <w:rsid w:val="002772B6"/>
    <w:rsid w:val="00277B16"/>
    <w:rsid w:val="00280AFD"/>
    <w:rsid w:val="00280CD6"/>
    <w:rsid w:val="00281521"/>
    <w:rsid w:val="0028171A"/>
    <w:rsid w:val="002817C2"/>
    <w:rsid w:val="00282A3B"/>
    <w:rsid w:val="002839E1"/>
    <w:rsid w:val="00284040"/>
    <w:rsid w:val="002870ED"/>
    <w:rsid w:val="0029002E"/>
    <w:rsid w:val="0029061D"/>
    <w:rsid w:val="00291C33"/>
    <w:rsid w:val="00292141"/>
    <w:rsid w:val="00292B66"/>
    <w:rsid w:val="002934FF"/>
    <w:rsid w:val="00293F23"/>
    <w:rsid w:val="002944FC"/>
    <w:rsid w:val="00294C5F"/>
    <w:rsid w:val="002953A6"/>
    <w:rsid w:val="00295B76"/>
    <w:rsid w:val="002966E9"/>
    <w:rsid w:val="002972C0"/>
    <w:rsid w:val="002979D5"/>
    <w:rsid w:val="00297B84"/>
    <w:rsid w:val="002A14B6"/>
    <w:rsid w:val="002A2220"/>
    <w:rsid w:val="002A2407"/>
    <w:rsid w:val="002A4367"/>
    <w:rsid w:val="002A4485"/>
    <w:rsid w:val="002A4673"/>
    <w:rsid w:val="002A6471"/>
    <w:rsid w:val="002A6D40"/>
    <w:rsid w:val="002A75E7"/>
    <w:rsid w:val="002B0453"/>
    <w:rsid w:val="002B1B96"/>
    <w:rsid w:val="002B2E48"/>
    <w:rsid w:val="002B2EB4"/>
    <w:rsid w:val="002B56C8"/>
    <w:rsid w:val="002B72C4"/>
    <w:rsid w:val="002C0ADB"/>
    <w:rsid w:val="002C18DE"/>
    <w:rsid w:val="002C2506"/>
    <w:rsid w:val="002C25CA"/>
    <w:rsid w:val="002C2EF8"/>
    <w:rsid w:val="002C2FC6"/>
    <w:rsid w:val="002C31EA"/>
    <w:rsid w:val="002C3644"/>
    <w:rsid w:val="002C3AD0"/>
    <w:rsid w:val="002C3F7A"/>
    <w:rsid w:val="002C46D8"/>
    <w:rsid w:val="002C4C1E"/>
    <w:rsid w:val="002C59A6"/>
    <w:rsid w:val="002C5D4B"/>
    <w:rsid w:val="002C5D61"/>
    <w:rsid w:val="002C6502"/>
    <w:rsid w:val="002C7A25"/>
    <w:rsid w:val="002C7D23"/>
    <w:rsid w:val="002D1233"/>
    <w:rsid w:val="002D393E"/>
    <w:rsid w:val="002D3B51"/>
    <w:rsid w:val="002D3BDB"/>
    <w:rsid w:val="002D4447"/>
    <w:rsid w:val="002D4990"/>
    <w:rsid w:val="002D5513"/>
    <w:rsid w:val="002D5B82"/>
    <w:rsid w:val="002D60A3"/>
    <w:rsid w:val="002D6C4D"/>
    <w:rsid w:val="002D70D1"/>
    <w:rsid w:val="002D715E"/>
    <w:rsid w:val="002D7CB0"/>
    <w:rsid w:val="002E1242"/>
    <w:rsid w:val="002E1D1C"/>
    <w:rsid w:val="002E3859"/>
    <w:rsid w:val="002E4691"/>
    <w:rsid w:val="002E49D8"/>
    <w:rsid w:val="002E4A1A"/>
    <w:rsid w:val="002E5688"/>
    <w:rsid w:val="002E65ED"/>
    <w:rsid w:val="002E6851"/>
    <w:rsid w:val="002E6984"/>
    <w:rsid w:val="002E7550"/>
    <w:rsid w:val="002E7647"/>
    <w:rsid w:val="002F0AE1"/>
    <w:rsid w:val="002F2E56"/>
    <w:rsid w:val="002F30F1"/>
    <w:rsid w:val="002F34CA"/>
    <w:rsid w:val="002F3547"/>
    <w:rsid w:val="002F3EAA"/>
    <w:rsid w:val="002F72FD"/>
    <w:rsid w:val="002F7624"/>
    <w:rsid w:val="00300527"/>
    <w:rsid w:val="00300F00"/>
    <w:rsid w:val="00302AD8"/>
    <w:rsid w:val="0030346A"/>
    <w:rsid w:val="00303E1F"/>
    <w:rsid w:val="00304DE9"/>
    <w:rsid w:val="003051FF"/>
    <w:rsid w:val="003053A5"/>
    <w:rsid w:val="00305D84"/>
    <w:rsid w:val="00305E93"/>
    <w:rsid w:val="003073E7"/>
    <w:rsid w:val="00307DEE"/>
    <w:rsid w:val="00310128"/>
    <w:rsid w:val="00311BAF"/>
    <w:rsid w:val="00311C82"/>
    <w:rsid w:val="003129D1"/>
    <w:rsid w:val="00312C01"/>
    <w:rsid w:val="00312F8F"/>
    <w:rsid w:val="00315331"/>
    <w:rsid w:val="00316BF4"/>
    <w:rsid w:val="00317DCE"/>
    <w:rsid w:val="00320D33"/>
    <w:rsid w:val="003210AB"/>
    <w:rsid w:val="003210BF"/>
    <w:rsid w:val="003210C1"/>
    <w:rsid w:val="00321653"/>
    <w:rsid w:val="00321F6C"/>
    <w:rsid w:val="00322069"/>
    <w:rsid w:val="00322547"/>
    <w:rsid w:val="00322CDB"/>
    <w:rsid w:val="00326925"/>
    <w:rsid w:val="003314E1"/>
    <w:rsid w:val="0033161A"/>
    <w:rsid w:val="00333B6D"/>
    <w:rsid w:val="00334321"/>
    <w:rsid w:val="00335255"/>
    <w:rsid w:val="00335269"/>
    <w:rsid w:val="003364A7"/>
    <w:rsid w:val="00336CC3"/>
    <w:rsid w:val="0034053D"/>
    <w:rsid w:val="003406CA"/>
    <w:rsid w:val="003418E7"/>
    <w:rsid w:val="00341D26"/>
    <w:rsid w:val="00341F78"/>
    <w:rsid w:val="003434F0"/>
    <w:rsid w:val="00343653"/>
    <w:rsid w:val="003442CD"/>
    <w:rsid w:val="0034508A"/>
    <w:rsid w:val="003456D4"/>
    <w:rsid w:val="003457BC"/>
    <w:rsid w:val="00346169"/>
    <w:rsid w:val="003502E7"/>
    <w:rsid w:val="0035038D"/>
    <w:rsid w:val="00350457"/>
    <w:rsid w:val="00350848"/>
    <w:rsid w:val="00350DF9"/>
    <w:rsid w:val="00352CC2"/>
    <w:rsid w:val="00352F17"/>
    <w:rsid w:val="00354DEB"/>
    <w:rsid w:val="0035517F"/>
    <w:rsid w:val="0035620F"/>
    <w:rsid w:val="00362139"/>
    <w:rsid w:val="003627FF"/>
    <w:rsid w:val="00363381"/>
    <w:rsid w:val="003635CD"/>
    <w:rsid w:val="00364022"/>
    <w:rsid w:val="00364A3A"/>
    <w:rsid w:val="00365143"/>
    <w:rsid w:val="003654B2"/>
    <w:rsid w:val="003654EA"/>
    <w:rsid w:val="00367199"/>
    <w:rsid w:val="00367212"/>
    <w:rsid w:val="003678D6"/>
    <w:rsid w:val="003712EC"/>
    <w:rsid w:val="003712ED"/>
    <w:rsid w:val="0037187B"/>
    <w:rsid w:val="0037197C"/>
    <w:rsid w:val="00372E6B"/>
    <w:rsid w:val="00373F05"/>
    <w:rsid w:val="003741A1"/>
    <w:rsid w:val="00374F84"/>
    <w:rsid w:val="00375040"/>
    <w:rsid w:val="00375339"/>
    <w:rsid w:val="00375655"/>
    <w:rsid w:val="00375658"/>
    <w:rsid w:val="00375CB9"/>
    <w:rsid w:val="00375D02"/>
    <w:rsid w:val="00375E29"/>
    <w:rsid w:val="00375F00"/>
    <w:rsid w:val="00375F51"/>
    <w:rsid w:val="00376344"/>
    <w:rsid w:val="003765D3"/>
    <w:rsid w:val="00377B44"/>
    <w:rsid w:val="00380007"/>
    <w:rsid w:val="00380C26"/>
    <w:rsid w:val="00381089"/>
    <w:rsid w:val="003811FC"/>
    <w:rsid w:val="00381426"/>
    <w:rsid w:val="00381AAD"/>
    <w:rsid w:val="00382073"/>
    <w:rsid w:val="00382802"/>
    <w:rsid w:val="00382D0B"/>
    <w:rsid w:val="00383ACD"/>
    <w:rsid w:val="00383B97"/>
    <w:rsid w:val="003843A9"/>
    <w:rsid w:val="003872F6"/>
    <w:rsid w:val="00387781"/>
    <w:rsid w:val="0038789B"/>
    <w:rsid w:val="00390091"/>
    <w:rsid w:val="00390934"/>
    <w:rsid w:val="003910B4"/>
    <w:rsid w:val="00391969"/>
    <w:rsid w:val="00392863"/>
    <w:rsid w:val="003929AB"/>
    <w:rsid w:val="00392CF2"/>
    <w:rsid w:val="00393A38"/>
    <w:rsid w:val="00393E73"/>
    <w:rsid w:val="0039405C"/>
    <w:rsid w:val="00394122"/>
    <w:rsid w:val="00394480"/>
    <w:rsid w:val="0039559C"/>
    <w:rsid w:val="003A2BE6"/>
    <w:rsid w:val="003A2FF8"/>
    <w:rsid w:val="003A36F4"/>
    <w:rsid w:val="003A461E"/>
    <w:rsid w:val="003A5B97"/>
    <w:rsid w:val="003A6127"/>
    <w:rsid w:val="003A6742"/>
    <w:rsid w:val="003A78C4"/>
    <w:rsid w:val="003A79C1"/>
    <w:rsid w:val="003A7BAC"/>
    <w:rsid w:val="003B041A"/>
    <w:rsid w:val="003B2AB0"/>
    <w:rsid w:val="003B3F20"/>
    <w:rsid w:val="003B4CD4"/>
    <w:rsid w:val="003B5682"/>
    <w:rsid w:val="003B6803"/>
    <w:rsid w:val="003B69D5"/>
    <w:rsid w:val="003B78C6"/>
    <w:rsid w:val="003B7A71"/>
    <w:rsid w:val="003C0ED0"/>
    <w:rsid w:val="003C2C8D"/>
    <w:rsid w:val="003C3275"/>
    <w:rsid w:val="003C3352"/>
    <w:rsid w:val="003C36B4"/>
    <w:rsid w:val="003C3D46"/>
    <w:rsid w:val="003C3FAE"/>
    <w:rsid w:val="003C4807"/>
    <w:rsid w:val="003C5410"/>
    <w:rsid w:val="003C5839"/>
    <w:rsid w:val="003C5B01"/>
    <w:rsid w:val="003C61FB"/>
    <w:rsid w:val="003C6CDD"/>
    <w:rsid w:val="003C6E65"/>
    <w:rsid w:val="003C728D"/>
    <w:rsid w:val="003C7F59"/>
    <w:rsid w:val="003D1AA7"/>
    <w:rsid w:val="003D1FE3"/>
    <w:rsid w:val="003D33C9"/>
    <w:rsid w:val="003D352C"/>
    <w:rsid w:val="003D3871"/>
    <w:rsid w:val="003D39BB"/>
    <w:rsid w:val="003D4415"/>
    <w:rsid w:val="003D6655"/>
    <w:rsid w:val="003D6BB0"/>
    <w:rsid w:val="003E040E"/>
    <w:rsid w:val="003E0799"/>
    <w:rsid w:val="003E1845"/>
    <w:rsid w:val="003E3D84"/>
    <w:rsid w:val="003E3DDC"/>
    <w:rsid w:val="003E53ED"/>
    <w:rsid w:val="003E58D6"/>
    <w:rsid w:val="003E6E04"/>
    <w:rsid w:val="003E70B2"/>
    <w:rsid w:val="003E7443"/>
    <w:rsid w:val="003E76BB"/>
    <w:rsid w:val="003F0324"/>
    <w:rsid w:val="003F202D"/>
    <w:rsid w:val="003F2304"/>
    <w:rsid w:val="003F2436"/>
    <w:rsid w:val="003F24A4"/>
    <w:rsid w:val="003F273F"/>
    <w:rsid w:val="003F3887"/>
    <w:rsid w:val="003F3F1E"/>
    <w:rsid w:val="003F4924"/>
    <w:rsid w:val="003F4D41"/>
    <w:rsid w:val="003F5236"/>
    <w:rsid w:val="003F5AD8"/>
    <w:rsid w:val="00401CCE"/>
    <w:rsid w:val="00401EF6"/>
    <w:rsid w:val="004028A7"/>
    <w:rsid w:val="00402A6C"/>
    <w:rsid w:val="00402B65"/>
    <w:rsid w:val="00403C4B"/>
    <w:rsid w:val="00403D67"/>
    <w:rsid w:val="00404B57"/>
    <w:rsid w:val="00404F36"/>
    <w:rsid w:val="00406143"/>
    <w:rsid w:val="00407751"/>
    <w:rsid w:val="0041076D"/>
    <w:rsid w:val="00410C6A"/>
    <w:rsid w:val="00411018"/>
    <w:rsid w:val="00411BA5"/>
    <w:rsid w:val="0041207B"/>
    <w:rsid w:val="00412457"/>
    <w:rsid w:val="0041417F"/>
    <w:rsid w:val="004150D4"/>
    <w:rsid w:val="00415911"/>
    <w:rsid w:val="004177D3"/>
    <w:rsid w:val="004207F6"/>
    <w:rsid w:val="004215F1"/>
    <w:rsid w:val="004222B5"/>
    <w:rsid w:val="00422400"/>
    <w:rsid w:val="00422557"/>
    <w:rsid w:val="00422906"/>
    <w:rsid w:val="00422920"/>
    <w:rsid w:val="00422CC6"/>
    <w:rsid w:val="00422FB7"/>
    <w:rsid w:val="00424FD4"/>
    <w:rsid w:val="00427B51"/>
    <w:rsid w:val="00427C64"/>
    <w:rsid w:val="00430573"/>
    <w:rsid w:val="00431CF2"/>
    <w:rsid w:val="00431D5A"/>
    <w:rsid w:val="00432030"/>
    <w:rsid w:val="004320BA"/>
    <w:rsid w:val="00432120"/>
    <w:rsid w:val="0043232C"/>
    <w:rsid w:val="004326D9"/>
    <w:rsid w:val="00432B48"/>
    <w:rsid w:val="004330E1"/>
    <w:rsid w:val="00433213"/>
    <w:rsid w:val="004342F6"/>
    <w:rsid w:val="00434596"/>
    <w:rsid w:val="00435432"/>
    <w:rsid w:val="00435490"/>
    <w:rsid w:val="00437581"/>
    <w:rsid w:val="004401DF"/>
    <w:rsid w:val="00440C26"/>
    <w:rsid w:val="00442033"/>
    <w:rsid w:val="00442A18"/>
    <w:rsid w:val="0044300B"/>
    <w:rsid w:val="00443C0D"/>
    <w:rsid w:val="00443C80"/>
    <w:rsid w:val="00443ED5"/>
    <w:rsid w:val="0044475D"/>
    <w:rsid w:val="0044482C"/>
    <w:rsid w:val="00444CA6"/>
    <w:rsid w:val="00444D05"/>
    <w:rsid w:val="00445F5E"/>
    <w:rsid w:val="004473D8"/>
    <w:rsid w:val="0044786F"/>
    <w:rsid w:val="00447AB2"/>
    <w:rsid w:val="00447B06"/>
    <w:rsid w:val="0045069F"/>
    <w:rsid w:val="00451106"/>
    <w:rsid w:val="00451A70"/>
    <w:rsid w:val="00451B54"/>
    <w:rsid w:val="004521E1"/>
    <w:rsid w:val="00452674"/>
    <w:rsid w:val="004534EE"/>
    <w:rsid w:val="004548FF"/>
    <w:rsid w:val="004549D2"/>
    <w:rsid w:val="004553E7"/>
    <w:rsid w:val="004560A7"/>
    <w:rsid w:val="004561BD"/>
    <w:rsid w:val="00456347"/>
    <w:rsid w:val="00456DE5"/>
    <w:rsid w:val="00457F42"/>
    <w:rsid w:val="0046062A"/>
    <w:rsid w:val="004608EC"/>
    <w:rsid w:val="0046147B"/>
    <w:rsid w:val="00461926"/>
    <w:rsid w:val="0046286B"/>
    <w:rsid w:val="00462C9B"/>
    <w:rsid w:val="00463A6E"/>
    <w:rsid w:val="00463F7E"/>
    <w:rsid w:val="004649FD"/>
    <w:rsid w:val="00464F79"/>
    <w:rsid w:val="00465462"/>
    <w:rsid w:val="00465510"/>
    <w:rsid w:val="00465EBF"/>
    <w:rsid w:val="004666A7"/>
    <w:rsid w:val="00466C5F"/>
    <w:rsid w:val="004679FC"/>
    <w:rsid w:val="00467B03"/>
    <w:rsid w:val="004707E3"/>
    <w:rsid w:val="00470D3C"/>
    <w:rsid w:val="00470F80"/>
    <w:rsid w:val="00471177"/>
    <w:rsid w:val="00471B90"/>
    <w:rsid w:val="004725AB"/>
    <w:rsid w:val="004732CC"/>
    <w:rsid w:val="00473962"/>
    <w:rsid w:val="004740E6"/>
    <w:rsid w:val="00474FEA"/>
    <w:rsid w:val="00475DC3"/>
    <w:rsid w:val="00475E45"/>
    <w:rsid w:val="004805F5"/>
    <w:rsid w:val="00480875"/>
    <w:rsid w:val="00481F50"/>
    <w:rsid w:val="00482FE7"/>
    <w:rsid w:val="0048318E"/>
    <w:rsid w:val="004833BA"/>
    <w:rsid w:val="004834FA"/>
    <w:rsid w:val="004839B6"/>
    <w:rsid w:val="00483FFE"/>
    <w:rsid w:val="004842C5"/>
    <w:rsid w:val="00485EBB"/>
    <w:rsid w:val="0048687A"/>
    <w:rsid w:val="004869C8"/>
    <w:rsid w:val="00487057"/>
    <w:rsid w:val="00490451"/>
    <w:rsid w:val="00490B99"/>
    <w:rsid w:val="00491D39"/>
    <w:rsid w:val="0049200D"/>
    <w:rsid w:val="00492202"/>
    <w:rsid w:val="00492974"/>
    <w:rsid w:val="00493D53"/>
    <w:rsid w:val="00494397"/>
    <w:rsid w:val="00494A40"/>
    <w:rsid w:val="0049566D"/>
    <w:rsid w:val="00495EB1"/>
    <w:rsid w:val="00496373"/>
    <w:rsid w:val="00496552"/>
    <w:rsid w:val="00496799"/>
    <w:rsid w:val="00496CFE"/>
    <w:rsid w:val="004A0813"/>
    <w:rsid w:val="004A3177"/>
    <w:rsid w:val="004A434D"/>
    <w:rsid w:val="004A4361"/>
    <w:rsid w:val="004A478F"/>
    <w:rsid w:val="004A54F7"/>
    <w:rsid w:val="004A5AE5"/>
    <w:rsid w:val="004A6990"/>
    <w:rsid w:val="004A7A0C"/>
    <w:rsid w:val="004A7EA3"/>
    <w:rsid w:val="004B0020"/>
    <w:rsid w:val="004B0173"/>
    <w:rsid w:val="004B1E65"/>
    <w:rsid w:val="004B366B"/>
    <w:rsid w:val="004B3745"/>
    <w:rsid w:val="004B48CA"/>
    <w:rsid w:val="004B50AF"/>
    <w:rsid w:val="004B5309"/>
    <w:rsid w:val="004B58C8"/>
    <w:rsid w:val="004B5996"/>
    <w:rsid w:val="004B7180"/>
    <w:rsid w:val="004B71DE"/>
    <w:rsid w:val="004B73D1"/>
    <w:rsid w:val="004B7521"/>
    <w:rsid w:val="004B7B82"/>
    <w:rsid w:val="004C04C2"/>
    <w:rsid w:val="004C12CA"/>
    <w:rsid w:val="004C248D"/>
    <w:rsid w:val="004C2AEB"/>
    <w:rsid w:val="004C482E"/>
    <w:rsid w:val="004C5D40"/>
    <w:rsid w:val="004C65AF"/>
    <w:rsid w:val="004C65E6"/>
    <w:rsid w:val="004C68BB"/>
    <w:rsid w:val="004C68E5"/>
    <w:rsid w:val="004C7472"/>
    <w:rsid w:val="004C75A0"/>
    <w:rsid w:val="004C79CA"/>
    <w:rsid w:val="004D1278"/>
    <w:rsid w:val="004D1A37"/>
    <w:rsid w:val="004D1AD3"/>
    <w:rsid w:val="004D43A5"/>
    <w:rsid w:val="004D500F"/>
    <w:rsid w:val="004D5C6C"/>
    <w:rsid w:val="004E1AA5"/>
    <w:rsid w:val="004E2B1C"/>
    <w:rsid w:val="004E49E7"/>
    <w:rsid w:val="004E6D87"/>
    <w:rsid w:val="004F107D"/>
    <w:rsid w:val="004F11DA"/>
    <w:rsid w:val="004F1B34"/>
    <w:rsid w:val="004F417D"/>
    <w:rsid w:val="004F4D4D"/>
    <w:rsid w:val="004F4DCD"/>
    <w:rsid w:val="004F52B4"/>
    <w:rsid w:val="004F6036"/>
    <w:rsid w:val="004F6225"/>
    <w:rsid w:val="004F6964"/>
    <w:rsid w:val="004F6B6B"/>
    <w:rsid w:val="004F78A5"/>
    <w:rsid w:val="00500719"/>
    <w:rsid w:val="00500DCD"/>
    <w:rsid w:val="00500FA2"/>
    <w:rsid w:val="0050126F"/>
    <w:rsid w:val="00501BA1"/>
    <w:rsid w:val="00501D94"/>
    <w:rsid w:val="00502BD0"/>
    <w:rsid w:val="005033CB"/>
    <w:rsid w:val="005033DD"/>
    <w:rsid w:val="0050674F"/>
    <w:rsid w:val="00506B46"/>
    <w:rsid w:val="00507AC6"/>
    <w:rsid w:val="005100DC"/>
    <w:rsid w:val="00510205"/>
    <w:rsid w:val="0051084C"/>
    <w:rsid w:val="005114BD"/>
    <w:rsid w:val="005117CC"/>
    <w:rsid w:val="005122E9"/>
    <w:rsid w:val="00512A19"/>
    <w:rsid w:val="00513B53"/>
    <w:rsid w:val="00513B80"/>
    <w:rsid w:val="00513C51"/>
    <w:rsid w:val="00513F21"/>
    <w:rsid w:val="005161C0"/>
    <w:rsid w:val="005167AA"/>
    <w:rsid w:val="00517967"/>
    <w:rsid w:val="00520D8A"/>
    <w:rsid w:val="005222D2"/>
    <w:rsid w:val="00523B96"/>
    <w:rsid w:val="00524AF6"/>
    <w:rsid w:val="00525C5E"/>
    <w:rsid w:val="00526237"/>
    <w:rsid w:val="00526286"/>
    <w:rsid w:val="00526A67"/>
    <w:rsid w:val="00531386"/>
    <w:rsid w:val="005358DB"/>
    <w:rsid w:val="005367C6"/>
    <w:rsid w:val="00537326"/>
    <w:rsid w:val="005406A5"/>
    <w:rsid w:val="00540739"/>
    <w:rsid w:val="0054149D"/>
    <w:rsid w:val="0054155A"/>
    <w:rsid w:val="00541D90"/>
    <w:rsid w:val="00541E9B"/>
    <w:rsid w:val="00541FA5"/>
    <w:rsid w:val="00542500"/>
    <w:rsid w:val="00543D0D"/>
    <w:rsid w:val="00543F21"/>
    <w:rsid w:val="0054400F"/>
    <w:rsid w:val="005441A9"/>
    <w:rsid w:val="00544659"/>
    <w:rsid w:val="0054485A"/>
    <w:rsid w:val="00544ABA"/>
    <w:rsid w:val="005451CE"/>
    <w:rsid w:val="005455E7"/>
    <w:rsid w:val="00546756"/>
    <w:rsid w:val="0054675C"/>
    <w:rsid w:val="00547705"/>
    <w:rsid w:val="005478AD"/>
    <w:rsid w:val="005504F1"/>
    <w:rsid w:val="0055080C"/>
    <w:rsid w:val="00550B3C"/>
    <w:rsid w:val="00552734"/>
    <w:rsid w:val="00552BB8"/>
    <w:rsid w:val="00552DE3"/>
    <w:rsid w:val="00553359"/>
    <w:rsid w:val="005535CA"/>
    <w:rsid w:val="00554FE1"/>
    <w:rsid w:val="00555331"/>
    <w:rsid w:val="00555589"/>
    <w:rsid w:val="00557111"/>
    <w:rsid w:val="00557BA6"/>
    <w:rsid w:val="00557D02"/>
    <w:rsid w:val="00560112"/>
    <w:rsid w:val="00560D51"/>
    <w:rsid w:val="00560E26"/>
    <w:rsid w:val="005611F8"/>
    <w:rsid w:val="005635C0"/>
    <w:rsid w:val="00563B9F"/>
    <w:rsid w:val="00563DD4"/>
    <w:rsid w:val="00564424"/>
    <w:rsid w:val="00564571"/>
    <w:rsid w:val="00564EC8"/>
    <w:rsid w:val="00565DC3"/>
    <w:rsid w:val="00566FD3"/>
    <w:rsid w:val="00570A52"/>
    <w:rsid w:val="00570A74"/>
    <w:rsid w:val="0057107C"/>
    <w:rsid w:val="00572269"/>
    <w:rsid w:val="00572E7C"/>
    <w:rsid w:val="005730C3"/>
    <w:rsid w:val="005748A5"/>
    <w:rsid w:val="00574A9E"/>
    <w:rsid w:val="00574B03"/>
    <w:rsid w:val="00574DE0"/>
    <w:rsid w:val="0058091E"/>
    <w:rsid w:val="00580A09"/>
    <w:rsid w:val="005811A4"/>
    <w:rsid w:val="0058133C"/>
    <w:rsid w:val="00581B19"/>
    <w:rsid w:val="00582357"/>
    <w:rsid w:val="005828C2"/>
    <w:rsid w:val="00583467"/>
    <w:rsid w:val="00583848"/>
    <w:rsid w:val="005849CE"/>
    <w:rsid w:val="00584D01"/>
    <w:rsid w:val="00586215"/>
    <w:rsid w:val="005873B0"/>
    <w:rsid w:val="005905E7"/>
    <w:rsid w:val="00590749"/>
    <w:rsid w:val="005907B4"/>
    <w:rsid w:val="00590D05"/>
    <w:rsid w:val="00591776"/>
    <w:rsid w:val="005922A3"/>
    <w:rsid w:val="00592584"/>
    <w:rsid w:val="005926AD"/>
    <w:rsid w:val="00593017"/>
    <w:rsid w:val="00593F79"/>
    <w:rsid w:val="0059514A"/>
    <w:rsid w:val="005963C6"/>
    <w:rsid w:val="005967AC"/>
    <w:rsid w:val="00596833"/>
    <w:rsid w:val="0059751F"/>
    <w:rsid w:val="005A0024"/>
    <w:rsid w:val="005A01F3"/>
    <w:rsid w:val="005A0770"/>
    <w:rsid w:val="005A07C7"/>
    <w:rsid w:val="005A0B5A"/>
    <w:rsid w:val="005A2B6A"/>
    <w:rsid w:val="005A2D38"/>
    <w:rsid w:val="005A2F90"/>
    <w:rsid w:val="005A348D"/>
    <w:rsid w:val="005A52CC"/>
    <w:rsid w:val="005A5312"/>
    <w:rsid w:val="005A5B11"/>
    <w:rsid w:val="005A650B"/>
    <w:rsid w:val="005A6E6E"/>
    <w:rsid w:val="005B01F7"/>
    <w:rsid w:val="005B0382"/>
    <w:rsid w:val="005B1538"/>
    <w:rsid w:val="005B19F4"/>
    <w:rsid w:val="005B1B40"/>
    <w:rsid w:val="005B22D5"/>
    <w:rsid w:val="005B2564"/>
    <w:rsid w:val="005B31F0"/>
    <w:rsid w:val="005B32D9"/>
    <w:rsid w:val="005B34C8"/>
    <w:rsid w:val="005B350A"/>
    <w:rsid w:val="005B3909"/>
    <w:rsid w:val="005B39C0"/>
    <w:rsid w:val="005B3E74"/>
    <w:rsid w:val="005B4665"/>
    <w:rsid w:val="005B4ABE"/>
    <w:rsid w:val="005B564D"/>
    <w:rsid w:val="005B6626"/>
    <w:rsid w:val="005B6804"/>
    <w:rsid w:val="005B7376"/>
    <w:rsid w:val="005B79CC"/>
    <w:rsid w:val="005C125E"/>
    <w:rsid w:val="005C12BB"/>
    <w:rsid w:val="005C238A"/>
    <w:rsid w:val="005C346C"/>
    <w:rsid w:val="005C5289"/>
    <w:rsid w:val="005C52D2"/>
    <w:rsid w:val="005C67AC"/>
    <w:rsid w:val="005C6D52"/>
    <w:rsid w:val="005C7110"/>
    <w:rsid w:val="005C7803"/>
    <w:rsid w:val="005D0734"/>
    <w:rsid w:val="005D07AD"/>
    <w:rsid w:val="005D0B4D"/>
    <w:rsid w:val="005D0B91"/>
    <w:rsid w:val="005D1E03"/>
    <w:rsid w:val="005D2868"/>
    <w:rsid w:val="005D2A49"/>
    <w:rsid w:val="005D2BA6"/>
    <w:rsid w:val="005D31C9"/>
    <w:rsid w:val="005D33E6"/>
    <w:rsid w:val="005D6743"/>
    <w:rsid w:val="005D69A0"/>
    <w:rsid w:val="005D6A55"/>
    <w:rsid w:val="005D74AC"/>
    <w:rsid w:val="005D78E8"/>
    <w:rsid w:val="005E0945"/>
    <w:rsid w:val="005E12E2"/>
    <w:rsid w:val="005E1D30"/>
    <w:rsid w:val="005E2C94"/>
    <w:rsid w:val="005E2F20"/>
    <w:rsid w:val="005E3023"/>
    <w:rsid w:val="005E32B8"/>
    <w:rsid w:val="005E3C8B"/>
    <w:rsid w:val="005E5819"/>
    <w:rsid w:val="005E58CD"/>
    <w:rsid w:val="005E59FC"/>
    <w:rsid w:val="005E5D54"/>
    <w:rsid w:val="005E7501"/>
    <w:rsid w:val="005E78D9"/>
    <w:rsid w:val="005F12E5"/>
    <w:rsid w:val="005F27A3"/>
    <w:rsid w:val="005F385E"/>
    <w:rsid w:val="005F3D66"/>
    <w:rsid w:val="005F640E"/>
    <w:rsid w:val="005F67A0"/>
    <w:rsid w:val="005F6AA3"/>
    <w:rsid w:val="005F75D9"/>
    <w:rsid w:val="005F7E1F"/>
    <w:rsid w:val="00600D7F"/>
    <w:rsid w:val="00601029"/>
    <w:rsid w:val="006012F7"/>
    <w:rsid w:val="006019F2"/>
    <w:rsid w:val="00601C6D"/>
    <w:rsid w:val="00601F07"/>
    <w:rsid w:val="0060260F"/>
    <w:rsid w:val="006027B7"/>
    <w:rsid w:val="0060283D"/>
    <w:rsid w:val="0060291E"/>
    <w:rsid w:val="006038C1"/>
    <w:rsid w:val="00603C6B"/>
    <w:rsid w:val="006045B3"/>
    <w:rsid w:val="00604631"/>
    <w:rsid w:val="00604BF5"/>
    <w:rsid w:val="00605E9E"/>
    <w:rsid w:val="006073B9"/>
    <w:rsid w:val="00607E68"/>
    <w:rsid w:val="006105BA"/>
    <w:rsid w:val="00610D76"/>
    <w:rsid w:val="00610EC8"/>
    <w:rsid w:val="00611A0E"/>
    <w:rsid w:val="00611ED9"/>
    <w:rsid w:val="006125E6"/>
    <w:rsid w:val="00613DD4"/>
    <w:rsid w:val="006144C7"/>
    <w:rsid w:val="00614F5D"/>
    <w:rsid w:val="0061601E"/>
    <w:rsid w:val="00617B60"/>
    <w:rsid w:val="00617F32"/>
    <w:rsid w:val="006201F8"/>
    <w:rsid w:val="00620833"/>
    <w:rsid w:val="00620A58"/>
    <w:rsid w:val="00621585"/>
    <w:rsid w:val="00621F1E"/>
    <w:rsid w:val="006228BE"/>
    <w:rsid w:val="00622DC1"/>
    <w:rsid w:val="00624C8B"/>
    <w:rsid w:val="00624FE2"/>
    <w:rsid w:val="00625076"/>
    <w:rsid w:val="006257CD"/>
    <w:rsid w:val="00627C10"/>
    <w:rsid w:val="00630651"/>
    <w:rsid w:val="00630D00"/>
    <w:rsid w:val="00631380"/>
    <w:rsid w:val="006319EF"/>
    <w:rsid w:val="006325C5"/>
    <w:rsid w:val="00632D76"/>
    <w:rsid w:val="006337D1"/>
    <w:rsid w:val="00633F17"/>
    <w:rsid w:val="00635305"/>
    <w:rsid w:val="00635354"/>
    <w:rsid w:val="00635655"/>
    <w:rsid w:val="0063637E"/>
    <w:rsid w:val="00636CB0"/>
    <w:rsid w:val="00636D96"/>
    <w:rsid w:val="0063749B"/>
    <w:rsid w:val="00637919"/>
    <w:rsid w:val="00637D4B"/>
    <w:rsid w:val="00640FF6"/>
    <w:rsid w:val="00641C07"/>
    <w:rsid w:val="00642199"/>
    <w:rsid w:val="00642678"/>
    <w:rsid w:val="00645273"/>
    <w:rsid w:val="00645C1B"/>
    <w:rsid w:val="006469D2"/>
    <w:rsid w:val="006469E7"/>
    <w:rsid w:val="00646F99"/>
    <w:rsid w:val="006471FB"/>
    <w:rsid w:val="00647A27"/>
    <w:rsid w:val="00650F7D"/>
    <w:rsid w:val="00652C8D"/>
    <w:rsid w:val="0065324F"/>
    <w:rsid w:val="006535BC"/>
    <w:rsid w:val="00653D9E"/>
    <w:rsid w:val="006549EB"/>
    <w:rsid w:val="00656060"/>
    <w:rsid w:val="006569E3"/>
    <w:rsid w:val="00660BE2"/>
    <w:rsid w:val="00660DE1"/>
    <w:rsid w:val="0066113D"/>
    <w:rsid w:val="006613BE"/>
    <w:rsid w:val="006630DA"/>
    <w:rsid w:val="00663F62"/>
    <w:rsid w:val="0066453A"/>
    <w:rsid w:val="0066470A"/>
    <w:rsid w:val="00664E88"/>
    <w:rsid w:val="00665BD9"/>
    <w:rsid w:val="0066606D"/>
    <w:rsid w:val="0066670D"/>
    <w:rsid w:val="00666C42"/>
    <w:rsid w:val="006670B1"/>
    <w:rsid w:val="00667373"/>
    <w:rsid w:val="0067034B"/>
    <w:rsid w:val="00670364"/>
    <w:rsid w:val="00670557"/>
    <w:rsid w:val="00670626"/>
    <w:rsid w:val="00671165"/>
    <w:rsid w:val="0067190E"/>
    <w:rsid w:val="00671AF4"/>
    <w:rsid w:val="00671C63"/>
    <w:rsid w:val="0067266E"/>
    <w:rsid w:val="00673780"/>
    <w:rsid w:val="00673AC7"/>
    <w:rsid w:val="006746CE"/>
    <w:rsid w:val="006763ED"/>
    <w:rsid w:val="006763F9"/>
    <w:rsid w:val="0067656B"/>
    <w:rsid w:val="00676674"/>
    <w:rsid w:val="00676A46"/>
    <w:rsid w:val="0068025E"/>
    <w:rsid w:val="00681388"/>
    <w:rsid w:val="00682CF2"/>
    <w:rsid w:val="00683205"/>
    <w:rsid w:val="00683510"/>
    <w:rsid w:val="00683E74"/>
    <w:rsid w:val="006844BF"/>
    <w:rsid w:val="006844C8"/>
    <w:rsid w:val="0068531E"/>
    <w:rsid w:val="00685B61"/>
    <w:rsid w:val="00686D5A"/>
    <w:rsid w:val="0068731F"/>
    <w:rsid w:val="00687500"/>
    <w:rsid w:val="00687E56"/>
    <w:rsid w:val="0069065C"/>
    <w:rsid w:val="00691185"/>
    <w:rsid w:val="006912CC"/>
    <w:rsid w:val="0069172F"/>
    <w:rsid w:val="0069225B"/>
    <w:rsid w:val="0069429C"/>
    <w:rsid w:val="00694FB1"/>
    <w:rsid w:val="00695929"/>
    <w:rsid w:val="00695B31"/>
    <w:rsid w:val="00697258"/>
    <w:rsid w:val="006A0DB1"/>
    <w:rsid w:val="006A0EEB"/>
    <w:rsid w:val="006A2057"/>
    <w:rsid w:val="006A2A34"/>
    <w:rsid w:val="006A2DEE"/>
    <w:rsid w:val="006A48C5"/>
    <w:rsid w:val="006A4AE7"/>
    <w:rsid w:val="006A4F11"/>
    <w:rsid w:val="006A4FB1"/>
    <w:rsid w:val="006A5F3C"/>
    <w:rsid w:val="006A61D4"/>
    <w:rsid w:val="006A6605"/>
    <w:rsid w:val="006A72A2"/>
    <w:rsid w:val="006A7672"/>
    <w:rsid w:val="006B04AD"/>
    <w:rsid w:val="006B1F2B"/>
    <w:rsid w:val="006B3661"/>
    <w:rsid w:val="006B3AD4"/>
    <w:rsid w:val="006B3BA3"/>
    <w:rsid w:val="006B3D70"/>
    <w:rsid w:val="006B3DEB"/>
    <w:rsid w:val="006B4F53"/>
    <w:rsid w:val="006B57A7"/>
    <w:rsid w:val="006B5838"/>
    <w:rsid w:val="006B638F"/>
    <w:rsid w:val="006B70FF"/>
    <w:rsid w:val="006B7433"/>
    <w:rsid w:val="006B74FE"/>
    <w:rsid w:val="006C1A52"/>
    <w:rsid w:val="006C2466"/>
    <w:rsid w:val="006C31DB"/>
    <w:rsid w:val="006C3C7F"/>
    <w:rsid w:val="006C3F9A"/>
    <w:rsid w:val="006C3FD4"/>
    <w:rsid w:val="006C79A3"/>
    <w:rsid w:val="006C7B9B"/>
    <w:rsid w:val="006D0DA4"/>
    <w:rsid w:val="006D0DB5"/>
    <w:rsid w:val="006D1038"/>
    <w:rsid w:val="006D1FD7"/>
    <w:rsid w:val="006D2291"/>
    <w:rsid w:val="006D255D"/>
    <w:rsid w:val="006D25C1"/>
    <w:rsid w:val="006D35FB"/>
    <w:rsid w:val="006D55E3"/>
    <w:rsid w:val="006D7550"/>
    <w:rsid w:val="006D7C87"/>
    <w:rsid w:val="006E09C8"/>
    <w:rsid w:val="006E178E"/>
    <w:rsid w:val="006E2916"/>
    <w:rsid w:val="006E2C44"/>
    <w:rsid w:val="006E2DB8"/>
    <w:rsid w:val="006E4399"/>
    <w:rsid w:val="006E4921"/>
    <w:rsid w:val="006E5824"/>
    <w:rsid w:val="006E5979"/>
    <w:rsid w:val="006E651C"/>
    <w:rsid w:val="006E6555"/>
    <w:rsid w:val="006E69E0"/>
    <w:rsid w:val="006E6E92"/>
    <w:rsid w:val="006F0134"/>
    <w:rsid w:val="006F0394"/>
    <w:rsid w:val="006F0681"/>
    <w:rsid w:val="006F0E07"/>
    <w:rsid w:val="006F128B"/>
    <w:rsid w:val="006F1ED0"/>
    <w:rsid w:val="006F2F7F"/>
    <w:rsid w:val="006F3F86"/>
    <w:rsid w:val="006F404F"/>
    <w:rsid w:val="006F4EE4"/>
    <w:rsid w:val="006F585C"/>
    <w:rsid w:val="006F6636"/>
    <w:rsid w:val="006F731A"/>
    <w:rsid w:val="006F739D"/>
    <w:rsid w:val="006F79A8"/>
    <w:rsid w:val="00701873"/>
    <w:rsid w:val="00702007"/>
    <w:rsid w:val="00704367"/>
    <w:rsid w:val="0070436F"/>
    <w:rsid w:val="0070480A"/>
    <w:rsid w:val="00704AC7"/>
    <w:rsid w:val="0070522D"/>
    <w:rsid w:val="00705791"/>
    <w:rsid w:val="00705B18"/>
    <w:rsid w:val="00705EA7"/>
    <w:rsid w:val="007065B1"/>
    <w:rsid w:val="00706747"/>
    <w:rsid w:val="007070DA"/>
    <w:rsid w:val="007074DA"/>
    <w:rsid w:val="00707A8A"/>
    <w:rsid w:val="00707A8D"/>
    <w:rsid w:val="00707B79"/>
    <w:rsid w:val="00707EBB"/>
    <w:rsid w:val="00710B65"/>
    <w:rsid w:val="00710F00"/>
    <w:rsid w:val="00711871"/>
    <w:rsid w:val="00712039"/>
    <w:rsid w:val="0071243D"/>
    <w:rsid w:val="00713C96"/>
    <w:rsid w:val="00714557"/>
    <w:rsid w:val="00714C31"/>
    <w:rsid w:val="00714D2A"/>
    <w:rsid w:val="00716BFC"/>
    <w:rsid w:val="00716CD1"/>
    <w:rsid w:val="00716E1F"/>
    <w:rsid w:val="00721109"/>
    <w:rsid w:val="00721AAB"/>
    <w:rsid w:val="00724071"/>
    <w:rsid w:val="007243BC"/>
    <w:rsid w:val="00724D26"/>
    <w:rsid w:val="00725A1D"/>
    <w:rsid w:val="0072661A"/>
    <w:rsid w:val="00727E0F"/>
    <w:rsid w:val="00730419"/>
    <w:rsid w:val="0073251A"/>
    <w:rsid w:val="00732ED3"/>
    <w:rsid w:val="00733801"/>
    <w:rsid w:val="00733815"/>
    <w:rsid w:val="00733A9E"/>
    <w:rsid w:val="007351B3"/>
    <w:rsid w:val="0073563C"/>
    <w:rsid w:val="00735965"/>
    <w:rsid w:val="00736310"/>
    <w:rsid w:val="00736440"/>
    <w:rsid w:val="00740059"/>
    <w:rsid w:val="00740A35"/>
    <w:rsid w:val="00740FE7"/>
    <w:rsid w:val="00741306"/>
    <w:rsid w:val="00742474"/>
    <w:rsid w:val="007435A1"/>
    <w:rsid w:val="00743ED8"/>
    <w:rsid w:val="007440AB"/>
    <w:rsid w:val="00744411"/>
    <w:rsid w:val="00745B00"/>
    <w:rsid w:val="00745CD4"/>
    <w:rsid w:val="007465BD"/>
    <w:rsid w:val="00747365"/>
    <w:rsid w:val="007500B8"/>
    <w:rsid w:val="00750A00"/>
    <w:rsid w:val="00750C51"/>
    <w:rsid w:val="00750F77"/>
    <w:rsid w:val="007515D0"/>
    <w:rsid w:val="00752792"/>
    <w:rsid w:val="00752D4C"/>
    <w:rsid w:val="00752DC8"/>
    <w:rsid w:val="00753888"/>
    <w:rsid w:val="00753C5B"/>
    <w:rsid w:val="00754450"/>
    <w:rsid w:val="0075492C"/>
    <w:rsid w:val="00754DF4"/>
    <w:rsid w:val="00755E0C"/>
    <w:rsid w:val="00756382"/>
    <w:rsid w:val="00757274"/>
    <w:rsid w:val="0076366E"/>
    <w:rsid w:val="00763B35"/>
    <w:rsid w:val="00764404"/>
    <w:rsid w:val="00764877"/>
    <w:rsid w:val="0076491F"/>
    <w:rsid w:val="00766A99"/>
    <w:rsid w:val="007676DC"/>
    <w:rsid w:val="00767AE4"/>
    <w:rsid w:val="00770A23"/>
    <w:rsid w:val="0077174E"/>
    <w:rsid w:val="0077225D"/>
    <w:rsid w:val="00772F9A"/>
    <w:rsid w:val="007735D7"/>
    <w:rsid w:val="00773E0E"/>
    <w:rsid w:val="00774431"/>
    <w:rsid w:val="007747DD"/>
    <w:rsid w:val="00774A14"/>
    <w:rsid w:val="00775A7B"/>
    <w:rsid w:val="00775FBB"/>
    <w:rsid w:val="00776804"/>
    <w:rsid w:val="0077732D"/>
    <w:rsid w:val="00777582"/>
    <w:rsid w:val="00777658"/>
    <w:rsid w:val="007776D4"/>
    <w:rsid w:val="007800B0"/>
    <w:rsid w:val="0078060F"/>
    <w:rsid w:val="00780BBF"/>
    <w:rsid w:val="00780C54"/>
    <w:rsid w:val="00780F86"/>
    <w:rsid w:val="007813DC"/>
    <w:rsid w:val="007814D6"/>
    <w:rsid w:val="00781A2D"/>
    <w:rsid w:val="00781C6C"/>
    <w:rsid w:val="007822A4"/>
    <w:rsid w:val="007824E2"/>
    <w:rsid w:val="00783EFA"/>
    <w:rsid w:val="00784A83"/>
    <w:rsid w:val="00784BFF"/>
    <w:rsid w:val="007855F9"/>
    <w:rsid w:val="007862E5"/>
    <w:rsid w:val="00787583"/>
    <w:rsid w:val="00787B5C"/>
    <w:rsid w:val="00787EB4"/>
    <w:rsid w:val="00790DA5"/>
    <w:rsid w:val="00790E11"/>
    <w:rsid w:val="00791448"/>
    <w:rsid w:val="00791C5F"/>
    <w:rsid w:val="00793727"/>
    <w:rsid w:val="007938B5"/>
    <w:rsid w:val="00794582"/>
    <w:rsid w:val="00796D8F"/>
    <w:rsid w:val="0079751D"/>
    <w:rsid w:val="007979B0"/>
    <w:rsid w:val="00797AD8"/>
    <w:rsid w:val="007A083E"/>
    <w:rsid w:val="007A219F"/>
    <w:rsid w:val="007A2F54"/>
    <w:rsid w:val="007A37F6"/>
    <w:rsid w:val="007A3BEB"/>
    <w:rsid w:val="007A43E3"/>
    <w:rsid w:val="007A464A"/>
    <w:rsid w:val="007A464B"/>
    <w:rsid w:val="007A4C6F"/>
    <w:rsid w:val="007A4D9A"/>
    <w:rsid w:val="007A5626"/>
    <w:rsid w:val="007A5913"/>
    <w:rsid w:val="007A59EE"/>
    <w:rsid w:val="007A6325"/>
    <w:rsid w:val="007A65C1"/>
    <w:rsid w:val="007A6CE7"/>
    <w:rsid w:val="007A6F18"/>
    <w:rsid w:val="007A70D7"/>
    <w:rsid w:val="007A7590"/>
    <w:rsid w:val="007B0139"/>
    <w:rsid w:val="007B12F6"/>
    <w:rsid w:val="007B14F3"/>
    <w:rsid w:val="007B16F9"/>
    <w:rsid w:val="007B184F"/>
    <w:rsid w:val="007B1C21"/>
    <w:rsid w:val="007B2005"/>
    <w:rsid w:val="007B20B7"/>
    <w:rsid w:val="007B217B"/>
    <w:rsid w:val="007B21E7"/>
    <w:rsid w:val="007B2DEC"/>
    <w:rsid w:val="007B2FE2"/>
    <w:rsid w:val="007B3CD2"/>
    <w:rsid w:val="007B40E8"/>
    <w:rsid w:val="007B487C"/>
    <w:rsid w:val="007B760F"/>
    <w:rsid w:val="007C00F4"/>
    <w:rsid w:val="007C12E4"/>
    <w:rsid w:val="007C2264"/>
    <w:rsid w:val="007C4A97"/>
    <w:rsid w:val="007C50AA"/>
    <w:rsid w:val="007C5573"/>
    <w:rsid w:val="007C7A9E"/>
    <w:rsid w:val="007D00F4"/>
    <w:rsid w:val="007D1F60"/>
    <w:rsid w:val="007D3F39"/>
    <w:rsid w:val="007D45F7"/>
    <w:rsid w:val="007D46D0"/>
    <w:rsid w:val="007D7A4F"/>
    <w:rsid w:val="007D7F18"/>
    <w:rsid w:val="007E0AFB"/>
    <w:rsid w:val="007E131D"/>
    <w:rsid w:val="007E19F5"/>
    <w:rsid w:val="007E2479"/>
    <w:rsid w:val="007E29B5"/>
    <w:rsid w:val="007E307F"/>
    <w:rsid w:val="007E3978"/>
    <w:rsid w:val="007E4DF2"/>
    <w:rsid w:val="007E59E6"/>
    <w:rsid w:val="007E6820"/>
    <w:rsid w:val="007E68DF"/>
    <w:rsid w:val="007E75E3"/>
    <w:rsid w:val="007F1674"/>
    <w:rsid w:val="007F1ED8"/>
    <w:rsid w:val="007F232E"/>
    <w:rsid w:val="007F484D"/>
    <w:rsid w:val="007F59DE"/>
    <w:rsid w:val="007F73A7"/>
    <w:rsid w:val="007F78D2"/>
    <w:rsid w:val="007F7FAE"/>
    <w:rsid w:val="0080009C"/>
    <w:rsid w:val="0080149E"/>
    <w:rsid w:val="00801C13"/>
    <w:rsid w:val="00801D88"/>
    <w:rsid w:val="00802343"/>
    <w:rsid w:val="008029BA"/>
    <w:rsid w:val="00802EB0"/>
    <w:rsid w:val="0080382E"/>
    <w:rsid w:val="00803A75"/>
    <w:rsid w:val="008040AB"/>
    <w:rsid w:val="00804280"/>
    <w:rsid w:val="008044F3"/>
    <w:rsid w:val="00805717"/>
    <w:rsid w:val="008059DC"/>
    <w:rsid w:val="00805C30"/>
    <w:rsid w:val="00805EAB"/>
    <w:rsid w:val="00805F72"/>
    <w:rsid w:val="0080600D"/>
    <w:rsid w:val="00806820"/>
    <w:rsid w:val="0080726A"/>
    <w:rsid w:val="008106A2"/>
    <w:rsid w:val="0081094C"/>
    <w:rsid w:val="00810B24"/>
    <w:rsid w:val="00811F52"/>
    <w:rsid w:val="008120B3"/>
    <w:rsid w:val="008121C7"/>
    <w:rsid w:val="0081242D"/>
    <w:rsid w:val="00812AEA"/>
    <w:rsid w:val="00813B2D"/>
    <w:rsid w:val="00813E38"/>
    <w:rsid w:val="0081453E"/>
    <w:rsid w:val="00816527"/>
    <w:rsid w:val="00816D48"/>
    <w:rsid w:val="00816F96"/>
    <w:rsid w:val="00817C32"/>
    <w:rsid w:val="00821179"/>
    <w:rsid w:val="008211BF"/>
    <w:rsid w:val="008212FD"/>
    <w:rsid w:val="00821F90"/>
    <w:rsid w:val="008225E2"/>
    <w:rsid w:val="00822ECE"/>
    <w:rsid w:val="00823078"/>
    <w:rsid w:val="0082361E"/>
    <w:rsid w:val="008237E4"/>
    <w:rsid w:val="00824365"/>
    <w:rsid w:val="00824665"/>
    <w:rsid w:val="0082634B"/>
    <w:rsid w:val="0082781E"/>
    <w:rsid w:val="00827B68"/>
    <w:rsid w:val="00827ED4"/>
    <w:rsid w:val="00830C4A"/>
    <w:rsid w:val="00831BA5"/>
    <w:rsid w:val="008329CB"/>
    <w:rsid w:val="008329F9"/>
    <w:rsid w:val="00832DC3"/>
    <w:rsid w:val="00834A91"/>
    <w:rsid w:val="00834E9D"/>
    <w:rsid w:val="00835398"/>
    <w:rsid w:val="00835AEC"/>
    <w:rsid w:val="008407AC"/>
    <w:rsid w:val="00841876"/>
    <w:rsid w:val="00841EC8"/>
    <w:rsid w:val="0084256F"/>
    <w:rsid w:val="008425B7"/>
    <w:rsid w:val="0084266E"/>
    <w:rsid w:val="008428D4"/>
    <w:rsid w:val="008428DF"/>
    <w:rsid w:val="00845A04"/>
    <w:rsid w:val="00845F85"/>
    <w:rsid w:val="00847FB4"/>
    <w:rsid w:val="008503EF"/>
    <w:rsid w:val="00850851"/>
    <w:rsid w:val="00850D63"/>
    <w:rsid w:val="00850F3E"/>
    <w:rsid w:val="008516AF"/>
    <w:rsid w:val="00852A39"/>
    <w:rsid w:val="0085382F"/>
    <w:rsid w:val="0085383D"/>
    <w:rsid w:val="0085400F"/>
    <w:rsid w:val="0085423B"/>
    <w:rsid w:val="00855455"/>
    <w:rsid w:val="008559F3"/>
    <w:rsid w:val="008603AF"/>
    <w:rsid w:val="0086056E"/>
    <w:rsid w:val="008613AE"/>
    <w:rsid w:val="00861732"/>
    <w:rsid w:val="00861F78"/>
    <w:rsid w:val="00862673"/>
    <w:rsid w:val="008628A4"/>
    <w:rsid w:val="00862908"/>
    <w:rsid w:val="008633D3"/>
    <w:rsid w:val="00863CF4"/>
    <w:rsid w:val="00864286"/>
    <w:rsid w:val="00865C91"/>
    <w:rsid w:val="0086670C"/>
    <w:rsid w:val="00866D1F"/>
    <w:rsid w:val="00867A98"/>
    <w:rsid w:val="00867E10"/>
    <w:rsid w:val="00872385"/>
    <w:rsid w:val="00872A50"/>
    <w:rsid w:val="0087317E"/>
    <w:rsid w:val="00873D46"/>
    <w:rsid w:val="00874622"/>
    <w:rsid w:val="008750C0"/>
    <w:rsid w:val="00875A03"/>
    <w:rsid w:val="00875E05"/>
    <w:rsid w:val="008763AE"/>
    <w:rsid w:val="008763FC"/>
    <w:rsid w:val="008765EC"/>
    <w:rsid w:val="00877232"/>
    <w:rsid w:val="00877A5E"/>
    <w:rsid w:val="008803A3"/>
    <w:rsid w:val="008815ED"/>
    <w:rsid w:val="00881A57"/>
    <w:rsid w:val="00881F6C"/>
    <w:rsid w:val="008821E9"/>
    <w:rsid w:val="00882C09"/>
    <w:rsid w:val="008834D9"/>
    <w:rsid w:val="008847F1"/>
    <w:rsid w:val="00884EF8"/>
    <w:rsid w:val="00885A1E"/>
    <w:rsid w:val="00885DD7"/>
    <w:rsid w:val="00885E98"/>
    <w:rsid w:val="008860FC"/>
    <w:rsid w:val="008879E1"/>
    <w:rsid w:val="00891531"/>
    <w:rsid w:val="008916CD"/>
    <w:rsid w:val="008921CE"/>
    <w:rsid w:val="00893C1B"/>
    <w:rsid w:val="00894B81"/>
    <w:rsid w:val="00894DAD"/>
    <w:rsid w:val="00894F4C"/>
    <w:rsid w:val="00894FBE"/>
    <w:rsid w:val="00895A4E"/>
    <w:rsid w:val="00897480"/>
    <w:rsid w:val="008A083F"/>
    <w:rsid w:val="008A08F3"/>
    <w:rsid w:val="008A186C"/>
    <w:rsid w:val="008A24BF"/>
    <w:rsid w:val="008A2709"/>
    <w:rsid w:val="008A2A64"/>
    <w:rsid w:val="008A3189"/>
    <w:rsid w:val="008A389F"/>
    <w:rsid w:val="008A39AA"/>
    <w:rsid w:val="008A3F2E"/>
    <w:rsid w:val="008A47B4"/>
    <w:rsid w:val="008A4844"/>
    <w:rsid w:val="008A4BF8"/>
    <w:rsid w:val="008A5E65"/>
    <w:rsid w:val="008A6237"/>
    <w:rsid w:val="008A63C7"/>
    <w:rsid w:val="008A6EEA"/>
    <w:rsid w:val="008A70AD"/>
    <w:rsid w:val="008A70F1"/>
    <w:rsid w:val="008A728B"/>
    <w:rsid w:val="008A728C"/>
    <w:rsid w:val="008A76F3"/>
    <w:rsid w:val="008B16DA"/>
    <w:rsid w:val="008B2830"/>
    <w:rsid w:val="008B3273"/>
    <w:rsid w:val="008B3ECD"/>
    <w:rsid w:val="008B3F55"/>
    <w:rsid w:val="008B4F22"/>
    <w:rsid w:val="008B56AB"/>
    <w:rsid w:val="008B56D5"/>
    <w:rsid w:val="008B6ECB"/>
    <w:rsid w:val="008B7559"/>
    <w:rsid w:val="008B7B63"/>
    <w:rsid w:val="008B7F59"/>
    <w:rsid w:val="008C011A"/>
    <w:rsid w:val="008C059C"/>
    <w:rsid w:val="008C14E9"/>
    <w:rsid w:val="008C1E80"/>
    <w:rsid w:val="008C25C3"/>
    <w:rsid w:val="008C30FA"/>
    <w:rsid w:val="008C360C"/>
    <w:rsid w:val="008C39DF"/>
    <w:rsid w:val="008C3B45"/>
    <w:rsid w:val="008C5125"/>
    <w:rsid w:val="008C5260"/>
    <w:rsid w:val="008C5EF1"/>
    <w:rsid w:val="008C614E"/>
    <w:rsid w:val="008C6E89"/>
    <w:rsid w:val="008C74C1"/>
    <w:rsid w:val="008C7A96"/>
    <w:rsid w:val="008D0554"/>
    <w:rsid w:val="008D0BD4"/>
    <w:rsid w:val="008D0EEE"/>
    <w:rsid w:val="008D2774"/>
    <w:rsid w:val="008D32CC"/>
    <w:rsid w:val="008D342F"/>
    <w:rsid w:val="008D3EE7"/>
    <w:rsid w:val="008D4F8B"/>
    <w:rsid w:val="008D7237"/>
    <w:rsid w:val="008E05AC"/>
    <w:rsid w:val="008E0D86"/>
    <w:rsid w:val="008E1EAD"/>
    <w:rsid w:val="008E278E"/>
    <w:rsid w:val="008E3121"/>
    <w:rsid w:val="008E3CD2"/>
    <w:rsid w:val="008E402E"/>
    <w:rsid w:val="008E49B0"/>
    <w:rsid w:val="008E57DF"/>
    <w:rsid w:val="008E6075"/>
    <w:rsid w:val="008E6D64"/>
    <w:rsid w:val="008E7377"/>
    <w:rsid w:val="008F033A"/>
    <w:rsid w:val="008F0D87"/>
    <w:rsid w:val="008F2079"/>
    <w:rsid w:val="008F2191"/>
    <w:rsid w:val="008F2445"/>
    <w:rsid w:val="008F41D9"/>
    <w:rsid w:val="008F4EE0"/>
    <w:rsid w:val="008F678A"/>
    <w:rsid w:val="008F7699"/>
    <w:rsid w:val="008F7B9D"/>
    <w:rsid w:val="00900B4C"/>
    <w:rsid w:val="00900CAB"/>
    <w:rsid w:val="00900EE1"/>
    <w:rsid w:val="00900FE8"/>
    <w:rsid w:val="00901997"/>
    <w:rsid w:val="00902D27"/>
    <w:rsid w:val="009035FE"/>
    <w:rsid w:val="009041A3"/>
    <w:rsid w:val="009041BF"/>
    <w:rsid w:val="00904D12"/>
    <w:rsid w:val="0090561F"/>
    <w:rsid w:val="00905E12"/>
    <w:rsid w:val="0090673D"/>
    <w:rsid w:val="00906D33"/>
    <w:rsid w:val="009076B3"/>
    <w:rsid w:val="0091006A"/>
    <w:rsid w:val="00910344"/>
    <w:rsid w:val="009120A2"/>
    <w:rsid w:val="009121CD"/>
    <w:rsid w:val="009122CF"/>
    <w:rsid w:val="009129BD"/>
    <w:rsid w:val="0091321E"/>
    <w:rsid w:val="0091373E"/>
    <w:rsid w:val="009155A8"/>
    <w:rsid w:val="00915AF0"/>
    <w:rsid w:val="0091674C"/>
    <w:rsid w:val="00916D6A"/>
    <w:rsid w:val="0092023E"/>
    <w:rsid w:val="00920CC0"/>
    <w:rsid w:val="00921969"/>
    <w:rsid w:val="009223FE"/>
    <w:rsid w:val="00922850"/>
    <w:rsid w:val="00923D66"/>
    <w:rsid w:val="0092547B"/>
    <w:rsid w:val="00925660"/>
    <w:rsid w:val="009269C9"/>
    <w:rsid w:val="00927CCC"/>
    <w:rsid w:val="0093023B"/>
    <w:rsid w:val="00930DF4"/>
    <w:rsid w:val="0093144B"/>
    <w:rsid w:val="009318F7"/>
    <w:rsid w:val="00935B74"/>
    <w:rsid w:val="00935CF4"/>
    <w:rsid w:val="0093638C"/>
    <w:rsid w:val="00937959"/>
    <w:rsid w:val="00940F3A"/>
    <w:rsid w:val="00941D97"/>
    <w:rsid w:val="00941FFE"/>
    <w:rsid w:val="0094343A"/>
    <w:rsid w:val="0094373D"/>
    <w:rsid w:val="009440FD"/>
    <w:rsid w:val="009453FA"/>
    <w:rsid w:val="00945A01"/>
    <w:rsid w:val="009460FC"/>
    <w:rsid w:val="00946376"/>
    <w:rsid w:val="0094644C"/>
    <w:rsid w:val="009464CA"/>
    <w:rsid w:val="00946F7C"/>
    <w:rsid w:val="00947A3E"/>
    <w:rsid w:val="009501BD"/>
    <w:rsid w:val="00950A77"/>
    <w:rsid w:val="009517EB"/>
    <w:rsid w:val="0095206F"/>
    <w:rsid w:val="00952FF4"/>
    <w:rsid w:val="00954E5D"/>
    <w:rsid w:val="00955236"/>
    <w:rsid w:val="009552B4"/>
    <w:rsid w:val="00955604"/>
    <w:rsid w:val="00955FA4"/>
    <w:rsid w:val="009565BA"/>
    <w:rsid w:val="0095799D"/>
    <w:rsid w:val="00957F35"/>
    <w:rsid w:val="00957FFB"/>
    <w:rsid w:val="0096054B"/>
    <w:rsid w:val="00960B47"/>
    <w:rsid w:val="009611F8"/>
    <w:rsid w:val="009612EC"/>
    <w:rsid w:val="009616B2"/>
    <w:rsid w:val="00961853"/>
    <w:rsid w:val="009627CF"/>
    <w:rsid w:val="00963C1E"/>
    <w:rsid w:val="009643BF"/>
    <w:rsid w:val="00964A51"/>
    <w:rsid w:val="009665CB"/>
    <w:rsid w:val="00967EC0"/>
    <w:rsid w:val="00970FBB"/>
    <w:rsid w:val="00971182"/>
    <w:rsid w:val="009717B0"/>
    <w:rsid w:val="00971AD4"/>
    <w:rsid w:val="00971D5B"/>
    <w:rsid w:val="00971D72"/>
    <w:rsid w:val="00973A3A"/>
    <w:rsid w:val="00974547"/>
    <w:rsid w:val="00975185"/>
    <w:rsid w:val="009751C8"/>
    <w:rsid w:val="00976847"/>
    <w:rsid w:val="00980485"/>
    <w:rsid w:val="00980764"/>
    <w:rsid w:val="0098077A"/>
    <w:rsid w:val="009810A1"/>
    <w:rsid w:val="00981645"/>
    <w:rsid w:val="009818BB"/>
    <w:rsid w:val="00981E28"/>
    <w:rsid w:val="00982312"/>
    <w:rsid w:val="009824BE"/>
    <w:rsid w:val="009827A2"/>
    <w:rsid w:val="00982ED2"/>
    <w:rsid w:val="009841A4"/>
    <w:rsid w:val="009863A2"/>
    <w:rsid w:val="00986587"/>
    <w:rsid w:val="00986BCB"/>
    <w:rsid w:val="00987F56"/>
    <w:rsid w:val="00990099"/>
    <w:rsid w:val="00990D8A"/>
    <w:rsid w:val="00992B97"/>
    <w:rsid w:val="00993072"/>
    <w:rsid w:val="00995240"/>
    <w:rsid w:val="0099591E"/>
    <w:rsid w:val="00996147"/>
    <w:rsid w:val="0099680B"/>
    <w:rsid w:val="009972E8"/>
    <w:rsid w:val="00997939"/>
    <w:rsid w:val="00997A5D"/>
    <w:rsid w:val="00997B3A"/>
    <w:rsid w:val="009A0CAB"/>
    <w:rsid w:val="009A18B0"/>
    <w:rsid w:val="009A198D"/>
    <w:rsid w:val="009A2B6F"/>
    <w:rsid w:val="009A2C75"/>
    <w:rsid w:val="009A31F7"/>
    <w:rsid w:val="009A3F2D"/>
    <w:rsid w:val="009A453D"/>
    <w:rsid w:val="009A47DC"/>
    <w:rsid w:val="009A4867"/>
    <w:rsid w:val="009A4BE1"/>
    <w:rsid w:val="009A56E1"/>
    <w:rsid w:val="009A67E2"/>
    <w:rsid w:val="009A7B85"/>
    <w:rsid w:val="009A7B93"/>
    <w:rsid w:val="009A7D54"/>
    <w:rsid w:val="009B11EF"/>
    <w:rsid w:val="009B27F3"/>
    <w:rsid w:val="009B2E63"/>
    <w:rsid w:val="009B307D"/>
    <w:rsid w:val="009B3215"/>
    <w:rsid w:val="009B438D"/>
    <w:rsid w:val="009B48E0"/>
    <w:rsid w:val="009B5425"/>
    <w:rsid w:val="009B7C6B"/>
    <w:rsid w:val="009C0A9B"/>
    <w:rsid w:val="009C115F"/>
    <w:rsid w:val="009C116E"/>
    <w:rsid w:val="009C1241"/>
    <w:rsid w:val="009C242F"/>
    <w:rsid w:val="009C2594"/>
    <w:rsid w:val="009C4957"/>
    <w:rsid w:val="009C4D79"/>
    <w:rsid w:val="009C502A"/>
    <w:rsid w:val="009C511C"/>
    <w:rsid w:val="009C53D4"/>
    <w:rsid w:val="009C62D1"/>
    <w:rsid w:val="009C6624"/>
    <w:rsid w:val="009C71A9"/>
    <w:rsid w:val="009C776D"/>
    <w:rsid w:val="009C7955"/>
    <w:rsid w:val="009C799F"/>
    <w:rsid w:val="009D0966"/>
    <w:rsid w:val="009D0B94"/>
    <w:rsid w:val="009D1F64"/>
    <w:rsid w:val="009D2799"/>
    <w:rsid w:val="009D28DC"/>
    <w:rsid w:val="009D3019"/>
    <w:rsid w:val="009D46A8"/>
    <w:rsid w:val="009D4C09"/>
    <w:rsid w:val="009D5A6C"/>
    <w:rsid w:val="009D5BA7"/>
    <w:rsid w:val="009D6175"/>
    <w:rsid w:val="009D7433"/>
    <w:rsid w:val="009E0EF3"/>
    <w:rsid w:val="009E2E23"/>
    <w:rsid w:val="009E2E88"/>
    <w:rsid w:val="009E316D"/>
    <w:rsid w:val="009E5D10"/>
    <w:rsid w:val="009E650F"/>
    <w:rsid w:val="009E7CF1"/>
    <w:rsid w:val="009F0D07"/>
    <w:rsid w:val="009F0E1E"/>
    <w:rsid w:val="009F1878"/>
    <w:rsid w:val="009F1A82"/>
    <w:rsid w:val="009F2AA1"/>
    <w:rsid w:val="009F2B01"/>
    <w:rsid w:val="009F3905"/>
    <w:rsid w:val="009F3D17"/>
    <w:rsid w:val="009F6B5F"/>
    <w:rsid w:val="009F6BE0"/>
    <w:rsid w:val="009F6FC1"/>
    <w:rsid w:val="009F7771"/>
    <w:rsid w:val="009F7C1C"/>
    <w:rsid w:val="009F7FEC"/>
    <w:rsid w:val="00A007F2"/>
    <w:rsid w:val="00A00BE3"/>
    <w:rsid w:val="00A015D6"/>
    <w:rsid w:val="00A021AA"/>
    <w:rsid w:val="00A02328"/>
    <w:rsid w:val="00A046DA"/>
    <w:rsid w:val="00A04E03"/>
    <w:rsid w:val="00A05856"/>
    <w:rsid w:val="00A05DD1"/>
    <w:rsid w:val="00A06DD6"/>
    <w:rsid w:val="00A0724A"/>
    <w:rsid w:val="00A0727A"/>
    <w:rsid w:val="00A0767C"/>
    <w:rsid w:val="00A103F1"/>
    <w:rsid w:val="00A10C6A"/>
    <w:rsid w:val="00A1110A"/>
    <w:rsid w:val="00A111E0"/>
    <w:rsid w:val="00A1165B"/>
    <w:rsid w:val="00A11D7E"/>
    <w:rsid w:val="00A12BE1"/>
    <w:rsid w:val="00A1446E"/>
    <w:rsid w:val="00A149F2"/>
    <w:rsid w:val="00A14D1E"/>
    <w:rsid w:val="00A15202"/>
    <w:rsid w:val="00A15EB3"/>
    <w:rsid w:val="00A15FA1"/>
    <w:rsid w:val="00A1658F"/>
    <w:rsid w:val="00A1704F"/>
    <w:rsid w:val="00A17A43"/>
    <w:rsid w:val="00A17BB6"/>
    <w:rsid w:val="00A20745"/>
    <w:rsid w:val="00A2124F"/>
    <w:rsid w:val="00A22173"/>
    <w:rsid w:val="00A231DD"/>
    <w:rsid w:val="00A2327C"/>
    <w:rsid w:val="00A23723"/>
    <w:rsid w:val="00A245F9"/>
    <w:rsid w:val="00A24CDD"/>
    <w:rsid w:val="00A25757"/>
    <w:rsid w:val="00A259C4"/>
    <w:rsid w:val="00A25D06"/>
    <w:rsid w:val="00A263A4"/>
    <w:rsid w:val="00A277CE"/>
    <w:rsid w:val="00A307BB"/>
    <w:rsid w:val="00A30A0A"/>
    <w:rsid w:val="00A314CA"/>
    <w:rsid w:val="00A318B8"/>
    <w:rsid w:val="00A32593"/>
    <w:rsid w:val="00A326E5"/>
    <w:rsid w:val="00A327AC"/>
    <w:rsid w:val="00A337FC"/>
    <w:rsid w:val="00A344A9"/>
    <w:rsid w:val="00A34578"/>
    <w:rsid w:val="00A3568F"/>
    <w:rsid w:val="00A36881"/>
    <w:rsid w:val="00A372E2"/>
    <w:rsid w:val="00A37C3B"/>
    <w:rsid w:val="00A404B3"/>
    <w:rsid w:val="00A40896"/>
    <w:rsid w:val="00A408DB"/>
    <w:rsid w:val="00A4130E"/>
    <w:rsid w:val="00A4224C"/>
    <w:rsid w:val="00A422B8"/>
    <w:rsid w:val="00A422D6"/>
    <w:rsid w:val="00A4251E"/>
    <w:rsid w:val="00A428C2"/>
    <w:rsid w:val="00A4314C"/>
    <w:rsid w:val="00A455E6"/>
    <w:rsid w:val="00A45631"/>
    <w:rsid w:val="00A45747"/>
    <w:rsid w:val="00A463F4"/>
    <w:rsid w:val="00A46438"/>
    <w:rsid w:val="00A4666F"/>
    <w:rsid w:val="00A47154"/>
    <w:rsid w:val="00A47E23"/>
    <w:rsid w:val="00A50519"/>
    <w:rsid w:val="00A50881"/>
    <w:rsid w:val="00A50E97"/>
    <w:rsid w:val="00A51033"/>
    <w:rsid w:val="00A5179E"/>
    <w:rsid w:val="00A52616"/>
    <w:rsid w:val="00A53378"/>
    <w:rsid w:val="00A53919"/>
    <w:rsid w:val="00A5423E"/>
    <w:rsid w:val="00A5434F"/>
    <w:rsid w:val="00A5459F"/>
    <w:rsid w:val="00A557C0"/>
    <w:rsid w:val="00A55C72"/>
    <w:rsid w:val="00A55F89"/>
    <w:rsid w:val="00A60337"/>
    <w:rsid w:val="00A6061E"/>
    <w:rsid w:val="00A607B5"/>
    <w:rsid w:val="00A61800"/>
    <w:rsid w:val="00A62170"/>
    <w:rsid w:val="00A623F2"/>
    <w:rsid w:val="00A63F2F"/>
    <w:rsid w:val="00A6538B"/>
    <w:rsid w:val="00A654D4"/>
    <w:rsid w:val="00A65F20"/>
    <w:rsid w:val="00A660C0"/>
    <w:rsid w:val="00A6621A"/>
    <w:rsid w:val="00A667A7"/>
    <w:rsid w:val="00A66CDD"/>
    <w:rsid w:val="00A70F87"/>
    <w:rsid w:val="00A71DB1"/>
    <w:rsid w:val="00A72D91"/>
    <w:rsid w:val="00A73758"/>
    <w:rsid w:val="00A7454A"/>
    <w:rsid w:val="00A748B4"/>
    <w:rsid w:val="00A759FC"/>
    <w:rsid w:val="00A75F4B"/>
    <w:rsid w:val="00A7704A"/>
    <w:rsid w:val="00A77BDF"/>
    <w:rsid w:val="00A77DFC"/>
    <w:rsid w:val="00A802EB"/>
    <w:rsid w:val="00A8088E"/>
    <w:rsid w:val="00A8141B"/>
    <w:rsid w:val="00A81B46"/>
    <w:rsid w:val="00A81B4B"/>
    <w:rsid w:val="00A81E49"/>
    <w:rsid w:val="00A81F0A"/>
    <w:rsid w:val="00A83780"/>
    <w:rsid w:val="00A838B4"/>
    <w:rsid w:val="00A8397D"/>
    <w:rsid w:val="00A83E4B"/>
    <w:rsid w:val="00A84009"/>
    <w:rsid w:val="00A84C34"/>
    <w:rsid w:val="00A859BE"/>
    <w:rsid w:val="00A91589"/>
    <w:rsid w:val="00A91B4F"/>
    <w:rsid w:val="00A927E1"/>
    <w:rsid w:val="00A929BE"/>
    <w:rsid w:val="00A92FE9"/>
    <w:rsid w:val="00A930C6"/>
    <w:rsid w:val="00A94903"/>
    <w:rsid w:val="00A94E7A"/>
    <w:rsid w:val="00A95205"/>
    <w:rsid w:val="00A955B8"/>
    <w:rsid w:val="00A95AAD"/>
    <w:rsid w:val="00A95BD3"/>
    <w:rsid w:val="00A96AF8"/>
    <w:rsid w:val="00A97CE8"/>
    <w:rsid w:val="00AA00E7"/>
    <w:rsid w:val="00AA0502"/>
    <w:rsid w:val="00AA06F7"/>
    <w:rsid w:val="00AA2378"/>
    <w:rsid w:val="00AA46C0"/>
    <w:rsid w:val="00AA47E8"/>
    <w:rsid w:val="00AA4AFC"/>
    <w:rsid w:val="00AA4D4D"/>
    <w:rsid w:val="00AA630C"/>
    <w:rsid w:val="00AA658C"/>
    <w:rsid w:val="00AA69EE"/>
    <w:rsid w:val="00AA6A48"/>
    <w:rsid w:val="00AA700C"/>
    <w:rsid w:val="00AB0645"/>
    <w:rsid w:val="00AB0D01"/>
    <w:rsid w:val="00AB0D0F"/>
    <w:rsid w:val="00AB0F64"/>
    <w:rsid w:val="00AB0FFB"/>
    <w:rsid w:val="00AB3123"/>
    <w:rsid w:val="00AB39D5"/>
    <w:rsid w:val="00AB449C"/>
    <w:rsid w:val="00AB5681"/>
    <w:rsid w:val="00AB57C0"/>
    <w:rsid w:val="00AB63F9"/>
    <w:rsid w:val="00AB696A"/>
    <w:rsid w:val="00AB7003"/>
    <w:rsid w:val="00AC0B3F"/>
    <w:rsid w:val="00AC176A"/>
    <w:rsid w:val="00AC18ED"/>
    <w:rsid w:val="00AC20A2"/>
    <w:rsid w:val="00AC2104"/>
    <w:rsid w:val="00AC2CC4"/>
    <w:rsid w:val="00AC4101"/>
    <w:rsid w:val="00AC45BB"/>
    <w:rsid w:val="00AC4AB5"/>
    <w:rsid w:val="00AC4DE3"/>
    <w:rsid w:val="00AC57F1"/>
    <w:rsid w:val="00AC6590"/>
    <w:rsid w:val="00AC789D"/>
    <w:rsid w:val="00AC7E4C"/>
    <w:rsid w:val="00AD053F"/>
    <w:rsid w:val="00AD2112"/>
    <w:rsid w:val="00AD298C"/>
    <w:rsid w:val="00AD4834"/>
    <w:rsid w:val="00AD4DD0"/>
    <w:rsid w:val="00AD580D"/>
    <w:rsid w:val="00AD6126"/>
    <w:rsid w:val="00AD61A3"/>
    <w:rsid w:val="00AD67FE"/>
    <w:rsid w:val="00AD700F"/>
    <w:rsid w:val="00AD76BE"/>
    <w:rsid w:val="00AD788B"/>
    <w:rsid w:val="00AE12B1"/>
    <w:rsid w:val="00AE161C"/>
    <w:rsid w:val="00AE1D95"/>
    <w:rsid w:val="00AE2022"/>
    <w:rsid w:val="00AE2123"/>
    <w:rsid w:val="00AE32E7"/>
    <w:rsid w:val="00AE466A"/>
    <w:rsid w:val="00AE46C4"/>
    <w:rsid w:val="00AE5DBF"/>
    <w:rsid w:val="00AE5DC9"/>
    <w:rsid w:val="00AE6148"/>
    <w:rsid w:val="00AE6197"/>
    <w:rsid w:val="00AE6D78"/>
    <w:rsid w:val="00AE6E2F"/>
    <w:rsid w:val="00AF047D"/>
    <w:rsid w:val="00AF0C3E"/>
    <w:rsid w:val="00AF1544"/>
    <w:rsid w:val="00AF2BFE"/>
    <w:rsid w:val="00AF3219"/>
    <w:rsid w:val="00AF40E2"/>
    <w:rsid w:val="00AF4CA4"/>
    <w:rsid w:val="00AF5156"/>
    <w:rsid w:val="00AF5FDF"/>
    <w:rsid w:val="00B00123"/>
    <w:rsid w:val="00B0025E"/>
    <w:rsid w:val="00B00A13"/>
    <w:rsid w:val="00B01755"/>
    <w:rsid w:val="00B026E4"/>
    <w:rsid w:val="00B02997"/>
    <w:rsid w:val="00B0312E"/>
    <w:rsid w:val="00B03806"/>
    <w:rsid w:val="00B03C8C"/>
    <w:rsid w:val="00B046E5"/>
    <w:rsid w:val="00B048B8"/>
    <w:rsid w:val="00B06EC2"/>
    <w:rsid w:val="00B07264"/>
    <w:rsid w:val="00B10B60"/>
    <w:rsid w:val="00B1144C"/>
    <w:rsid w:val="00B1177B"/>
    <w:rsid w:val="00B11E22"/>
    <w:rsid w:val="00B122AF"/>
    <w:rsid w:val="00B129C7"/>
    <w:rsid w:val="00B12F72"/>
    <w:rsid w:val="00B14854"/>
    <w:rsid w:val="00B148A3"/>
    <w:rsid w:val="00B1594E"/>
    <w:rsid w:val="00B15C15"/>
    <w:rsid w:val="00B15C2D"/>
    <w:rsid w:val="00B15DB0"/>
    <w:rsid w:val="00B15DF4"/>
    <w:rsid w:val="00B162B2"/>
    <w:rsid w:val="00B173B0"/>
    <w:rsid w:val="00B177C3"/>
    <w:rsid w:val="00B178F0"/>
    <w:rsid w:val="00B179FB"/>
    <w:rsid w:val="00B17AA8"/>
    <w:rsid w:val="00B20A58"/>
    <w:rsid w:val="00B21051"/>
    <w:rsid w:val="00B2129D"/>
    <w:rsid w:val="00B214C8"/>
    <w:rsid w:val="00B21798"/>
    <w:rsid w:val="00B228EB"/>
    <w:rsid w:val="00B22B46"/>
    <w:rsid w:val="00B23508"/>
    <w:rsid w:val="00B2618E"/>
    <w:rsid w:val="00B2647B"/>
    <w:rsid w:val="00B26959"/>
    <w:rsid w:val="00B2705C"/>
    <w:rsid w:val="00B271B6"/>
    <w:rsid w:val="00B30138"/>
    <w:rsid w:val="00B30584"/>
    <w:rsid w:val="00B307B7"/>
    <w:rsid w:val="00B3192F"/>
    <w:rsid w:val="00B31A2B"/>
    <w:rsid w:val="00B31CD0"/>
    <w:rsid w:val="00B3390D"/>
    <w:rsid w:val="00B3391B"/>
    <w:rsid w:val="00B33CAF"/>
    <w:rsid w:val="00B34182"/>
    <w:rsid w:val="00B34321"/>
    <w:rsid w:val="00B34715"/>
    <w:rsid w:val="00B34A89"/>
    <w:rsid w:val="00B34DD1"/>
    <w:rsid w:val="00B34EE0"/>
    <w:rsid w:val="00B35169"/>
    <w:rsid w:val="00B36093"/>
    <w:rsid w:val="00B364B0"/>
    <w:rsid w:val="00B364FA"/>
    <w:rsid w:val="00B367C8"/>
    <w:rsid w:val="00B377E0"/>
    <w:rsid w:val="00B4168F"/>
    <w:rsid w:val="00B425D2"/>
    <w:rsid w:val="00B42F06"/>
    <w:rsid w:val="00B43248"/>
    <w:rsid w:val="00B436F0"/>
    <w:rsid w:val="00B44108"/>
    <w:rsid w:val="00B44650"/>
    <w:rsid w:val="00B44F5C"/>
    <w:rsid w:val="00B4516A"/>
    <w:rsid w:val="00B45B79"/>
    <w:rsid w:val="00B45E36"/>
    <w:rsid w:val="00B476DB"/>
    <w:rsid w:val="00B5110D"/>
    <w:rsid w:val="00B512CD"/>
    <w:rsid w:val="00B54281"/>
    <w:rsid w:val="00B5461C"/>
    <w:rsid w:val="00B546E0"/>
    <w:rsid w:val="00B55399"/>
    <w:rsid w:val="00B5580D"/>
    <w:rsid w:val="00B5588C"/>
    <w:rsid w:val="00B55A1D"/>
    <w:rsid w:val="00B56B89"/>
    <w:rsid w:val="00B57928"/>
    <w:rsid w:val="00B57988"/>
    <w:rsid w:val="00B60100"/>
    <w:rsid w:val="00B60D5B"/>
    <w:rsid w:val="00B61065"/>
    <w:rsid w:val="00B61A5F"/>
    <w:rsid w:val="00B62029"/>
    <w:rsid w:val="00B62250"/>
    <w:rsid w:val="00B622B8"/>
    <w:rsid w:val="00B6258D"/>
    <w:rsid w:val="00B6356F"/>
    <w:rsid w:val="00B63B6E"/>
    <w:rsid w:val="00B64AF6"/>
    <w:rsid w:val="00B654C7"/>
    <w:rsid w:val="00B65CDB"/>
    <w:rsid w:val="00B67897"/>
    <w:rsid w:val="00B67C5C"/>
    <w:rsid w:val="00B703FD"/>
    <w:rsid w:val="00B70783"/>
    <w:rsid w:val="00B70987"/>
    <w:rsid w:val="00B71AF6"/>
    <w:rsid w:val="00B71D06"/>
    <w:rsid w:val="00B7214A"/>
    <w:rsid w:val="00B72741"/>
    <w:rsid w:val="00B739C4"/>
    <w:rsid w:val="00B748D0"/>
    <w:rsid w:val="00B74AC3"/>
    <w:rsid w:val="00B74D1C"/>
    <w:rsid w:val="00B75CD4"/>
    <w:rsid w:val="00B7614A"/>
    <w:rsid w:val="00B77BA2"/>
    <w:rsid w:val="00B80023"/>
    <w:rsid w:val="00B80360"/>
    <w:rsid w:val="00B82563"/>
    <w:rsid w:val="00B82BC9"/>
    <w:rsid w:val="00B82F7C"/>
    <w:rsid w:val="00B837CB"/>
    <w:rsid w:val="00B83B4D"/>
    <w:rsid w:val="00B842EB"/>
    <w:rsid w:val="00B845C8"/>
    <w:rsid w:val="00B84992"/>
    <w:rsid w:val="00B85AF1"/>
    <w:rsid w:val="00B86656"/>
    <w:rsid w:val="00B869FB"/>
    <w:rsid w:val="00B86A8D"/>
    <w:rsid w:val="00B876E6"/>
    <w:rsid w:val="00B87A76"/>
    <w:rsid w:val="00B90C0A"/>
    <w:rsid w:val="00B91F50"/>
    <w:rsid w:val="00B92381"/>
    <w:rsid w:val="00B926D3"/>
    <w:rsid w:val="00B9334E"/>
    <w:rsid w:val="00B9373E"/>
    <w:rsid w:val="00B93C46"/>
    <w:rsid w:val="00B93CF9"/>
    <w:rsid w:val="00B93EC1"/>
    <w:rsid w:val="00B93F50"/>
    <w:rsid w:val="00B9427C"/>
    <w:rsid w:val="00B949CB"/>
    <w:rsid w:val="00B94AB3"/>
    <w:rsid w:val="00B9552E"/>
    <w:rsid w:val="00B95720"/>
    <w:rsid w:val="00B96795"/>
    <w:rsid w:val="00BA07AF"/>
    <w:rsid w:val="00BA0A7C"/>
    <w:rsid w:val="00BA12AB"/>
    <w:rsid w:val="00BA144A"/>
    <w:rsid w:val="00BA1D7C"/>
    <w:rsid w:val="00BA23E0"/>
    <w:rsid w:val="00BA3203"/>
    <w:rsid w:val="00BA36C7"/>
    <w:rsid w:val="00BA3E47"/>
    <w:rsid w:val="00BA40BE"/>
    <w:rsid w:val="00BA4FC2"/>
    <w:rsid w:val="00BA5FE8"/>
    <w:rsid w:val="00BA7085"/>
    <w:rsid w:val="00BA7B88"/>
    <w:rsid w:val="00BB1CB7"/>
    <w:rsid w:val="00BB2A21"/>
    <w:rsid w:val="00BB2BE5"/>
    <w:rsid w:val="00BB4019"/>
    <w:rsid w:val="00BB433B"/>
    <w:rsid w:val="00BB4B4D"/>
    <w:rsid w:val="00BB4D18"/>
    <w:rsid w:val="00BB5029"/>
    <w:rsid w:val="00BB57B4"/>
    <w:rsid w:val="00BB5F5C"/>
    <w:rsid w:val="00BB63C2"/>
    <w:rsid w:val="00BB7CE7"/>
    <w:rsid w:val="00BC03CC"/>
    <w:rsid w:val="00BC068E"/>
    <w:rsid w:val="00BC06F4"/>
    <w:rsid w:val="00BC0818"/>
    <w:rsid w:val="00BC0966"/>
    <w:rsid w:val="00BC0E92"/>
    <w:rsid w:val="00BC1013"/>
    <w:rsid w:val="00BC17C1"/>
    <w:rsid w:val="00BC28C8"/>
    <w:rsid w:val="00BC2E66"/>
    <w:rsid w:val="00BC3964"/>
    <w:rsid w:val="00BC5099"/>
    <w:rsid w:val="00BC50AC"/>
    <w:rsid w:val="00BC594C"/>
    <w:rsid w:val="00BC62AA"/>
    <w:rsid w:val="00BC6747"/>
    <w:rsid w:val="00BC6FDB"/>
    <w:rsid w:val="00BC7936"/>
    <w:rsid w:val="00BC798B"/>
    <w:rsid w:val="00BC7A47"/>
    <w:rsid w:val="00BD0131"/>
    <w:rsid w:val="00BD15B0"/>
    <w:rsid w:val="00BD196C"/>
    <w:rsid w:val="00BD1BCF"/>
    <w:rsid w:val="00BD22ED"/>
    <w:rsid w:val="00BD2EC8"/>
    <w:rsid w:val="00BD3F32"/>
    <w:rsid w:val="00BD418C"/>
    <w:rsid w:val="00BD49C6"/>
    <w:rsid w:val="00BD63CA"/>
    <w:rsid w:val="00BD68D5"/>
    <w:rsid w:val="00BD6EDD"/>
    <w:rsid w:val="00BD74B6"/>
    <w:rsid w:val="00BD7D01"/>
    <w:rsid w:val="00BE02A3"/>
    <w:rsid w:val="00BE03B9"/>
    <w:rsid w:val="00BE0484"/>
    <w:rsid w:val="00BE0B01"/>
    <w:rsid w:val="00BE0C60"/>
    <w:rsid w:val="00BE2FA8"/>
    <w:rsid w:val="00BE3016"/>
    <w:rsid w:val="00BE389B"/>
    <w:rsid w:val="00BE3C94"/>
    <w:rsid w:val="00BE3DBE"/>
    <w:rsid w:val="00BE40B4"/>
    <w:rsid w:val="00BE4444"/>
    <w:rsid w:val="00BE53CA"/>
    <w:rsid w:val="00BE6A3E"/>
    <w:rsid w:val="00BE7472"/>
    <w:rsid w:val="00BE768F"/>
    <w:rsid w:val="00BF058D"/>
    <w:rsid w:val="00BF0A7B"/>
    <w:rsid w:val="00BF0CEB"/>
    <w:rsid w:val="00BF1B95"/>
    <w:rsid w:val="00BF1BFB"/>
    <w:rsid w:val="00BF2353"/>
    <w:rsid w:val="00BF336B"/>
    <w:rsid w:val="00BF4105"/>
    <w:rsid w:val="00BF4517"/>
    <w:rsid w:val="00BF4CA5"/>
    <w:rsid w:val="00BF52E5"/>
    <w:rsid w:val="00BF5A74"/>
    <w:rsid w:val="00BF6792"/>
    <w:rsid w:val="00BF67F4"/>
    <w:rsid w:val="00BF7347"/>
    <w:rsid w:val="00C000A7"/>
    <w:rsid w:val="00C00390"/>
    <w:rsid w:val="00C01025"/>
    <w:rsid w:val="00C03064"/>
    <w:rsid w:val="00C0464B"/>
    <w:rsid w:val="00C04E5C"/>
    <w:rsid w:val="00C05BA6"/>
    <w:rsid w:val="00C07CAF"/>
    <w:rsid w:val="00C07E20"/>
    <w:rsid w:val="00C07F85"/>
    <w:rsid w:val="00C10B64"/>
    <w:rsid w:val="00C11887"/>
    <w:rsid w:val="00C11AB2"/>
    <w:rsid w:val="00C12BF1"/>
    <w:rsid w:val="00C1320D"/>
    <w:rsid w:val="00C14402"/>
    <w:rsid w:val="00C1453F"/>
    <w:rsid w:val="00C14934"/>
    <w:rsid w:val="00C156EE"/>
    <w:rsid w:val="00C15FDA"/>
    <w:rsid w:val="00C1673B"/>
    <w:rsid w:val="00C16E8D"/>
    <w:rsid w:val="00C1726C"/>
    <w:rsid w:val="00C174BB"/>
    <w:rsid w:val="00C20EBC"/>
    <w:rsid w:val="00C20F54"/>
    <w:rsid w:val="00C20F9A"/>
    <w:rsid w:val="00C2213C"/>
    <w:rsid w:val="00C22F86"/>
    <w:rsid w:val="00C23DD1"/>
    <w:rsid w:val="00C23E9C"/>
    <w:rsid w:val="00C23F5B"/>
    <w:rsid w:val="00C23F80"/>
    <w:rsid w:val="00C250AD"/>
    <w:rsid w:val="00C2743F"/>
    <w:rsid w:val="00C2751B"/>
    <w:rsid w:val="00C27FB3"/>
    <w:rsid w:val="00C30E15"/>
    <w:rsid w:val="00C31420"/>
    <w:rsid w:val="00C31A53"/>
    <w:rsid w:val="00C32492"/>
    <w:rsid w:val="00C32564"/>
    <w:rsid w:val="00C3299C"/>
    <w:rsid w:val="00C33390"/>
    <w:rsid w:val="00C3412E"/>
    <w:rsid w:val="00C34805"/>
    <w:rsid w:val="00C353D4"/>
    <w:rsid w:val="00C356D9"/>
    <w:rsid w:val="00C35FF4"/>
    <w:rsid w:val="00C405FE"/>
    <w:rsid w:val="00C40A80"/>
    <w:rsid w:val="00C428D9"/>
    <w:rsid w:val="00C458D7"/>
    <w:rsid w:val="00C4783D"/>
    <w:rsid w:val="00C47976"/>
    <w:rsid w:val="00C47CF6"/>
    <w:rsid w:val="00C50150"/>
    <w:rsid w:val="00C50C89"/>
    <w:rsid w:val="00C51130"/>
    <w:rsid w:val="00C517A0"/>
    <w:rsid w:val="00C5242B"/>
    <w:rsid w:val="00C52581"/>
    <w:rsid w:val="00C52803"/>
    <w:rsid w:val="00C53E3B"/>
    <w:rsid w:val="00C572A4"/>
    <w:rsid w:val="00C573F4"/>
    <w:rsid w:val="00C57927"/>
    <w:rsid w:val="00C617AD"/>
    <w:rsid w:val="00C61D48"/>
    <w:rsid w:val="00C61D4D"/>
    <w:rsid w:val="00C6201F"/>
    <w:rsid w:val="00C62C8D"/>
    <w:rsid w:val="00C6367A"/>
    <w:rsid w:val="00C6491E"/>
    <w:rsid w:val="00C6492C"/>
    <w:rsid w:val="00C657AE"/>
    <w:rsid w:val="00C6607D"/>
    <w:rsid w:val="00C703F9"/>
    <w:rsid w:val="00C70422"/>
    <w:rsid w:val="00C7066A"/>
    <w:rsid w:val="00C7107F"/>
    <w:rsid w:val="00C72B98"/>
    <w:rsid w:val="00C72F4D"/>
    <w:rsid w:val="00C7415F"/>
    <w:rsid w:val="00C744DD"/>
    <w:rsid w:val="00C749BA"/>
    <w:rsid w:val="00C75016"/>
    <w:rsid w:val="00C75DCF"/>
    <w:rsid w:val="00C75F0C"/>
    <w:rsid w:val="00C7768B"/>
    <w:rsid w:val="00C77712"/>
    <w:rsid w:val="00C77D5F"/>
    <w:rsid w:val="00C804F7"/>
    <w:rsid w:val="00C8050C"/>
    <w:rsid w:val="00C80BDB"/>
    <w:rsid w:val="00C81DBE"/>
    <w:rsid w:val="00C82797"/>
    <w:rsid w:val="00C854DF"/>
    <w:rsid w:val="00C856D5"/>
    <w:rsid w:val="00C86450"/>
    <w:rsid w:val="00C8650B"/>
    <w:rsid w:val="00C86746"/>
    <w:rsid w:val="00C8744F"/>
    <w:rsid w:val="00C908E5"/>
    <w:rsid w:val="00C90A51"/>
    <w:rsid w:val="00C9111B"/>
    <w:rsid w:val="00C920E4"/>
    <w:rsid w:val="00C9262D"/>
    <w:rsid w:val="00C92FBC"/>
    <w:rsid w:val="00C94BF0"/>
    <w:rsid w:val="00C952F0"/>
    <w:rsid w:val="00C955C2"/>
    <w:rsid w:val="00C95900"/>
    <w:rsid w:val="00C9636F"/>
    <w:rsid w:val="00C964E0"/>
    <w:rsid w:val="00C967F6"/>
    <w:rsid w:val="00C9759B"/>
    <w:rsid w:val="00C97687"/>
    <w:rsid w:val="00C977EA"/>
    <w:rsid w:val="00CA1F30"/>
    <w:rsid w:val="00CA2F7D"/>
    <w:rsid w:val="00CA3B42"/>
    <w:rsid w:val="00CA431D"/>
    <w:rsid w:val="00CA5E5D"/>
    <w:rsid w:val="00CA6783"/>
    <w:rsid w:val="00CA6F57"/>
    <w:rsid w:val="00CB0519"/>
    <w:rsid w:val="00CB1319"/>
    <w:rsid w:val="00CB1460"/>
    <w:rsid w:val="00CB1A77"/>
    <w:rsid w:val="00CB1B85"/>
    <w:rsid w:val="00CB1E23"/>
    <w:rsid w:val="00CB21E0"/>
    <w:rsid w:val="00CB2EB0"/>
    <w:rsid w:val="00CB3092"/>
    <w:rsid w:val="00CB3720"/>
    <w:rsid w:val="00CB3AF6"/>
    <w:rsid w:val="00CB4787"/>
    <w:rsid w:val="00CB4A17"/>
    <w:rsid w:val="00CB5201"/>
    <w:rsid w:val="00CB5D19"/>
    <w:rsid w:val="00CB69F7"/>
    <w:rsid w:val="00CB6D5C"/>
    <w:rsid w:val="00CB713A"/>
    <w:rsid w:val="00CC06FD"/>
    <w:rsid w:val="00CC0889"/>
    <w:rsid w:val="00CC1E58"/>
    <w:rsid w:val="00CC2CA2"/>
    <w:rsid w:val="00CC38DA"/>
    <w:rsid w:val="00CC3A29"/>
    <w:rsid w:val="00CC4EC1"/>
    <w:rsid w:val="00CC5049"/>
    <w:rsid w:val="00CC5090"/>
    <w:rsid w:val="00CC5151"/>
    <w:rsid w:val="00CC5650"/>
    <w:rsid w:val="00CC6C35"/>
    <w:rsid w:val="00CC76DB"/>
    <w:rsid w:val="00CC78F6"/>
    <w:rsid w:val="00CC7E9A"/>
    <w:rsid w:val="00CD1E9E"/>
    <w:rsid w:val="00CD20FB"/>
    <w:rsid w:val="00CD291E"/>
    <w:rsid w:val="00CD3661"/>
    <w:rsid w:val="00CD603B"/>
    <w:rsid w:val="00CD605B"/>
    <w:rsid w:val="00CD6079"/>
    <w:rsid w:val="00CD60F1"/>
    <w:rsid w:val="00CD64B0"/>
    <w:rsid w:val="00CD6C28"/>
    <w:rsid w:val="00CD7355"/>
    <w:rsid w:val="00CD7375"/>
    <w:rsid w:val="00CD7AE9"/>
    <w:rsid w:val="00CE0A6D"/>
    <w:rsid w:val="00CE0D92"/>
    <w:rsid w:val="00CE1501"/>
    <w:rsid w:val="00CE2E66"/>
    <w:rsid w:val="00CE3548"/>
    <w:rsid w:val="00CE413E"/>
    <w:rsid w:val="00CE5047"/>
    <w:rsid w:val="00CE64DD"/>
    <w:rsid w:val="00CE6F5C"/>
    <w:rsid w:val="00CF0B4A"/>
    <w:rsid w:val="00CF0FC8"/>
    <w:rsid w:val="00CF1EE1"/>
    <w:rsid w:val="00CF249A"/>
    <w:rsid w:val="00CF2C6C"/>
    <w:rsid w:val="00CF4012"/>
    <w:rsid w:val="00CF4074"/>
    <w:rsid w:val="00CF490E"/>
    <w:rsid w:val="00CF4E55"/>
    <w:rsid w:val="00CF6281"/>
    <w:rsid w:val="00CF6447"/>
    <w:rsid w:val="00CF7142"/>
    <w:rsid w:val="00CF7D97"/>
    <w:rsid w:val="00CF7F7B"/>
    <w:rsid w:val="00D014C5"/>
    <w:rsid w:val="00D01843"/>
    <w:rsid w:val="00D02ACC"/>
    <w:rsid w:val="00D03990"/>
    <w:rsid w:val="00D044E5"/>
    <w:rsid w:val="00D045A6"/>
    <w:rsid w:val="00D047ED"/>
    <w:rsid w:val="00D050FC"/>
    <w:rsid w:val="00D062E4"/>
    <w:rsid w:val="00D068E6"/>
    <w:rsid w:val="00D07A48"/>
    <w:rsid w:val="00D07C50"/>
    <w:rsid w:val="00D07F56"/>
    <w:rsid w:val="00D120C1"/>
    <w:rsid w:val="00D1229C"/>
    <w:rsid w:val="00D128A0"/>
    <w:rsid w:val="00D12D4A"/>
    <w:rsid w:val="00D13693"/>
    <w:rsid w:val="00D13D14"/>
    <w:rsid w:val="00D14297"/>
    <w:rsid w:val="00D142F1"/>
    <w:rsid w:val="00D1438A"/>
    <w:rsid w:val="00D147FC"/>
    <w:rsid w:val="00D14D3E"/>
    <w:rsid w:val="00D1534F"/>
    <w:rsid w:val="00D15833"/>
    <w:rsid w:val="00D15EFE"/>
    <w:rsid w:val="00D1778D"/>
    <w:rsid w:val="00D17D2E"/>
    <w:rsid w:val="00D20434"/>
    <w:rsid w:val="00D20D95"/>
    <w:rsid w:val="00D20FD6"/>
    <w:rsid w:val="00D216EB"/>
    <w:rsid w:val="00D2179A"/>
    <w:rsid w:val="00D219B3"/>
    <w:rsid w:val="00D22051"/>
    <w:rsid w:val="00D22A9A"/>
    <w:rsid w:val="00D234F6"/>
    <w:rsid w:val="00D23535"/>
    <w:rsid w:val="00D2374F"/>
    <w:rsid w:val="00D2386E"/>
    <w:rsid w:val="00D23AE8"/>
    <w:rsid w:val="00D240F4"/>
    <w:rsid w:val="00D25F18"/>
    <w:rsid w:val="00D272F0"/>
    <w:rsid w:val="00D27629"/>
    <w:rsid w:val="00D31209"/>
    <w:rsid w:val="00D314EC"/>
    <w:rsid w:val="00D31D72"/>
    <w:rsid w:val="00D32AE1"/>
    <w:rsid w:val="00D33691"/>
    <w:rsid w:val="00D3462E"/>
    <w:rsid w:val="00D36083"/>
    <w:rsid w:val="00D403A4"/>
    <w:rsid w:val="00D40601"/>
    <w:rsid w:val="00D409D6"/>
    <w:rsid w:val="00D41941"/>
    <w:rsid w:val="00D41F7B"/>
    <w:rsid w:val="00D42C17"/>
    <w:rsid w:val="00D42CF4"/>
    <w:rsid w:val="00D4320A"/>
    <w:rsid w:val="00D439EF"/>
    <w:rsid w:val="00D441A9"/>
    <w:rsid w:val="00D4437E"/>
    <w:rsid w:val="00D44584"/>
    <w:rsid w:val="00D4513A"/>
    <w:rsid w:val="00D45461"/>
    <w:rsid w:val="00D454A9"/>
    <w:rsid w:val="00D45699"/>
    <w:rsid w:val="00D46D44"/>
    <w:rsid w:val="00D47AA4"/>
    <w:rsid w:val="00D4F466"/>
    <w:rsid w:val="00D51135"/>
    <w:rsid w:val="00D52134"/>
    <w:rsid w:val="00D5226D"/>
    <w:rsid w:val="00D523ED"/>
    <w:rsid w:val="00D52464"/>
    <w:rsid w:val="00D52885"/>
    <w:rsid w:val="00D52C75"/>
    <w:rsid w:val="00D5356F"/>
    <w:rsid w:val="00D535D2"/>
    <w:rsid w:val="00D53757"/>
    <w:rsid w:val="00D53F41"/>
    <w:rsid w:val="00D5785C"/>
    <w:rsid w:val="00D57B5B"/>
    <w:rsid w:val="00D603F4"/>
    <w:rsid w:val="00D6089B"/>
    <w:rsid w:val="00D615CC"/>
    <w:rsid w:val="00D61F35"/>
    <w:rsid w:val="00D62442"/>
    <w:rsid w:val="00D64105"/>
    <w:rsid w:val="00D64189"/>
    <w:rsid w:val="00D64963"/>
    <w:rsid w:val="00D65E60"/>
    <w:rsid w:val="00D661F9"/>
    <w:rsid w:val="00D6644E"/>
    <w:rsid w:val="00D66C6E"/>
    <w:rsid w:val="00D67658"/>
    <w:rsid w:val="00D677B9"/>
    <w:rsid w:val="00D67EAB"/>
    <w:rsid w:val="00D71049"/>
    <w:rsid w:val="00D7121A"/>
    <w:rsid w:val="00D7230E"/>
    <w:rsid w:val="00D72D56"/>
    <w:rsid w:val="00D72DAF"/>
    <w:rsid w:val="00D74E80"/>
    <w:rsid w:val="00D753F0"/>
    <w:rsid w:val="00D7637B"/>
    <w:rsid w:val="00D7749D"/>
    <w:rsid w:val="00D77633"/>
    <w:rsid w:val="00D77A02"/>
    <w:rsid w:val="00D77A96"/>
    <w:rsid w:val="00D80229"/>
    <w:rsid w:val="00D83952"/>
    <w:rsid w:val="00D83CB9"/>
    <w:rsid w:val="00D83DBC"/>
    <w:rsid w:val="00D8418B"/>
    <w:rsid w:val="00D845EE"/>
    <w:rsid w:val="00D84D4D"/>
    <w:rsid w:val="00D84FBB"/>
    <w:rsid w:val="00D85040"/>
    <w:rsid w:val="00D85406"/>
    <w:rsid w:val="00D85A36"/>
    <w:rsid w:val="00D85A62"/>
    <w:rsid w:val="00D864FD"/>
    <w:rsid w:val="00D867A5"/>
    <w:rsid w:val="00D86939"/>
    <w:rsid w:val="00D87149"/>
    <w:rsid w:val="00D90216"/>
    <w:rsid w:val="00D911D8"/>
    <w:rsid w:val="00D91940"/>
    <w:rsid w:val="00D937C4"/>
    <w:rsid w:val="00D955CA"/>
    <w:rsid w:val="00D9611D"/>
    <w:rsid w:val="00D96E72"/>
    <w:rsid w:val="00DA040E"/>
    <w:rsid w:val="00DA102B"/>
    <w:rsid w:val="00DA1130"/>
    <w:rsid w:val="00DA1295"/>
    <w:rsid w:val="00DA1A72"/>
    <w:rsid w:val="00DA2489"/>
    <w:rsid w:val="00DA2965"/>
    <w:rsid w:val="00DA3DA0"/>
    <w:rsid w:val="00DA4ED7"/>
    <w:rsid w:val="00DA542D"/>
    <w:rsid w:val="00DA5459"/>
    <w:rsid w:val="00DA61C3"/>
    <w:rsid w:val="00DA65C5"/>
    <w:rsid w:val="00DA6CBB"/>
    <w:rsid w:val="00DA6CEE"/>
    <w:rsid w:val="00DB0527"/>
    <w:rsid w:val="00DB1365"/>
    <w:rsid w:val="00DB1648"/>
    <w:rsid w:val="00DB32B6"/>
    <w:rsid w:val="00DB465C"/>
    <w:rsid w:val="00DB5C1C"/>
    <w:rsid w:val="00DB5C31"/>
    <w:rsid w:val="00DB5DC4"/>
    <w:rsid w:val="00DB5EB3"/>
    <w:rsid w:val="00DB6094"/>
    <w:rsid w:val="00DB6C0E"/>
    <w:rsid w:val="00DB747A"/>
    <w:rsid w:val="00DB7CB9"/>
    <w:rsid w:val="00DB7E19"/>
    <w:rsid w:val="00DC03AF"/>
    <w:rsid w:val="00DC0EA5"/>
    <w:rsid w:val="00DC110A"/>
    <w:rsid w:val="00DC1AF5"/>
    <w:rsid w:val="00DC1BCE"/>
    <w:rsid w:val="00DC309B"/>
    <w:rsid w:val="00DC37A0"/>
    <w:rsid w:val="00DC4C18"/>
    <w:rsid w:val="00DC5616"/>
    <w:rsid w:val="00DC5772"/>
    <w:rsid w:val="00DC5F3C"/>
    <w:rsid w:val="00DC5FAC"/>
    <w:rsid w:val="00DC6514"/>
    <w:rsid w:val="00DC6763"/>
    <w:rsid w:val="00DC6814"/>
    <w:rsid w:val="00DC6FA8"/>
    <w:rsid w:val="00DC7138"/>
    <w:rsid w:val="00DC7B5F"/>
    <w:rsid w:val="00DD2F84"/>
    <w:rsid w:val="00DD3557"/>
    <w:rsid w:val="00DD35A0"/>
    <w:rsid w:val="00DD37C3"/>
    <w:rsid w:val="00DD5B27"/>
    <w:rsid w:val="00DD67FF"/>
    <w:rsid w:val="00DE0B00"/>
    <w:rsid w:val="00DE0FAB"/>
    <w:rsid w:val="00DE15A9"/>
    <w:rsid w:val="00DE247C"/>
    <w:rsid w:val="00DE35D2"/>
    <w:rsid w:val="00DE48CB"/>
    <w:rsid w:val="00DE515E"/>
    <w:rsid w:val="00DE612B"/>
    <w:rsid w:val="00DE6567"/>
    <w:rsid w:val="00DE6EC7"/>
    <w:rsid w:val="00DE700F"/>
    <w:rsid w:val="00DE7A94"/>
    <w:rsid w:val="00DE7E6F"/>
    <w:rsid w:val="00DE7F86"/>
    <w:rsid w:val="00DF0FE7"/>
    <w:rsid w:val="00DF2CFF"/>
    <w:rsid w:val="00DF2E2E"/>
    <w:rsid w:val="00DF342D"/>
    <w:rsid w:val="00DF3F46"/>
    <w:rsid w:val="00DF40EB"/>
    <w:rsid w:val="00DF4466"/>
    <w:rsid w:val="00DF463C"/>
    <w:rsid w:val="00DF50C8"/>
    <w:rsid w:val="00DF50F5"/>
    <w:rsid w:val="00DF5C11"/>
    <w:rsid w:val="00DF666B"/>
    <w:rsid w:val="00DF76E7"/>
    <w:rsid w:val="00DF7760"/>
    <w:rsid w:val="00DF7C8E"/>
    <w:rsid w:val="00E0074C"/>
    <w:rsid w:val="00E009DD"/>
    <w:rsid w:val="00E015A0"/>
    <w:rsid w:val="00E026D2"/>
    <w:rsid w:val="00E02FC7"/>
    <w:rsid w:val="00E034E4"/>
    <w:rsid w:val="00E03696"/>
    <w:rsid w:val="00E03E0B"/>
    <w:rsid w:val="00E04041"/>
    <w:rsid w:val="00E041D0"/>
    <w:rsid w:val="00E047CC"/>
    <w:rsid w:val="00E060D4"/>
    <w:rsid w:val="00E068E3"/>
    <w:rsid w:val="00E07FB0"/>
    <w:rsid w:val="00E1085B"/>
    <w:rsid w:val="00E10DF4"/>
    <w:rsid w:val="00E11089"/>
    <w:rsid w:val="00E1379E"/>
    <w:rsid w:val="00E14230"/>
    <w:rsid w:val="00E14B32"/>
    <w:rsid w:val="00E1586E"/>
    <w:rsid w:val="00E15A09"/>
    <w:rsid w:val="00E15C3C"/>
    <w:rsid w:val="00E1607D"/>
    <w:rsid w:val="00E176B3"/>
    <w:rsid w:val="00E17DB9"/>
    <w:rsid w:val="00E20548"/>
    <w:rsid w:val="00E20BF1"/>
    <w:rsid w:val="00E20D3B"/>
    <w:rsid w:val="00E2140B"/>
    <w:rsid w:val="00E21E19"/>
    <w:rsid w:val="00E22251"/>
    <w:rsid w:val="00E230DC"/>
    <w:rsid w:val="00E23779"/>
    <w:rsid w:val="00E238F9"/>
    <w:rsid w:val="00E2440E"/>
    <w:rsid w:val="00E25123"/>
    <w:rsid w:val="00E254F9"/>
    <w:rsid w:val="00E2585A"/>
    <w:rsid w:val="00E2668D"/>
    <w:rsid w:val="00E26998"/>
    <w:rsid w:val="00E26CCC"/>
    <w:rsid w:val="00E26D59"/>
    <w:rsid w:val="00E2766E"/>
    <w:rsid w:val="00E27684"/>
    <w:rsid w:val="00E30527"/>
    <w:rsid w:val="00E306EF"/>
    <w:rsid w:val="00E3125F"/>
    <w:rsid w:val="00E32B11"/>
    <w:rsid w:val="00E33AA2"/>
    <w:rsid w:val="00E3449B"/>
    <w:rsid w:val="00E35F80"/>
    <w:rsid w:val="00E360D8"/>
    <w:rsid w:val="00E36E51"/>
    <w:rsid w:val="00E37AAD"/>
    <w:rsid w:val="00E4029E"/>
    <w:rsid w:val="00E40651"/>
    <w:rsid w:val="00E4240B"/>
    <w:rsid w:val="00E4276F"/>
    <w:rsid w:val="00E42BF8"/>
    <w:rsid w:val="00E44FEA"/>
    <w:rsid w:val="00E45B04"/>
    <w:rsid w:val="00E46C8C"/>
    <w:rsid w:val="00E475F5"/>
    <w:rsid w:val="00E4763C"/>
    <w:rsid w:val="00E508BC"/>
    <w:rsid w:val="00E50F64"/>
    <w:rsid w:val="00E5130D"/>
    <w:rsid w:val="00E517A8"/>
    <w:rsid w:val="00E51EFE"/>
    <w:rsid w:val="00E52354"/>
    <w:rsid w:val="00E53190"/>
    <w:rsid w:val="00E53F8F"/>
    <w:rsid w:val="00E542A9"/>
    <w:rsid w:val="00E54C03"/>
    <w:rsid w:val="00E552FD"/>
    <w:rsid w:val="00E5558E"/>
    <w:rsid w:val="00E55C47"/>
    <w:rsid w:val="00E564DF"/>
    <w:rsid w:val="00E56DCA"/>
    <w:rsid w:val="00E60158"/>
    <w:rsid w:val="00E606B1"/>
    <w:rsid w:val="00E60C62"/>
    <w:rsid w:val="00E62377"/>
    <w:rsid w:val="00E625A8"/>
    <w:rsid w:val="00E62FBB"/>
    <w:rsid w:val="00E63D3E"/>
    <w:rsid w:val="00E63F8F"/>
    <w:rsid w:val="00E64E92"/>
    <w:rsid w:val="00E66D2C"/>
    <w:rsid w:val="00E670FC"/>
    <w:rsid w:val="00E67289"/>
    <w:rsid w:val="00E67B58"/>
    <w:rsid w:val="00E704FE"/>
    <w:rsid w:val="00E707ED"/>
    <w:rsid w:val="00E71146"/>
    <w:rsid w:val="00E74591"/>
    <w:rsid w:val="00E75B89"/>
    <w:rsid w:val="00E766D1"/>
    <w:rsid w:val="00E770C0"/>
    <w:rsid w:val="00E77452"/>
    <w:rsid w:val="00E8109D"/>
    <w:rsid w:val="00E828D6"/>
    <w:rsid w:val="00E83680"/>
    <w:rsid w:val="00E83773"/>
    <w:rsid w:val="00E83885"/>
    <w:rsid w:val="00E83DDC"/>
    <w:rsid w:val="00E841A7"/>
    <w:rsid w:val="00E8459B"/>
    <w:rsid w:val="00E84A0C"/>
    <w:rsid w:val="00E84A78"/>
    <w:rsid w:val="00E84F32"/>
    <w:rsid w:val="00E858C1"/>
    <w:rsid w:val="00E85A7F"/>
    <w:rsid w:val="00E85BC7"/>
    <w:rsid w:val="00E87ADA"/>
    <w:rsid w:val="00E87DB3"/>
    <w:rsid w:val="00E904A3"/>
    <w:rsid w:val="00E9060F"/>
    <w:rsid w:val="00E90D4A"/>
    <w:rsid w:val="00E90DE1"/>
    <w:rsid w:val="00E90FC8"/>
    <w:rsid w:val="00E910C9"/>
    <w:rsid w:val="00E91643"/>
    <w:rsid w:val="00E92BC0"/>
    <w:rsid w:val="00E92C5A"/>
    <w:rsid w:val="00E92EF7"/>
    <w:rsid w:val="00E94864"/>
    <w:rsid w:val="00E9543B"/>
    <w:rsid w:val="00E956B1"/>
    <w:rsid w:val="00E96CE7"/>
    <w:rsid w:val="00E97B1B"/>
    <w:rsid w:val="00E97BC3"/>
    <w:rsid w:val="00EA06A0"/>
    <w:rsid w:val="00EA1206"/>
    <w:rsid w:val="00EA173F"/>
    <w:rsid w:val="00EA1B4C"/>
    <w:rsid w:val="00EA2356"/>
    <w:rsid w:val="00EA347E"/>
    <w:rsid w:val="00EA3A66"/>
    <w:rsid w:val="00EA51AC"/>
    <w:rsid w:val="00EA5312"/>
    <w:rsid w:val="00EA617E"/>
    <w:rsid w:val="00EA6497"/>
    <w:rsid w:val="00EA790B"/>
    <w:rsid w:val="00EA7F18"/>
    <w:rsid w:val="00EB0619"/>
    <w:rsid w:val="00EB1289"/>
    <w:rsid w:val="00EB1930"/>
    <w:rsid w:val="00EB32D7"/>
    <w:rsid w:val="00EB43E8"/>
    <w:rsid w:val="00EB568E"/>
    <w:rsid w:val="00EB5AAA"/>
    <w:rsid w:val="00EB5B15"/>
    <w:rsid w:val="00EB6685"/>
    <w:rsid w:val="00EB6DF6"/>
    <w:rsid w:val="00EB719A"/>
    <w:rsid w:val="00EB7534"/>
    <w:rsid w:val="00EC09DA"/>
    <w:rsid w:val="00EC142A"/>
    <w:rsid w:val="00EC1B86"/>
    <w:rsid w:val="00EC27EC"/>
    <w:rsid w:val="00EC2F78"/>
    <w:rsid w:val="00EC3E52"/>
    <w:rsid w:val="00EC3E67"/>
    <w:rsid w:val="00EC41A4"/>
    <w:rsid w:val="00EC44D8"/>
    <w:rsid w:val="00EC5079"/>
    <w:rsid w:val="00EC59F9"/>
    <w:rsid w:val="00EC6B95"/>
    <w:rsid w:val="00EC708E"/>
    <w:rsid w:val="00ED03C2"/>
    <w:rsid w:val="00ED0889"/>
    <w:rsid w:val="00ED21E9"/>
    <w:rsid w:val="00ED2528"/>
    <w:rsid w:val="00ED27AF"/>
    <w:rsid w:val="00ED285E"/>
    <w:rsid w:val="00ED2FCE"/>
    <w:rsid w:val="00ED4EC8"/>
    <w:rsid w:val="00ED57C9"/>
    <w:rsid w:val="00ED65A4"/>
    <w:rsid w:val="00ED7390"/>
    <w:rsid w:val="00EE0390"/>
    <w:rsid w:val="00EE2154"/>
    <w:rsid w:val="00EE2E0F"/>
    <w:rsid w:val="00EE2F04"/>
    <w:rsid w:val="00EE34C4"/>
    <w:rsid w:val="00EE37A3"/>
    <w:rsid w:val="00EE3998"/>
    <w:rsid w:val="00EE3F87"/>
    <w:rsid w:val="00EE40E8"/>
    <w:rsid w:val="00EE4662"/>
    <w:rsid w:val="00EE470A"/>
    <w:rsid w:val="00EE4868"/>
    <w:rsid w:val="00EE4895"/>
    <w:rsid w:val="00EE4A8C"/>
    <w:rsid w:val="00EE532A"/>
    <w:rsid w:val="00EE5376"/>
    <w:rsid w:val="00EE7FBF"/>
    <w:rsid w:val="00EF1579"/>
    <w:rsid w:val="00EF171A"/>
    <w:rsid w:val="00EF1CE2"/>
    <w:rsid w:val="00EF338F"/>
    <w:rsid w:val="00EF4391"/>
    <w:rsid w:val="00EF4A9C"/>
    <w:rsid w:val="00EF5F75"/>
    <w:rsid w:val="00EF6E5F"/>
    <w:rsid w:val="00EF7D2B"/>
    <w:rsid w:val="00F00EE5"/>
    <w:rsid w:val="00F01429"/>
    <w:rsid w:val="00F0182C"/>
    <w:rsid w:val="00F01B87"/>
    <w:rsid w:val="00F01FFB"/>
    <w:rsid w:val="00F03A0E"/>
    <w:rsid w:val="00F03C2A"/>
    <w:rsid w:val="00F04253"/>
    <w:rsid w:val="00F04D9C"/>
    <w:rsid w:val="00F05285"/>
    <w:rsid w:val="00F07548"/>
    <w:rsid w:val="00F07968"/>
    <w:rsid w:val="00F119E3"/>
    <w:rsid w:val="00F11B3C"/>
    <w:rsid w:val="00F12E65"/>
    <w:rsid w:val="00F1320D"/>
    <w:rsid w:val="00F134D9"/>
    <w:rsid w:val="00F13A41"/>
    <w:rsid w:val="00F13BDA"/>
    <w:rsid w:val="00F14086"/>
    <w:rsid w:val="00F150D8"/>
    <w:rsid w:val="00F15427"/>
    <w:rsid w:val="00F158A1"/>
    <w:rsid w:val="00F16C2E"/>
    <w:rsid w:val="00F2006F"/>
    <w:rsid w:val="00F20D6F"/>
    <w:rsid w:val="00F21B54"/>
    <w:rsid w:val="00F21E44"/>
    <w:rsid w:val="00F21ED2"/>
    <w:rsid w:val="00F21FCD"/>
    <w:rsid w:val="00F229A2"/>
    <w:rsid w:val="00F2347D"/>
    <w:rsid w:val="00F25094"/>
    <w:rsid w:val="00F25C96"/>
    <w:rsid w:val="00F26290"/>
    <w:rsid w:val="00F26A0F"/>
    <w:rsid w:val="00F272BD"/>
    <w:rsid w:val="00F273C3"/>
    <w:rsid w:val="00F27A0F"/>
    <w:rsid w:val="00F27E90"/>
    <w:rsid w:val="00F31A38"/>
    <w:rsid w:val="00F32026"/>
    <w:rsid w:val="00F32FAF"/>
    <w:rsid w:val="00F3342B"/>
    <w:rsid w:val="00F3415C"/>
    <w:rsid w:val="00F34383"/>
    <w:rsid w:val="00F356C1"/>
    <w:rsid w:val="00F36102"/>
    <w:rsid w:val="00F36732"/>
    <w:rsid w:val="00F36C2F"/>
    <w:rsid w:val="00F36C5F"/>
    <w:rsid w:val="00F37A54"/>
    <w:rsid w:val="00F403AF"/>
    <w:rsid w:val="00F406D7"/>
    <w:rsid w:val="00F40872"/>
    <w:rsid w:val="00F40D48"/>
    <w:rsid w:val="00F412F3"/>
    <w:rsid w:val="00F41530"/>
    <w:rsid w:val="00F427D2"/>
    <w:rsid w:val="00F42B56"/>
    <w:rsid w:val="00F4332D"/>
    <w:rsid w:val="00F44AA0"/>
    <w:rsid w:val="00F455AC"/>
    <w:rsid w:val="00F4613C"/>
    <w:rsid w:val="00F46D50"/>
    <w:rsid w:val="00F4742A"/>
    <w:rsid w:val="00F47490"/>
    <w:rsid w:val="00F5009A"/>
    <w:rsid w:val="00F5027B"/>
    <w:rsid w:val="00F510CC"/>
    <w:rsid w:val="00F512E7"/>
    <w:rsid w:val="00F51334"/>
    <w:rsid w:val="00F517BF"/>
    <w:rsid w:val="00F519B1"/>
    <w:rsid w:val="00F5252E"/>
    <w:rsid w:val="00F52D49"/>
    <w:rsid w:val="00F53879"/>
    <w:rsid w:val="00F543BD"/>
    <w:rsid w:val="00F55869"/>
    <w:rsid w:val="00F562E3"/>
    <w:rsid w:val="00F566B5"/>
    <w:rsid w:val="00F56E07"/>
    <w:rsid w:val="00F57BAF"/>
    <w:rsid w:val="00F60560"/>
    <w:rsid w:val="00F60801"/>
    <w:rsid w:val="00F6097C"/>
    <w:rsid w:val="00F60CA6"/>
    <w:rsid w:val="00F62DEC"/>
    <w:rsid w:val="00F63D07"/>
    <w:rsid w:val="00F63FB4"/>
    <w:rsid w:val="00F648E5"/>
    <w:rsid w:val="00F64A1C"/>
    <w:rsid w:val="00F658F7"/>
    <w:rsid w:val="00F65C53"/>
    <w:rsid w:val="00F66B2E"/>
    <w:rsid w:val="00F7186F"/>
    <w:rsid w:val="00F71A60"/>
    <w:rsid w:val="00F725F5"/>
    <w:rsid w:val="00F726FE"/>
    <w:rsid w:val="00F73ACE"/>
    <w:rsid w:val="00F753C5"/>
    <w:rsid w:val="00F75BA3"/>
    <w:rsid w:val="00F7719B"/>
    <w:rsid w:val="00F77BC8"/>
    <w:rsid w:val="00F81F61"/>
    <w:rsid w:val="00F8249A"/>
    <w:rsid w:val="00F831B4"/>
    <w:rsid w:val="00F83943"/>
    <w:rsid w:val="00F83ECC"/>
    <w:rsid w:val="00F84E49"/>
    <w:rsid w:val="00F8598E"/>
    <w:rsid w:val="00F86252"/>
    <w:rsid w:val="00F86353"/>
    <w:rsid w:val="00F87660"/>
    <w:rsid w:val="00F91CB6"/>
    <w:rsid w:val="00F92E0E"/>
    <w:rsid w:val="00F93F1E"/>
    <w:rsid w:val="00F94215"/>
    <w:rsid w:val="00F955A8"/>
    <w:rsid w:val="00F9573B"/>
    <w:rsid w:val="00F95FF1"/>
    <w:rsid w:val="00F961A0"/>
    <w:rsid w:val="00F96384"/>
    <w:rsid w:val="00F965FA"/>
    <w:rsid w:val="00F96C2D"/>
    <w:rsid w:val="00F9CF4C"/>
    <w:rsid w:val="00FA0516"/>
    <w:rsid w:val="00FA1790"/>
    <w:rsid w:val="00FA186A"/>
    <w:rsid w:val="00FA1E33"/>
    <w:rsid w:val="00FA2A2E"/>
    <w:rsid w:val="00FA3FBA"/>
    <w:rsid w:val="00FA43B8"/>
    <w:rsid w:val="00FA4414"/>
    <w:rsid w:val="00FA482C"/>
    <w:rsid w:val="00FA556A"/>
    <w:rsid w:val="00FA573F"/>
    <w:rsid w:val="00FA6AD7"/>
    <w:rsid w:val="00FA705F"/>
    <w:rsid w:val="00FA7930"/>
    <w:rsid w:val="00FA7B2E"/>
    <w:rsid w:val="00FA7D23"/>
    <w:rsid w:val="00FB015E"/>
    <w:rsid w:val="00FB2667"/>
    <w:rsid w:val="00FB2CB0"/>
    <w:rsid w:val="00FB37E1"/>
    <w:rsid w:val="00FB3800"/>
    <w:rsid w:val="00FB46B5"/>
    <w:rsid w:val="00FB4CF5"/>
    <w:rsid w:val="00FB5AE2"/>
    <w:rsid w:val="00FB62E5"/>
    <w:rsid w:val="00FB66BF"/>
    <w:rsid w:val="00FC0620"/>
    <w:rsid w:val="00FC06FD"/>
    <w:rsid w:val="00FC0DE5"/>
    <w:rsid w:val="00FC1158"/>
    <w:rsid w:val="00FC16F1"/>
    <w:rsid w:val="00FC2F6B"/>
    <w:rsid w:val="00FC3FBF"/>
    <w:rsid w:val="00FC4233"/>
    <w:rsid w:val="00FC4B88"/>
    <w:rsid w:val="00FC5842"/>
    <w:rsid w:val="00FC5964"/>
    <w:rsid w:val="00FC5E71"/>
    <w:rsid w:val="00FC6164"/>
    <w:rsid w:val="00FC654C"/>
    <w:rsid w:val="00FC7316"/>
    <w:rsid w:val="00FC73DB"/>
    <w:rsid w:val="00FC78E1"/>
    <w:rsid w:val="00FC7E2B"/>
    <w:rsid w:val="00FD10B5"/>
    <w:rsid w:val="00FD2E7C"/>
    <w:rsid w:val="00FD3816"/>
    <w:rsid w:val="00FD523C"/>
    <w:rsid w:val="00FD58D4"/>
    <w:rsid w:val="00FD64CB"/>
    <w:rsid w:val="00FD716F"/>
    <w:rsid w:val="00FD7BDD"/>
    <w:rsid w:val="00FE02DA"/>
    <w:rsid w:val="00FE0711"/>
    <w:rsid w:val="00FE10E0"/>
    <w:rsid w:val="00FE16A3"/>
    <w:rsid w:val="00FE1A87"/>
    <w:rsid w:val="00FE286D"/>
    <w:rsid w:val="00FE28EE"/>
    <w:rsid w:val="00FE2B26"/>
    <w:rsid w:val="00FE2EA0"/>
    <w:rsid w:val="00FE2F36"/>
    <w:rsid w:val="00FE3D9A"/>
    <w:rsid w:val="00FE5714"/>
    <w:rsid w:val="00FF1355"/>
    <w:rsid w:val="00FF1543"/>
    <w:rsid w:val="00FF2FEE"/>
    <w:rsid w:val="00FF3240"/>
    <w:rsid w:val="00FF3740"/>
    <w:rsid w:val="00FF3A3B"/>
    <w:rsid w:val="00FF4B19"/>
    <w:rsid w:val="00FF4E03"/>
    <w:rsid w:val="00FF5DC6"/>
    <w:rsid w:val="00FF6075"/>
    <w:rsid w:val="00FF6275"/>
    <w:rsid w:val="00FF6D30"/>
    <w:rsid w:val="00FF7587"/>
    <w:rsid w:val="00FF794A"/>
    <w:rsid w:val="010645CF"/>
    <w:rsid w:val="011687EF"/>
    <w:rsid w:val="011C5729"/>
    <w:rsid w:val="01355445"/>
    <w:rsid w:val="013F0B40"/>
    <w:rsid w:val="01476CA5"/>
    <w:rsid w:val="014DAE30"/>
    <w:rsid w:val="014E881C"/>
    <w:rsid w:val="0150C1EA"/>
    <w:rsid w:val="01598E37"/>
    <w:rsid w:val="015C2147"/>
    <w:rsid w:val="0166A04C"/>
    <w:rsid w:val="016E51ED"/>
    <w:rsid w:val="016FA50F"/>
    <w:rsid w:val="0174356A"/>
    <w:rsid w:val="017FCF9F"/>
    <w:rsid w:val="01B23957"/>
    <w:rsid w:val="01BECA4A"/>
    <w:rsid w:val="01CDD8BF"/>
    <w:rsid w:val="01D8CCE3"/>
    <w:rsid w:val="01E16999"/>
    <w:rsid w:val="01EBC048"/>
    <w:rsid w:val="02243CBB"/>
    <w:rsid w:val="0226C4F4"/>
    <w:rsid w:val="023352FA"/>
    <w:rsid w:val="024428E1"/>
    <w:rsid w:val="026F8FEE"/>
    <w:rsid w:val="0279612D"/>
    <w:rsid w:val="027C8CD3"/>
    <w:rsid w:val="02AB988D"/>
    <w:rsid w:val="02F12331"/>
    <w:rsid w:val="02F56CAA"/>
    <w:rsid w:val="02F65689"/>
    <w:rsid w:val="03012A85"/>
    <w:rsid w:val="03059C72"/>
    <w:rsid w:val="0348695C"/>
    <w:rsid w:val="035AE195"/>
    <w:rsid w:val="036BD0B7"/>
    <w:rsid w:val="036BDAFA"/>
    <w:rsid w:val="03779E29"/>
    <w:rsid w:val="03838755"/>
    <w:rsid w:val="039C6E0F"/>
    <w:rsid w:val="03A5786B"/>
    <w:rsid w:val="03A94846"/>
    <w:rsid w:val="03C3058E"/>
    <w:rsid w:val="03D0A398"/>
    <w:rsid w:val="03E7E81B"/>
    <w:rsid w:val="03F6C856"/>
    <w:rsid w:val="0414F634"/>
    <w:rsid w:val="042025E7"/>
    <w:rsid w:val="042EE134"/>
    <w:rsid w:val="0430F5B1"/>
    <w:rsid w:val="04346175"/>
    <w:rsid w:val="0445DBDD"/>
    <w:rsid w:val="04462C5E"/>
    <w:rsid w:val="044A10A9"/>
    <w:rsid w:val="044F9E3D"/>
    <w:rsid w:val="04649C32"/>
    <w:rsid w:val="0477458A"/>
    <w:rsid w:val="049784D4"/>
    <w:rsid w:val="04AB9A4B"/>
    <w:rsid w:val="04B6362A"/>
    <w:rsid w:val="04D45D5D"/>
    <w:rsid w:val="04E83347"/>
    <w:rsid w:val="04E8FDCA"/>
    <w:rsid w:val="04EF9C61"/>
    <w:rsid w:val="04F6EAB0"/>
    <w:rsid w:val="04F91885"/>
    <w:rsid w:val="050728AA"/>
    <w:rsid w:val="05161890"/>
    <w:rsid w:val="0526C4EA"/>
    <w:rsid w:val="053517AA"/>
    <w:rsid w:val="053CC7B4"/>
    <w:rsid w:val="054DC02E"/>
    <w:rsid w:val="055AFF69"/>
    <w:rsid w:val="055BDE9C"/>
    <w:rsid w:val="056013DD"/>
    <w:rsid w:val="0566CEFD"/>
    <w:rsid w:val="056C25BD"/>
    <w:rsid w:val="056C7BD5"/>
    <w:rsid w:val="0575B841"/>
    <w:rsid w:val="05817A5A"/>
    <w:rsid w:val="0584DF9A"/>
    <w:rsid w:val="0589F056"/>
    <w:rsid w:val="059494D4"/>
    <w:rsid w:val="059C9EB2"/>
    <w:rsid w:val="05B01E96"/>
    <w:rsid w:val="05B0488B"/>
    <w:rsid w:val="05DBDDDA"/>
    <w:rsid w:val="06217718"/>
    <w:rsid w:val="0638184A"/>
    <w:rsid w:val="064B454C"/>
    <w:rsid w:val="066DA40B"/>
    <w:rsid w:val="066E4B40"/>
    <w:rsid w:val="069032B4"/>
    <w:rsid w:val="0692B5C8"/>
    <w:rsid w:val="0698FB0D"/>
    <w:rsid w:val="06ABFEDF"/>
    <w:rsid w:val="06AC400A"/>
    <w:rsid w:val="06B8C7F2"/>
    <w:rsid w:val="06D5CECE"/>
    <w:rsid w:val="06E6C712"/>
    <w:rsid w:val="06F0928D"/>
    <w:rsid w:val="06F23842"/>
    <w:rsid w:val="06F8704F"/>
    <w:rsid w:val="070A61A0"/>
    <w:rsid w:val="070DD282"/>
    <w:rsid w:val="070EA3C3"/>
    <w:rsid w:val="072BAA04"/>
    <w:rsid w:val="073456E5"/>
    <w:rsid w:val="073E59F5"/>
    <w:rsid w:val="074316FB"/>
    <w:rsid w:val="074AD586"/>
    <w:rsid w:val="075A3F56"/>
    <w:rsid w:val="075F7262"/>
    <w:rsid w:val="076091C3"/>
    <w:rsid w:val="076448F7"/>
    <w:rsid w:val="076BA504"/>
    <w:rsid w:val="0773D84B"/>
    <w:rsid w:val="0780B723"/>
    <w:rsid w:val="07A35F58"/>
    <w:rsid w:val="07B243CE"/>
    <w:rsid w:val="07BCF0E6"/>
    <w:rsid w:val="07BCF940"/>
    <w:rsid w:val="07D01B76"/>
    <w:rsid w:val="080FB3DA"/>
    <w:rsid w:val="082612BD"/>
    <w:rsid w:val="0826E13B"/>
    <w:rsid w:val="0836301B"/>
    <w:rsid w:val="083E14CC"/>
    <w:rsid w:val="08411F35"/>
    <w:rsid w:val="0855890B"/>
    <w:rsid w:val="0859BABD"/>
    <w:rsid w:val="08A6A588"/>
    <w:rsid w:val="08A884A6"/>
    <w:rsid w:val="08C1C4F3"/>
    <w:rsid w:val="08C5CBDE"/>
    <w:rsid w:val="08D16C6B"/>
    <w:rsid w:val="08DF924F"/>
    <w:rsid w:val="08F7685A"/>
    <w:rsid w:val="08FDD7AC"/>
    <w:rsid w:val="08FF3D45"/>
    <w:rsid w:val="0902D766"/>
    <w:rsid w:val="0920AA24"/>
    <w:rsid w:val="0930584A"/>
    <w:rsid w:val="0931920E"/>
    <w:rsid w:val="0956A803"/>
    <w:rsid w:val="095C6897"/>
    <w:rsid w:val="09716284"/>
    <w:rsid w:val="09828ED2"/>
    <w:rsid w:val="09837F3C"/>
    <w:rsid w:val="0984B56F"/>
    <w:rsid w:val="0998AA59"/>
    <w:rsid w:val="099CA05A"/>
    <w:rsid w:val="09D4FE12"/>
    <w:rsid w:val="09DA1EFB"/>
    <w:rsid w:val="09FC39BD"/>
    <w:rsid w:val="09FD9024"/>
    <w:rsid w:val="09FFB947"/>
    <w:rsid w:val="0A196EEB"/>
    <w:rsid w:val="0A21448C"/>
    <w:rsid w:val="0A215AAC"/>
    <w:rsid w:val="0A2322D6"/>
    <w:rsid w:val="0A2CEF90"/>
    <w:rsid w:val="0A50F1A1"/>
    <w:rsid w:val="0A5C6D63"/>
    <w:rsid w:val="0A8C49F3"/>
    <w:rsid w:val="0A8FD3FF"/>
    <w:rsid w:val="0A918B41"/>
    <w:rsid w:val="0AB58D13"/>
    <w:rsid w:val="0AC628A0"/>
    <w:rsid w:val="0AD8365F"/>
    <w:rsid w:val="0ADF0683"/>
    <w:rsid w:val="0B0FF85E"/>
    <w:rsid w:val="0B1617AD"/>
    <w:rsid w:val="0B28B94A"/>
    <w:rsid w:val="0B5CF666"/>
    <w:rsid w:val="0B6E5B2D"/>
    <w:rsid w:val="0B77BF55"/>
    <w:rsid w:val="0B8BBB03"/>
    <w:rsid w:val="0B9B1A27"/>
    <w:rsid w:val="0BA5AD68"/>
    <w:rsid w:val="0BCC4406"/>
    <w:rsid w:val="0BD697B0"/>
    <w:rsid w:val="0BD817AF"/>
    <w:rsid w:val="0BFBAB2C"/>
    <w:rsid w:val="0C0768A4"/>
    <w:rsid w:val="0C0F1EB5"/>
    <w:rsid w:val="0C343FE8"/>
    <w:rsid w:val="0C6F2F87"/>
    <w:rsid w:val="0C70B0C4"/>
    <w:rsid w:val="0C787031"/>
    <w:rsid w:val="0C7BB454"/>
    <w:rsid w:val="0CAAE311"/>
    <w:rsid w:val="0CB31F0A"/>
    <w:rsid w:val="0CB34B12"/>
    <w:rsid w:val="0CB40536"/>
    <w:rsid w:val="0CBD01BE"/>
    <w:rsid w:val="0CBFFAC6"/>
    <w:rsid w:val="0CCA866B"/>
    <w:rsid w:val="0CE23D7B"/>
    <w:rsid w:val="0CE4F282"/>
    <w:rsid w:val="0CE75FB3"/>
    <w:rsid w:val="0CE988D9"/>
    <w:rsid w:val="0CFFA287"/>
    <w:rsid w:val="0D027F02"/>
    <w:rsid w:val="0D03134D"/>
    <w:rsid w:val="0D094CE6"/>
    <w:rsid w:val="0D0C5193"/>
    <w:rsid w:val="0D0CCC1C"/>
    <w:rsid w:val="0D220354"/>
    <w:rsid w:val="0D3608B5"/>
    <w:rsid w:val="0D3DCE23"/>
    <w:rsid w:val="0D4E59C8"/>
    <w:rsid w:val="0D7A8E30"/>
    <w:rsid w:val="0D95D76A"/>
    <w:rsid w:val="0D9D10C5"/>
    <w:rsid w:val="0DC09226"/>
    <w:rsid w:val="0DC95D06"/>
    <w:rsid w:val="0DD57049"/>
    <w:rsid w:val="0DE9CD21"/>
    <w:rsid w:val="0DF1BBF9"/>
    <w:rsid w:val="0DFB6034"/>
    <w:rsid w:val="0E1608E9"/>
    <w:rsid w:val="0E236320"/>
    <w:rsid w:val="0E2BAE41"/>
    <w:rsid w:val="0E69E705"/>
    <w:rsid w:val="0E7EFF93"/>
    <w:rsid w:val="0E80DA97"/>
    <w:rsid w:val="0E904DAA"/>
    <w:rsid w:val="0E95F975"/>
    <w:rsid w:val="0EBD5670"/>
    <w:rsid w:val="0F039439"/>
    <w:rsid w:val="0F13E847"/>
    <w:rsid w:val="0F22B2F4"/>
    <w:rsid w:val="0F2A8865"/>
    <w:rsid w:val="0F2EC1F1"/>
    <w:rsid w:val="0F3FBAF5"/>
    <w:rsid w:val="0F4AE6EA"/>
    <w:rsid w:val="0F50CAD6"/>
    <w:rsid w:val="0F51C22A"/>
    <w:rsid w:val="0F8877E3"/>
    <w:rsid w:val="0F8FA9B8"/>
    <w:rsid w:val="0FA36A75"/>
    <w:rsid w:val="0FAEA281"/>
    <w:rsid w:val="0FB00A4F"/>
    <w:rsid w:val="0FB13331"/>
    <w:rsid w:val="0FDC7F01"/>
    <w:rsid w:val="0FE1EFE0"/>
    <w:rsid w:val="0FF21516"/>
    <w:rsid w:val="1008A437"/>
    <w:rsid w:val="100A6310"/>
    <w:rsid w:val="102526A9"/>
    <w:rsid w:val="102AAEA2"/>
    <w:rsid w:val="102B4E12"/>
    <w:rsid w:val="102B8CF3"/>
    <w:rsid w:val="10391B45"/>
    <w:rsid w:val="103A4FB1"/>
    <w:rsid w:val="10487CA4"/>
    <w:rsid w:val="1067A665"/>
    <w:rsid w:val="1088CD58"/>
    <w:rsid w:val="10B5414C"/>
    <w:rsid w:val="10C3BDC8"/>
    <w:rsid w:val="10E7BBE4"/>
    <w:rsid w:val="10F7F13D"/>
    <w:rsid w:val="10FAE595"/>
    <w:rsid w:val="1107D450"/>
    <w:rsid w:val="1121CDC2"/>
    <w:rsid w:val="1136CEDD"/>
    <w:rsid w:val="1144B254"/>
    <w:rsid w:val="1148D801"/>
    <w:rsid w:val="1186C876"/>
    <w:rsid w:val="11944C61"/>
    <w:rsid w:val="11A61FA1"/>
    <w:rsid w:val="11AEE0E1"/>
    <w:rsid w:val="11B7E11C"/>
    <w:rsid w:val="11C01FA8"/>
    <w:rsid w:val="11D25AB2"/>
    <w:rsid w:val="11D473BE"/>
    <w:rsid w:val="11DC95E1"/>
    <w:rsid w:val="11E1F261"/>
    <w:rsid w:val="11E6C753"/>
    <w:rsid w:val="11F5B715"/>
    <w:rsid w:val="12132726"/>
    <w:rsid w:val="12189491"/>
    <w:rsid w:val="1220205D"/>
    <w:rsid w:val="12281AF2"/>
    <w:rsid w:val="1231D139"/>
    <w:rsid w:val="12390E71"/>
    <w:rsid w:val="12500289"/>
    <w:rsid w:val="12506278"/>
    <w:rsid w:val="12649EA6"/>
    <w:rsid w:val="12851AE1"/>
    <w:rsid w:val="12A1F1C7"/>
    <w:rsid w:val="12A9613B"/>
    <w:rsid w:val="12BC8245"/>
    <w:rsid w:val="12BFEF7A"/>
    <w:rsid w:val="12C41EF0"/>
    <w:rsid w:val="12C8FFEB"/>
    <w:rsid w:val="12E8D764"/>
    <w:rsid w:val="12F5A3B8"/>
    <w:rsid w:val="13288304"/>
    <w:rsid w:val="132AF756"/>
    <w:rsid w:val="132EB7DD"/>
    <w:rsid w:val="1354BAEA"/>
    <w:rsid w:val="1354F124"/>
    <w:rsid w:val="1355BEA2"/>
    <w:rsid w:val="1358425C"/>
    <w:rsid w:val="135B3914"/>
    <w:rsid w:val="13740F7A"/>
    <w:rsid w:val="138C5463"/>
    <w:rsid w:val="1396E98F"/>
    <w:rsid w:val="139ED22F"/>
    <w:rsid w:val="13DC8A56"/>
    <w:rsid w:val="13EDA7D6"/>
    <w:rsid w:val="13F1528D"/>
    <w:rsid w:val="14013B89"/>
    <w:rsid w:val="14132C08"/>
    <w:rsid w:val="142EAFB6"/>
    <w:rsid w:val="14307B8A"/>
    <w:rsid w:val="1437E416"/>
    <w:rsid w:val="144B02C5"/>
    <w:rsid w:val="14593DF1"/>
    <w:rsid w:val="1464EA19"/>
    <w:rsid w:val="148DEB62"/>
    <w:rsid w:val="149B165C"/>
    <w:rsid w:val="14A96E9A"/>
    <w:rsid w:val="14ADBC5F"/>
    <w:rsid w:val="14B9393A"/>
    <w:rsid w:val="14CF1C3C"/>
    <w:rsid w:val="14D29C8D"/>
    <w:rsid w:val="14D57D40"/>
    <w:rsid w:val="150E61D8"/>
    <w:rsid w:val="1518BDDF"/>
    <w:rsid w:val="151EAAF9"/>
    <w:rsid w:val="152311D1"/>
    <w:rsid w:val="153D672A"/>
    <w:rsid w:val="15526B7F"/>
    <w:rsid w:val="15670E1B"/>
    <w:rsid w:val="156EDF8D"/>
    <w:rsid w:val="157F901B"/>
    <w:rsid w:val="15919438"/>
    <w:rsid w:val="15A0034F"/>
    <w:rsid w:val="15AC9080"/>
    <w:rsid w:val="15B1AB1B"/>
    <w:rsid w:val="15CC3F92"/>
    <w:rsid w:val="15CDF6F3"/>
    <w:rsid w:val="15D0B485"/>
    <w:rsid w:val="15E67626"/>
    <w:rsid w:val="16176F25"/>
    <w:rsid w:val="161D1762"/>
    <w:rsid w:val="164F105B"/>
    <w:rsid w:val="167B430E"/>
    <w:rsid w:val="1684FB83"/>
    <w:rsid w:val="168583E2"/>
    <w:rsid w:val="168A33E6"/>
    <w:rsid w:val="16A430EB"/>
    <w:rsid w:val="16AFDF20"/>
    <w:rsid w:val="16BA3DBC"/>
    <w:rsid w:val="16C241F2"/>
    <w:rsid w:val="16C2659F"/>
    <w:rsid w:val="16D235A9"/>
    <w:rsid w:val="16E2DA2A"/>
    <w:rsid w:val="16EC56C0"/>
    <w:rsid w:val="16F4BCE7"/>
    <w:rsid w:val="16F54EE8"/>
    <w:rsid w:val="16F554D3"/>
    <w:rsid w:val="17047234"/>
    <w:rsid w:val="17084BAA"/>
    <w:rsid w:val="1708F3C6"/>
    <w:rsid w:val="172D80F4"/>
    <w:rsid w:val="172F26E4"/>
    <w:rsid w:val="1743CE6A"/>
    <w:rsid w:val="17490A85"/>
    <w:rsid w:val="175A3298"/>
    <w:rsid w:val="175A8DE8"/>
    <w:rsid w:val="176B4903"/>
    <w:rsid w:val="1776D73A"/>
    <w:rsid w:val="1795AF1F"/>
    <w:rsid w:val="17A1CBE9"/>
    <w:rsid w:val="17ADAFA1"/>
    <w:rsid w:val="17C20302"/>
    <w:rsid w:val="17D6F6E4"/>
    <w:rsid w:val="17D76658"/>
    <w:rsid w:val="17DF23BE"/>
    <w:rsid w:val="17E187F9"/>
    <w:rsid w:val="18494D8B"/>
    <w:rsid w:val="185F6AF1"/>
    <w:rsid w:val="187F8A90"/>
    <w:rsid w:val="1880B13D"/>
    <w:rsid w:val="188CF690"/>
    <w:rsid w:val="18988886"/>
    <w:rsid w:val="1899339E"/>
    <w:rsid w:val="18BE37E0"/>
    <w:rsid w:val="18C9674D"/>
    <w:rsid w:val="18C96BC6"/>
    <w:rsid w:val="18CCDAFF"/>
    <w:rsid w:val="18CEAC66"/>
    <w:rsid w:val="18D224E6"/>
    <w:rsid w:val="18D88E71"/>
    <w:rsid w:val="18D91318"/>
    <w:rsid w:val="18E92382"/>
    <w:rsid w:val="18EDE719"/>
    <w:rsid w:val="18FC2AD9"/>
    <w:rsid w:val="1908D55D"/>
    <w:rsid w:val="192D17E8"/>
    <w:rsid w:val="1933BA46"/>
    <w:rsid w:val="1936C38D"/>
    <w:rsid w:val="19532DD7"/>
    <w:rsid w:val="196BDEF9"/>
    <w:rsid w:val="196CBA1E"/>
    <w:rsid w:val="1970164E"/>
    <w:rsid w:val="1975F01A"/>
    <w:rsid w:val="19817B15"/>
    <w:rsid w:val="1986B58F"/>
    <w:rsid w:val="198B112B"/>
    <w:rsid w:val="19A15080"/>
    <w:rsid w:val="19A4F7A8"/>
    <w:rsid w:val="19A765ED"/>
    <w:rsid w:val="19C06AAE"/>
    <w:rsid w:val="19CA0B12"/>
    <w:rsid w:val="19D8B4B2"/>
    <w:rsid w:val="19F1BCD9"/>
    <w:rsid w:val="19F1DD6C"/>
    <w:rsid w:val="1A1E0F62"/>
    <w:rsid w:val="1A221443"/>
    <w:rsid w:val="1A2299D8"/>
    <w:rsid w:val="1A239CED"/>
    <w:rsid w:val="1A2545AE"/>
    <w:rsid w:val="1A31C999"/>
    <w:rsid w:val="1A419300"/>
    <w:rsid w:val="1A44A1C5"/>
    <w:rsid w:val="1A633765"/>
    <w:rsid w:val="1A6B6713"/>
    <w:rsid w:val="1A924230"/>
    <w:rsid w:val="1A945B0B"/>
    <w:rsid w:val="1AA73BEA"/>
    <w:rsid w:val="1AB98FF0"/>
    <w:rsid w:val="1AC27250"/>
    <w:rsid w:val="1AE0C5A2"/>
    <w:rsid w:val="1AEB11A6"/>
    <w:rsid w:val="1AEF4FDF"/>
    <w:rsid w:val="1AFE4700"/>
    <w:rsid w:val="1B2C9359"/>
    <w:rsid w:val="1B330398"/>
    <w:rsid w:val="1B3A4AD5"/>
    <w:rsid w:val="1B446BB4"/>
    <w:rsid w:val="1B80CD37"/>
    <w:rsid w:val="1B8710E4"/>
    <w:rsid w:val="1B9AC812"/>
    <w:rsid w:val="1BA1A976"/>
    <w:rsid w:val="1BA76525"/>
    <w:rsid w:val="1BD75B28"/>
    <w:rsid w:val="1BE19FB2"/>
    <w:rsid w:val="1BF8AF6C"/>
    <w:rsid w:val="1C0961BB"/>
    <w:rsid w:val="1C447079"/>
    <w:rsid w:val="1C4A6832"/>
    <w:rsid w:val="1C4BE3FB"/>
    <w:rsid w:val="1C59B8A3"/>
    <w:rsid w:val="1C6344F0"/>
    <w:rsid w:val="1CC02228"/>
    <w:rsid w:val="1CCE1833"/>
    <w:rsid w:val="1CE42C74"/>
    <w:rsid w:val="1CEDE80E"/>
    <w:rsid w:val="1CFEB51B"/>
    <w:rsid w:val="1D0A7989"/>
    <w:rsid w:val="1D267289"/>
    <w:rsid w:val="1D5D9C69"/>
    <w:rsid w:val="1D5FB660"/>
    <w:rsid w:val="1D762D09"/>
    <w:rsid w:val="1D8C9417"/>
    <w:rsid w:val="1DAD1305"/>
    <w:rsid w:val="1DBB2317"/>
    <w:rsid w:val="1DC1844F"/>
    <w:rsid w:val="1DCDB65A"/>
    <w:rsid w:val="1DD5114B"/>
    <w:rsid w:val="1DD69D92"/>
    <w:rsid w:val="1DDA20A7"/>
    <w:rsid w:val="1DE11AAB"/>
    <w:rsid w:val="1DE26906"/>
    <w:rsid w:val="1DE37712"/>
    <w:rsid w:val="1DF98B10"/>
    <w:rsid w:val="1DFD0D57"/>
    <w:rsid w:val="1DFFFBFB"/>
    <w:rsid w:val="1E06ADE6"/>
    <w:rsid w:val="1E16048B"/>
    <w:rsid w:val="1E16F3D7"/>
    <w:rsid w:val="1E282CFF"/>
    <w:rsid w:val="1E3C82CF"/>
    <w:rsid w:val="1E42AB22"/>
    <w:rsid w:val="1E4CCE21"/>
    <w:rsid w:val="1E64BAD8"/>
    <w:rsid w:val="1E6A92F2"/>
    <w:rsid w:val="1E6ACAA7"/>
    <w:rsid w:val="1E75DCB9"/>
    <w:rsid w:val="1E855F06"/>
    <w:rsid w:val="1E8A95C4"/>
    <w:rsid w:val="1E99195C"/>
    <w:rsid w:val="1EA68800"/>
    <w:rsid w:val="1EA6BE26"/>
    <w:rsid w:val="1EC23486"/>
    <w:rsid w:val="1ECAB98C"/>
    <w:rsid w:val="1EE72018"/>
    <w:rsid w:val="1EE750E7"/>
    <w:rsid w:val="1EF1390E"/>
    <w:rsid w:val="1F0D2F02"/>
    <w:rsid w:val="1F4FD678"/>
    <w:rsid w:val="1F526EF1"/>
    <w:rsid w:val="1F52B9C3"/>
    <w:rsid w:val="1F5459A0"/>
    <w:rsid w:val="1F74D539"/>
    <w:rsid w:val="1F76AB9D"/>
    <w:rsid w:val="1F7ADF96"/>
    <w:rsid w:val="1F873508"/>
    <w:rsid w:val="1F88C1E3"/>
    <w:rsid w:val="1F9BFE29"/>
    <w:rsid w:val="1FC45C0F"/>
    <w:rsid w:val="1FC66C57"/>
    <w:rsid w:val="1FCF515B"/>
    <w:rsid w:val="1FD06A6B"/>
    <w:rsid w:val="1FDFE11C"/>
    <w:rsid w:val="1FE6EAD6"/>
    <w:rsid w:val="1FFFD4D5"/>
    <w:rsid w:val="2047B84A"/>
    <w:rsid w:val="204B6BB6"/>
    <w:rsid w:val="2069E325"/>
    <w:rsid w:val="2090ED21"/>
    <w:rsid w:val="20AC9ACE"/>
    <w:rsid w:val="20B3C1EC"/>
    <w:rsid w:val="20B57FBE"/>
    <w:rsid w:val="20B74D86"/>
    <w:rsid w:val="20BB2D6A"/>
    <w:rsid w:val="20CD1F33"/>
    <w:rsid w:val="20D98AD2"/>
    <w:rsid w:val="20E33633"/>
    <w:rsid w:val="20F3B61B"/>
    <w:rsid w:val="20FBF718"/>
    <w:rsid w:val="210594D6"/>
    <w:rsid w:val="21304895"/>
    <w:rsid w:val="2131811B"/>
    <w:rsid w:val="2139B8C5"/>
    <w:rsid w:val="2149A96C"/>
    <w:rsid w:val="2162DB7A"/>
    <w:rsid w:val="21650E29"/>
    <w:rsid w:val="216AC351"/>
    <w:rsid w:val="216FC23A"/>
    <w:rsid w:val="21768422"/>
    <w:rsid w:val="21918ABF"/>
    <w:rsid w:val="2196AE5A"/>
    <w:rsid w:val="21A46882"/>
    <w:rsid w:val="21ADAE3C"/>
    <w:rsid w:val="21AFDD35"/>
    <w:rsid w:val="21B21FBD"/>
    <w:rsid w:val="21D2B113"/>
    <w:rsid w:val="21D67D0B"/>
    <w:rsid w:val="21E27910"/>
    <w:rsid w:val="21E2A87D"/>
    <w:rsid w:val="21E8397E"/>
    <w:rsid w:val="21E90CC2"/>
    <w:rsid w:val="21F46AF8"/>
    <w:rsid w:val="21FB8984"/>
    <w:rsid w:val="2217EE23"/>
    <w:rsid w:val="222BBFB1"/>
    <w:rsid w:val="225A8A69"/>
    <w:rsid w:val="225BEE52"/>
    <w:rsid w:val="228D5C5F"/>
    <w:rsid w:val="22A8BD09"/>
    <w:rsid w:val="22C140F3"/>
    <w:rsid w:val="22C26D68"/>
    <w:rsid w:val="22C4FF95"/>
    <w:rsid w:val="22DAC2BD"/>
    <w:rsid w:val="22E1E69F"/>
    <w:rsid w:val="22FA0958"/>
    <w:rsid w:val="231092E3"/>
    <w:rsid w:val="23270FEF"/>
    <w:rsid w:val="232EACE2"/>
    <w:rsid w:val="235943BB"/>
    <w:rsid w:val="236D2394"/>
    <w:rsid w:val="236D8E48"/>
    <w:rsid w:val="238362E0"/>
    <w:rsid w:val="23837C90"/>
    <w:rsid w:val="2391E28B"/>
    <w:rsid w:val="239AA4C8"/>
    <w:rsid w:val="23B4DDE1"/>
    <w:rsid w:val="23D18706"/>
    <w:rsid w:val="23DC2240"/>
    <w:rsid w:val="23DD6374"/>
    <w:rsid w:val="23F8A87B"/>
    <w:rsid w:val="2408FE42"/>
    <w:rsid w:val="2414C65D"/>
    <w:rsid w:val="241D951B"/>
    <w:rsid w:val="2423053E"/>
    <w:rsid w:val="24331D2B"/>
    <w:rsid w:val="243411F0"/>
    <w:rsid w:val="245D5108"/>
    <w:rsid w:val="24683756"/>
    <w:rsid w:val="246ADE44"/>
    <w:rsid w:val="247ABDDC"/>
    <w:rsid w:val="247D93F0"/>
    <w:rsid w:val="24867635"/>
    <w:rsid w:val="24A12B90"/>
    <w:rsid w:val="24A5685E"/>
    <w:rsid w:val="24A60D1B"/>
    <w:rsid w:val="24D5857E"/>
    <w:rsid w:val="24E18143"/>
    <w:rsid w:val="24F69C45"/>
    <w:rsid w:val="25131898"/>
    <w:rsid w:val="2527F924"/>
    <w:rsid w:val="2540AD3E"/>
    <w:rsid w:val="2542FEA2"/>
    <w:rsid w:val="255D7239"/>
    <w:rsid w:val="2561F393"/>
    <w:rsid w:val="256CD2BB"/>
    <w:rsid w:val="2577E420"/>
    <w:rsid w:val="2580CD2E"/>
    <w:rsid w:val="259BEDD9"/>
    <w:rsid w:val="25B3C6B5"/>
    <w:rsid w:val="25B82E6E"/>
    <w:rsid w:val="25E75DFE"/>
    <w:rsid w:val="25FDB8B4"/>
    <w:rsid w:val="2606F712"/>
    <w:rsid w:val="261B37F8"/>
    <w:rsid w:val="262160AB"/>
    <w:rsid w:val="262C6CD5"/>
    <w:rsid w:val="262D0D56"/>
    <w:rsid w:val="263E30B3"/>
    <w:rsid w:val="263E8FF7"/>
    <w:rsid w:val="26417F4F"/>
    <w:rsid w:val="265A7ABA"/>
    <w:rsid w:val="26696F1D"/>
    <w:rsid w:val="2677760A"/>
    <w:rsid w:val="2682D511"/>
    <w:rsid w:val="2685F578"/>
    <w:rsid w:val="26873BBB"/>
    <w:rsid w:val="26946038"/>
    <w:rsid w:val="26C56F3D"/>
    <w:rsid w:val="26CC99F8"/>
    <w:rsid w:val="26D1A6F0"/>
    <w:rsid w:val="26D88442"/>
    <w:rsid w:val="26DEED16"/>
    <w:rsid w:val="26FD03E4"/>
    <w:rsid w:val="27066D19"/>
    <w:rsid w:val="270B65EE"/>
    <w:rsid w:val="271B7D13"/>
    <w:rsid w:val="272A423E"/>
    <w:rsid w:val="273F3900"/>
    <w:rsid w:val="27427DC7"/>
    <w:rsid w:val="27661EE7"/>
    <w:rsid w:val="276D63D0"/>
    <w:rsid w:val="276F8C7E"/>
    <w:rsid w:val="278D62C0"/>
    <w:rsid w:val="27B35B28"/>
    <w:rsid w:val="27C62AE2"/>
    <w:rsid w:val="27D0DEFD"/>
    <w:rsid w:val="27E51B24"/>
    <w:rsid w:val="27F8FE4F"/>
    <w:rsid w:val="27F9CB24"/>
    <w:rsid w:val="281B6EF4"/>
    <w:rsid w:val="282DDF58"/>
    <w:rsid w:val="28358438"/>
    <w:rsid w:val="2845CE3C"/>
    <w:rsid w:val="285EAF19"/>
    <w:rsid w:val="28669019"/>
    <w:rsid w:val="2869C5DA"/>
    <w:rsid w:val="28875149"/>
    <w:rsid w:val="28BD3B74"/>
    <w:rsid w:val="28BF5D76"/>
    <w:rsid w:val="28C80D74"/>
    <w:rsid w:val="28CEDC9F"/>
    <w:rsid w:val="28E12A63"/>
    <w:rsid w:val="28E40DCC"/>
    <w:rsid w:val="28EA6B1C"/>
    <w:rsid w:val="2908F901"/>
    <w:rsid w:val="29343B58"/>
    <w:rsid w:val="293F11E8"/>
    <w:rsid w:val="294DD136"/>
    <w:rsid w:val="2959DCD9"/>
    <w:rsid w:val="29656B8B"/>
    <w:rsid w:val="2966A769"/>
    <w:rsid w:val="2991327E"/>
    <w:rsid w:val="2992698D"/>
    <w:rsid w:val="29A2F1F1"/>
    <w:rsid w:val="29A9A932"/>
    <w:rsid w:val="29AEE29B"/>
    <w:rsid w:val="29C5AE44"/>
    <w:rsid w:val="29CE1A44"/>
    <w:rsid w:val="29DEC457"/>
    <w:rsid w:val="2A3022C9"/>
    <w:rsid w:val="2A38211F"/>
    <w:rsid w:val="2A40A922"/>
    <w:rsid w:val="2A5010B4"/>
    <w:rsid w:val="2AA39BE1"/>
    <w:rsid w:val="2AA9EF5D"/>
    <w:rsid w:val="2AB9E63C"/>
    <w:rsid w:val="2AC7E53B"/>
    <w:rsid w:val="2AF3D6ED"/>
    <w:rsid w:val="2B09FCD1"/>
    <w:rsid w:val="2B0D3628"/>
    <w:rsid w:val="2B1E8A6C"/>
    <w:rsid w:val="2B2A9FF8"/>
    <w:rsid w:val="2B311868"/>
    <w:rsid w:val="2B34FA5C"/>
    <w:rsid w:val="2B3868F7"/>
    <w:rsid w:val="2B390DB4"/>
    <w:rsid w:val="2B5199DB"/>
    <w:rsid w:val="2B5C22DD"/>
    <w:rsid w:val="2B5C951E"/>
    <w:rsid w:val="2B623470"/>
    <w:rsid w:val="2B66B291"/>
    <w:rsid w:val="2B8B7C63"/>
    <w:rsid w:val="2B8F83BA"/>
    <w:rsid w:val="2B90E17D"/>
    <w:rsid w:val="2BAF0AF4"/>
    <w:rsid w:val="2BBA3400"/>
    <w:rsid w:val="2BBE0E59"/>
    <w:rsid w:val="2BBEF527"/>
    <w:rsid w:val="2BC1C19E"/>
    <w:rsid w:val="2BC56C1D"/>
    <w:rsid w:val="2BCFD456"/>
    <w:rsid w:val="2BE1FDA1"/>
    <w:rsid w:val="2BE5F535"/>
    <w:rsid w:val="2BEDAFBE"/>
    <w:rsid w:val="2BF79D61"/>
    <w:rsid w:val="2C00D3D6"/>
    <w:rsid w:val="2C02BBF7"/>
    <w:rsid w:val="2C0C9985"/>
    <w:rsid w:val="2C14C20E"/>
    <w:rsid w:val="2C3E5C82"/>
    <w:rsid w:val="2C46BB64"/>
    <w:rsid w:val="2C5C49EC"/>
    <w:rsid w:val="2C6C16B0"/>
    <w:rsid w:val="2C72CC2E"/>
    <w:rsid w:val="2C87DFEF"/>
    <w:rsid w:val="2C8F5DDE"/>
    <w:rsid w:val="2CBBA453"/>
    <w:rsid w:val="2CBD41BF"/>
    <w:rsid w:val="2CC12D92"/>
    <w:rsid w:val="2CDD42D2"/>
    <w:rsid w:val="2CE68B38"/>
    <w:rsid w:val="2CF7E8CD"/>
    <w:rsid w:val="2D0EA100"/>
    <w:rsid w:val="2D1E60F9"/>
    <w:rsid w:val="2D2354F7"/>
    <w:rsid w:val="2D30F2D4"/>
    <w:rsid w:val="2D399632"/>
    <w:rsid w:val="2D433FFE"/>
    <w:rsid w:val="2D4827B5"/>
    <w:rsid w:val="2D59AE8F"/>
    <w:rsid w:val="2D6146E8"/>
    <w:rsid w:val="2D707C72"/>
    <w:rsid w:val="2D74B341"/>
    <w:rsid w:val="2D79BA64"/>
    <w:rsid w:val="2D8497FE"/>
    <w:rsid w:val="2D8E8E13"/>
    <w:rsid w:val="2D945D1E"/>
    <w:rsid w:val="2DA0675E"/>
    <w:rsid w:val="2DAA20B0"/>
    <w:rsid w:val="2DB75AAE"/>
    <w:rsid w:val="2DBA15BE"/>
    <w:rsid w:val="2DC2C62F"/>
    <w:rsid w:val="2DD0C5B4"/>
    <w:rsid w:val="2DD90CDD"/>
    <w:rsid w:val="2DDF7B15"/>
    <w:rsid w:val="2DE8F6DC"/>
    <w:rsid w:val="2DFDEFB5"/>
    <w:rsid w:val="2E09E0E5"/>
    <w:rsid w:val="2E276578"/>
    <w:rsid w:val="2E2DCFCD"/>
    <w:rsid w:val="2E3E01D7"/>
    <w:rsid w:val="2E54BE16"/>
    <w:rsid w:val="2E634AD3"/>
    <w:rsid w:val="2E705C5D"/>
    <w:rsid w:val="2E79C4C5"/>
    <w:rsid w:val="2E9E7D15"/>
    <w:rsid w:val="2EB65750"/>
    <w:rsid w:val="2EBE337D"/>
    <w:rsid w:val="2EC0CD88"/>
    <w:rsid w:val="2EC6086B"/>
    <w:rsid w:val="2EE5BCE2"/>
    <w:rsid w:val="2EFD26F0"/>
    <w:rsid w:val="2F0B8566"/>
    <w:rsid w:val="2F15E9A6"/>
    <w:rsid w:val="2F1B81E3"/>
    <w:rsid w:val="2F28B4C9"/>
    <w:rsid w:val="2F344354"/>
    <w:rsid w:val="2F36614D"/>
    <w:rsid w:val="2F5FCF9D"/>
    <w:rsid w:val="2F736363"/>
    <w:rsid w:val="2F74832A"/>
    <w:rsid w:val="2F776E6C"/>
    <w:rsid w:val="2F7D9261"/>
    <w:rsid w:val="2F8ABC1D"/>
    <w:rsid w:val="2F9C3902"/>
    <w:rsid w:val="2FA59315"/>
    <w:rsid w:val="2FAA9F34"/>
    <w:rsid w:val="2FB3EECC"/>
    <w:rsid w:val="2FBAD40A"/>
    <w:rsid w:val="2FDDD60C"/>
    <w:rsid w:val="2FE21DD4"/>
    <w:rsid w:val="2FEA433E"/>
    <w:rsid w:val="2FF02A0C"/>
    <w:rsid w:val="2FFA12FB"/>
    <w:rsid w:val="30101FFC"/>
    <w:rsid w:val="302B77DB"/>
    <w:rsid w:val="3058A24F"/>
    <w:rsid w:val="305939EA"/>
    <w:rsid w:val="307F814D"/>
    <w:rsid w:val="3083E972"/>
    <w:rsid w:val="30869D93"/>
    <w:rsid w:val="3091CC89"/>
    <w:rsid w:val="30A3317D"/>
    <w:rsid w:val="30BE9F63"/>
    <w:rsid w:val="30C8F815"/>
    <w:rsid w:val="30FD31B7"/>
    <w:rsid w:val="31036B09"/>
    <w:rsid w:val="3103F6B7"/>
    <w:rsid w:val="310DF500"/>
    <w:rsid w:val="31257482"/>
    <w:rsid w:val="31394426"/>
    <w:rsid w:val="3146B701"/>
    <w:rsid w:val="315038CD"/>
    <w:rsid w:val="31653C84"/>
    <w:rsid w:val="31A97510"/>
    <w:rsid w:val="31B4FA9D"/>
    <w:rsid w:val="31BFDFCE"/>
    <w:rsid w:val="31DB4D46"/>
    <w:rsid w:val="31DDA9C7"/>
    <w:rsid w:val="31E7DC42"/>
    <w:rsid w:val="31ED2D4B"/>
    <w:rsid w:val="31F3F3D1"/>
    <w:rsid w:val="320FC184"/>
    <w:rsid w:val="32206FDF"/>
    <w:rsid w:val="322614A2"/>
    <w:rsid w:val="32C339FE"/>
    <w:rsid w:val="32CD4647"/>
    <w:rsid w:val="32CE6A92"/>
    <w:rsid w:val="32D4B0B9"/>
    <w:rsid w:val="32D578BF"/>
    <w:rsid w:val="330FB450"/>
    <w:rsid w:val="33494E96"/>
    <w:rsid w:val="335B77F6"/>
    <w:rsid w:val="3375366A"/>
    <w:rsid w:val="33847CF4"/>
    <w:rsid w:val="338622E6"/>
    <w:rsid w:val="338B21C5"/>
    <w:rsid w:val="338E724E"/>
    <w:rsid w:val="33A1F68A"/>
    <w:rsid w:val="33A49AD1"/>
    <w:rsid w:val="33C49704"/>
    <w:rsid w:val="33DCAD87"/>
    <w:rsid w:val="33EFBE84"/>
    <w:rsid w:val="340C5375"/>
    <w:rsid w:val="340F1DA5"/>
    <w:rsid w:val="340FD076"/>
    <w:rsid w:val="341070DA"/>
    <w:rsid w:val="3414E4E3"/>
    <w:rsid w:val="349F21AA"/>
    <w:rsid w:val="34A5220C"/>
    <w:rsid w:val="34AA1301"/>
    <w:rsid w:val="34B37C5C"/>
    <w:rsid w:val="34C83F10"/>
    <w:rsid w:val="34C86798"/>
    <w:rsid w:val="34D329C3"/>
    <w:rsid w:val="34D36CA0"/>
    <w:rsid w:val="34E06A70"/>
    <w:rsid w:val="3513C135"/>
    <w:rsid w:val="3515BDA8"/>
    <w:rsid w:val="351E7007"/>
    <w:rsid w:val="351FAC3F"/>
    <w:rsid w:val="3524FC03"/>
    <w:rsid w:val="35258298"/>
    <w:rsid w:val="3547B481"/>
    <w:rsid w:val="35554006"/>
    <w:rsid w:val="3555AD78"/>
    <w:rsid w:val="355BDC22"/>
    <w:rsid w:val="357BD0CE"/>
    <w:rsid w:val="35831FAB"/>
    <w:rsid w:val="35845D07"/>
    <w:rsid w:val="3587D559"/>
    <w:rsid w:val="35A45949"/>
    <w:rsid w:val="35A7E819"/>
    <w:rsid w:val="35B77DD9"/>
    <w:rsid w:val="35BF42D0"/>
    <w:rsid w:val="35C52973"/>
    <w:rsid w:val="35CAFC0D"/>
    <w:rsid w:val="35D198CD"/>
    <w:rsid w:val="35D4F8B4"/>
    <w:rsid w:val="35E4466B"/>
    <w:rsid w:val="35FBF800"/>
    <w:rsid w:val="3600ED49"/>
    <w:rsid w:val="363AA41D"/>
    <w:rsid w:val="363EE0E2"/>
    <w:rsid w:val="365EC41A"/>
    <w:rsid w:val="3674D29F"/>
    <w:rsid w:val="368A1A71"/>
    <w:rsid w:val="369702FB"/>
    <w:rsid w:val="36CB17AC"/>
    <w:rsid w:val="36D38C8E"/>
    <w:rsid w:val="36D54400"/>
    <w:rsid w:val="36D9C168"/>
    <w:rsid w:val="36DDA628"/>
    <w:rsid w:val="36E25CD0"/>
    <w:rsid w:val="36F807D3"/>
    <w:rsid w:val="370A09D8"/>
    <w:rsid w:val="37183CCE"/>
    <w:rsid w:val="372CEFE4"/>
    <w:rsid w:val="372DA571"/>
    <w:rsid w:val="3751547C"/>
    <w:rsid w:val="378BEB0D"/>
    <w:rsid w:val="3795B5E8"/>
    <w:rsid w:val="379971D3"/>
    <w:rsid w:val="379B9B83"/>
    <w:rsid w:val="37CA510E"/>
    <w:rsid w:val="37D07A30"/>
    <w:rsid w:val="37D7F219"/>
    <w:rsid w:val="37E3CDCF"/>
    <w:rsid w:val="37E66B40"/>
    <w:rsid w:val="381D3121"/>
    <w:rsid w:val="38279A3B"/>
    <w:rsid w:val="3839F6F0"/>
    <w:rsid w:val="383B87F0"/>
    <w:rsid w:val="383DAC7D"/>
    <w:rsid w:val="3865F0FA"/>
    <w:rsid w:val="387FE3A8"/>
    <w:rsid w:val="3880FB66"/>
    <w:rsid w:val="388DA791"/>
    <w:rsid w:val="38A015DF"/>
    <w:rsid w:val="38C8A6B4"/>
    <w:rsid w:val="38CEF41E"/>
    <w:rsid w:val="38E0BA55"/>
    <w:rsid w:val="390F96C7"/>
    <w:rsid w:val="3924EDE5"/>
    <w:rsid w:val="393ABFC9"/>
    <w:rsid w:val="3944BA59"/>
    <w:rsid w:val="395F7D32"/>
    <w:rsid w:val="3984365E"/>
    <w:rsid w:val="39A8390A"/>
    <w:rsid w:val="39AAFA64"/>
    <w:rsid w:val="39BCF0E4"/>
    <w:rsid w:val="39CFBE24"/>
    <w:rsid w:val="39D8AACB"/>
    <w:rsid w:val="39E34E17"/>
    <w:rsid w:val="3A0FE1D1"/>
    <w:rsid w:val="3A2A9808"/>
    <w:rsid w:val="3A590D3B"/>
    <w:rsid w:val="3A5ABCB8"/>
    <w:rsid w:val="3A6D0518"/>
    <w:rsid w:val="3A98D8A6"/>
    <w:rsid w:val="3AD68B95"/>
    <w:rsid w:val="3AE600E3"/>
    <w:rsid w:val="3B051787"/>
    <w:rsid w:val="3B0BE822"/>
    <w:rsid w:val="3B24BC72"/>
    <w:rsid w:val="3B251A79"/>
    <w:rsid w:val="3B2E263C"/>
    <w:rsid w:val="3B31AB5A"/>
    <w:rsid w:val="3B357913"/>
    <w:rsid w:val="3B4874CE"/>
    <w:rsid w:val="3B4C1E65"/>
    <w:rsid w:val="3B58E4B6"/>
    <w:rsid w:val="3B5C6F07"/>
    <w:rsid w:val="3B62BF17"/>
    <w:rsid w:val="3B69C0DD"/>
    <w:rsid w:val="3B6AC0D4"/>
    <w:rsid w:val="3B7B56D3"/>
    <w:rsid w:val="3B7C7718"/>
    <w:rsid w:val="3B85C17C"/>
    <w:rsid w:val="3B92016F"/>
    <w:rsid w:val="3BA10EDE"/>
    <w:rsid w:val="3BB1ACA8"/>
    <w:rsid w:val="3BB301FB"/>
    <w:rsid w:val="3BB4A6F4"/>
    <w:rsid w:val="3BC0392E"/>
    <w:rsid w:val="3BC3CD8D"/>
    <w:rsid w:val="3BEC9F03"/>
    <w:rsid w:val="3BF154AA"/>
    <w:rsid w:val="3C011F38"/>
    <w:rsid w:val="3C0C90B3"/>
    <w:rsid w:val="3C22FF23"/>
    <w:rsid w:val="3C4ECBBC"/>
    <w:rsid w:val="3C6FBA5D"/>
    <w:rsid w:val="3C7831E4"/>
    <w:rsid w:val="3CA62794"/>
    <w:rsid w:val="3CAA8066"/>
    <w:rsid w:val="3CB6D567"/>
    <w:rsid w:val="3CCAA05C"/>
    <w:rsid w:val="3CD288C0"/>
    <w:rsid w:val="3CF54759"/>
    <w:rsid w:val="3D4628A1"/>
    <w:rsid w:val="3D47A595"/>
    <w:rsid w:val="3D48A3EF"/>
    <w:rsid w:val="3D54710F"/>
    <w:rsid w:val="3D5A4821"/>
    <w:rsid w:val="3D622496"/>
    <w:rsid w:val="3D6549E2"/>
    <w:rsid w:val="3D6D008E"/>
    <w:rsid w:val="3D6E7CA9"/>
    <w:rsid w:val="3D8413CD"/>
    <w:rsid w:val="3D88360F"/>
    <w:rsid w:val="3D8EF370"/>
    <w:rsid w:val="3DB38D17"/>
    <w:rsid w:val="3DC6B4B8"/>
    <w:rsid w:val="3DE3D57D"/>
    <w:rsid w:val="3E0F3A05"/>
    <w:rsid w:val="3E5256BF"/>
    <w:rsid w:val="3E5796C6"/>
    <w:rsid w:val="3E5FB4D5"/>
    <w:rsid w:val="3E62407B"/>
    <w:rsid w:val="3E7D781C"/>
    <w:rsid w:val="3E8F6379"/>
    <w:rsid w:val="3EA6E075"/>
    <w:rsid w:val="3ED4220E"/>
    <w:rsid w:val="3EDB9C92"/>
    <w:rsid w:val="3EFD8031"/>
    <w:rsid w:val="3F05E375"/>
    <w:rsid w:val="3F072FD2"/>
    <w:rsid w:val="3F1A1395"/>
    <w:rsid w:val="3F232BA3"/>
    <w:rsid w:val="3F275EC1"/>
    <w:rsid w:val="3F2B8295"/>
    <w:rsid w:val="3F36970C"/>
    <w:rsid w:val="3F3806EA"/>
    <w:rsid w:val="3F55A4DD"/>
    <w:rsid w:val="3F59BCD5"/>
    <w:rsid w:val="3F8A174B"/>
    <w:rsid w:val="3F8E5EF9"/>
    <w:rsid w:val="3FD5AD1A"/>
    <w:rsid w:val="3FDF4877"/>
    <w:rsid w:val="400682A8"/>
    <w:rsid w:val="4027D732"/>
    <w:rsid w:val="40310821"/>
    <w:rsid w:val="40348CF5"/>
    <w:rsid w:val="4085A317"/>
    <w:rsid w:val="4090C24D"/>
    <w:rsid w:val="40A00FC0"/>
    <w:rsid w:val="40C853A8"/>
    <w:rsid w:val="40E70859"/>
    <w:rsid w:val="40EED326"/>
    <w:rsid w:val="4101182D"/>
    <w:rsid w:val="41126B0D"/>
    <w:rsid w:val="41894B48"/>
    <w:rsid w:val="418E44D9"/>
    <w:rsid w:val="419E3AD2"/>
    <w:rsid w:val="41A2A260"/>
    <w:rsid w:val="41D28E27"/>
    <w:rsid w:val="41D89F21"/>
    <w:rsid w:val="41D9B45B"/>
    <w:rsid w:val="41DE188A"/>
    <w:rsid w:val="421C08B7"/>
    <w:rsid w:val="421C46C1"/>
    <w:rsid w:val="4230AE42"/>
    <w:rsid w:val="423D817A"/>
    <w:rsid w:val="4244D9DE"/>
    <w:rsid w:val="4246426F"/>
    <w:rsid w:val="42560299"/>
    <w:rsid w:val="4258670D"/>
    <w:rsid w:val="426013D5"/>
    <w:rsid w:val="42759FC4"/>
    <w:rsid w:val="427D9A58"/>
    <w:rsid w:val="42837B18"/>
    <w:rsid w:val="428B8869"/>
    <w:rsid w:val="42A17ADE"/>
    <w:rsid w:val="42A19E31"/>
    <w:rsid w:val="42A2ED49"/>
    <w:rsid w:val="42A44DB1"/>
    <w:rsid w:val="42A75902"/>
    <w:rsid w:val="42A806E2"/>
    <w:rsid w:val="42B31A7E"/>
    <w:rsid w:val="42C34FE0"/>
    <w:rsid w:val="42CD777A"/>
    <w:rsid w:val="42DAFEA7"/>
    <w:rsid w:val="42E3BFAD"/>
    <w:rsid w:val="42E67302"/>
    <w:rsid w:val="42EE81A0"/>
    <w:rsid w:val="42F04793"/>
    <w:rsid w:val="43252B50"/>
    <w:rsid w:val="43258467"/>
    <w:rsid w:val="4331F6FF"/>
    <w:rsid w:val="433723F3"/>
    <w:rsid w:val="43380EF8"/>
    <w:rsid w:val="435F40D4"/>
    <w:rsid w:val="436DE688"/>
    <w:rsid w:val="4391D446"/>
    <w:rsid w:val="43C70038"/>
    <w:rsid w:val="43C82735"/>
    <w:rsid w:val="43E2BA6C"/>
    <w:rsid w:val="43E982C3"/>
    <w:rsid w:val="43EF1950"/>
    <w:rsid w:val="43EF74D0"/>
    <w:rsid w:val="43F0529E"/>
    <w:rsid w:val="440747FF"/>
    <w:rsid w:val="4412978A"/>
    <w:rsid w:val="446C4159"/>
    <w:rsid w:val="44924D51"/>
    <w:rsid w:val="44B8D098"/>
    <w:rsid w:val="44C3CB39"/>
    <w:rsid w:val="44CBFF3A"/>
    <w:rsid w:val="44CF1755"/>
    <w:rsid w:val="44ED6F38"/>
    <w:rsid w:val="44F0F5EF"/>
    <w:rsid w:val="44F6922B"/>
    <w:rsid w:val="44FCD389"/>
    <w:rsid w:val="44FF9C2E"/>
    <w:rsid w:val="45005AF5"/>
    <w:rsid w:val="4523C7DB"/>
    <w:rsid w:val="452903AD"/>
    <w:rsid w:val="45292F4C"/>
    <w:rsid w:val="452D61CD"/>
    <w:rsid w:val="453C0C62"/>
    <w:rsid w:val="453F05B6"/>
    <w:rsid w:val="453F0F1E"/>
    <w:rsid w:val="454EB820"/>
    <w:rsid w:val="45810461"/>
    <w:rsid w:val="45A7C068"/>
    <w:rsid w:val="45BDE37A"/>
    <w:rsid w:val="45C79717"/>
    <w:rsid w:val="45CAB4B8"/>
    <w:rsid w:val="45CD53A5"/>
    <w:rsid w:val="4609241C"/>
    <w:rsid w:val="460E1770"/>
    <w:rsid w:val="4619233E"/>
    <w:rsid w:val="4629CC3A"/>
    <w:rsid w:val="462B15BA"/>
    <w:rsid w:val="46341843"/>
    <w:rsid w:val="4639B292"/>
    <w:rsid w:val="465C838D"/>
    <w:rsid w:val="467069C5"/>
    <w:rsid w:val="4679B5EE"/>
    <w:rsid w:val="467FD246"/>
    <w:rsid w:val="469442C9"/>
    <w:rsid w:val="4697AD0D"/>
    <w:rsid w:val="46AD7E26"/>
    <w:rsid w:val="46BD23E3"/>
    <w:rsid w:val="46C5255F"/>
    <w:rsid w:val="46CB11EC"/>
    <w:rsid w:val="46D00AF1"/>
    <w:rsid w:val="46E65978"/>
    <w:rsid w:val="46E67C9E"/>
    <w:rsid w:val="46F88B82"/>
    <w:rsid w:val="4705CAA1"/>
    <w:rsid w:val="4718077E"/>
    <w:rsid w:val="4737C266"/>
    <w:rsid w:val="47681EEE"/>
    <w:rsid w:val="477E5C83"/>
    <w:rsid w:val="478A0371"/>
    <w:rsid w:val="478D97AC"/>
    <w:rsid w:val="4798885B"/>
    <w:rsid w:val="47CC36C1"/>
    <w:rsid w:val="47D098FB"/>
    <w:rsid w:val="47E52297"/>
    <w:rsid w:val="47E60652"/>
    <w:rsid w:val="482A1727"/>
    <w:rsid w:val="4832126D"/>
    <w:rsid w:val="48407468"/>
    <w:rsid w:val="484828A2"/>
    <w:rsid w:val="484FF32F"/>
    <w:rsid w:val="485090B8"/>
    <w:rsid w:val="485A8BB8"/>
    <w:rsid w:val="485DE4F8"/>
    <w:rsid w:val="4862BE85"/>
    <w:rsid w:val="487142AF"/>
    <w:rsid w:val="4872F767"/>
    <w:rsid w:val="487E8163"/>
    <w:rsid w:val="48849C8B"/>
    <w:rsid w:val="4892C277"/>
    <w:rsid w:val="489567B6"/>
    <w:rsid w:val="489CB82A"/>
    <w:rsid w:val="48AA8744"/>
    <w:rsid w:val="48C2829B"/>
    <w:rsid w:val="48C5591E"/>
    <w:rsid w:val="48E1C443"/>
    <w:rsid w:val="48EB4082"/>
    <w:rsid w:val="48F1821B"/>
    <w:rsid w:val="4907DB5C"/>
    <w:rsid w:val="490FF439"/>
    <w:rsid w:val="4916C475"/>
    <w:rsid w:val="495DDFD2"/>
    <w:rsid w:val="496CE8CF"/>
    <w:rsid w:val="499F7D8E"/>
    <w:rsid w:val="49A39403"/>
    <w:rsid w:val="49AAAE89"/>
    <w:rsid w:val="49CC0EE6"/>
    <w:rsid w:val="49CF9F1F"/>
    <w:rsid w:val="49D9C779"/>
    <w:rsid w:val="49EDAB97"/>
    <w:rsid w:val="49F4902A"/>
    <w:rsid w:val="4A1E768E"/>
    <w:rsid w:val="4A328643"/>
    <w:rsid w:val="4A382440"/>
    <w:rsid w:val="4A39F401"/>
    <w:rsid w:val="4A49F7FB"/>
    <w:rsid w:val="4A569F58"/>
    <w:rsid w:val="4A6CAF86"/>
    <w:rsid w:val="4A7485AF"/>
    <w:rsid w:val="4A855CE8"/>
    <w:rsid w:val="4A9320F4"/>
    <w:rsid w:val="4A9FC758"/>
    <w:rsid w:val="4AA34F23"/>
    <w:rsid w:val="4AAFE36D"/>
    <w:rsid w:val="4AB1F451"/>
    <w:rsid w:val="4AB4A413"/>
    <w:rsid w:val="4AE09B33"/>
    <w:rsid w:val="4AE308AB"/>
    <w:rsid w:val="4B0F7E27"/>
    <w:rsid w:val="4B364848"/>
    <w:rsid w:val="4B435185"/>
    <w:rsid w:val="4B540B16"/>
    <w:rsid w:val="4B5C25DC"/>
    <w:rsid w:val="4B70C361"/>
    <w:rsid w:val="4B76BD1A"/>
    <w:rsid w:val="4B7DAF48"/>
    <w:rsid w:val="4B81BCFB"/>
    <w:rsid w:val="4B8CB2C9"/>
    <w:rsid w:val="4B923B53"/>
    <w:rsid w:val="4BA6564E"/>
    <w:rsid w:val="4BB4CD87"/>
    <w:rsid w:val="4BB8F5D1"/>
    <w:rsid w:val="4BBCAE99"/>
    <w:rsid w:val="4BBD07C7"/>
    <w:rsid w:val="4BE195C9"/>
    <w:rsid w:val="4BE48F82"/>
    <w:rsid w:val="4BF7DA68"/>
    <w:rsid w:val="4C021D83"/>
    <w:rsid w:val="4C06864C"/>
    <w:rsid w:val="4C1A305E"/>
    <w:rsid w:val="4C2CD4CE"/>
    <w:rsid w:val="4C4B3457"/>
    <w:rsid w:val="4C4C23EA"/>
    <w:rsid w:val="4C600BB8"/>
    <w:rsid w:val="4C66453A"/>
    <w:rsid w:val="4C90E814"/>
    <w:rsid w:val="4C92BC60"/>
    <w:rsid w:val="4CDE54A5"/>
    <w:rsid w:val="4CDEBFAA"/>
    <w:rsid w:val="4CF4E691"/>
    <w:rsid w:val="4CF95BD3"/>
    <w:rsid w:val="4CF9DCFA"/>
    <w:rsid w:val="4CFFEE90"/>
    <w:rsid w:val="4D0516D8"/>
    <w:rsid w:val="4D095810"/>
    <w:rsid w:val="4D15980C"/>
    <w:rsid w:val="4D179634"/>
    <w:rsid w:val="4D2041B8"/>
    <w:rsid w:val="4D26526C"/>
    <w:rsid w:val="4D58EBEF"/>
    <w:rsid w:val="4D6D1C98"/>
    <w:rsid w:val="4D7B4366"/>
    <w:rsid w:val="4DB1EB80"/>
    <w:rsid w:val="4DB33747"/>
    <w:rsid w:val="4DD0E3F3"/>
    <w:rsid w:val="4DD6CD19"/>
    <w:rsid w:val="4DDE25D3"/>
    <w:rsid w:val="4DE8ED8E"/>
    <w:rsid w:val="4DF3FDE1"/>
    <w:rsid w:val="4E068F4A"/>
    <w:rsid w:val="4E082547"/>
    <w:rsid w:val="4E0D8654"/>
    <w:rsid w:val="4E167BD8"/>
    <w:rsid w:val="4E2D25ED"/>
    <w:rsid w:val="4E445BB4"/>
    <w:rsid w:val="4E460728"/>
    <w:rsid w:val="4E634DF8"/>
    <w:rsid w:val="4E63D371"/>
    <w:rsid w:val="4E668BF4"/>
    <w:rsid w:val="4E7D43D1"/>
    <w:rsid w:val="4E836840"/>
    <w:rsid w:val="4E920560"/>
    <w:rsid w:val="4EA9A804"/>
    <w:rsid w:val="4ECAC223"/>
    <w:rsid w:val="4ED0C0CB"/>
    <w:rsid w:val="4ED42368"/>
    <w:rsid w:val="4EE088C9"/>
    <w:rsid w:val="4F06C0A4"/>
    <w:rsid w:val="4F098961"/>
    <w:rsid w:val="4F0A725F"/>
    <w:rsid w:val="4F0E9FF9"/>
    <w:rsid w:val="4F17C009"/>
    <w:rsid w:val="4F3CD3B0"/>
    <w:rsid w:val="4F48FDE4"/>
    <w:rsid w:val="4F56F79A"/>
    <w:rsid w:val="4F77D479"/>
    <w:rsid w:val="4F862983"/>
    <w:rsid w:val="4F904661"/>
    <w:rsid w:val="4F99914E"/>
    <w:rsid w:val="4FA08472"/>
    <w:rsid w:val="4FA146FA"/>
    <w:rsid w:val="4FA7E990"/>
    <w:rsid w:val="4FB4B67B"/>
    <w:rsid w:val="4FBAD051"/>
    <w:rsid w:val="4FE820FA"/>
    <w:rsid w:val="4FEF55E0"/>
    <w:rsid w:val="4FF722BD"/>
    <w:rsid w:val="4FF7294C"/>
    <w:rsid w:val="4FFE373F"/>
    <w:rsid w:val="4FFF0507"/>
    <w:rsid w:val="500D57B6"/>
    <w:rsid w:val="501748FB"/>
    <w:rsid w:val="501A6387"/>
    <w:rsid w:val="5063F31E"/>
    <w:rsid w:val="509508B6"/>
    <w:rsid w:val="509FC566"/>
    <w:rsid w:val="50A571FB"/>
    <w:rsid w:val="50D237DA"/>
    <w:rsid w:val="50DA7B61"/>
    <w:rsid w:val="50DA9E2E"/>
    <w:rsid w:val="5109B419"/>
    <w:rsid w:val="511A334C"/>
    <w:rsid w:val="51243203"/>
    <w:rsid w:val="5139D650"/>
    <w:rsid w:val="51413FBA"/>
    <w:rsid w:val="5153891D"/>
    <w:rsid w:val="51637027"/>
    <w:rsid w:val="5179AFC6"/>
    <w:rsid w:val="518C70EC"/>
    <w:rsid w:val="51A5979E"/>
    <w:rsid w:val="51B330B9"/>
    <w:rsid w:val="51B5720A"/>
    <w:rsid w:val="51C90AFF"/>
    <w:rsid w:val="51CED113"/>
    <w:rsid w:val="51D1E962"/>
    <w:rsid w:val="51D2AD1E"/>
    <w:rsid w:val="51DD5E63"/>
    <w:rsid w:val="51FB0A0E"/>
    <w:rsid w:val="52187D7E"/>
    <w:rsid w:val="5218ED0F"/>
    <w:rsid w:val="521F9E60"/>
    <w:rsid w:val="5222C2DE"/>
    <w:rsid w:val="522BE89E"/>
    <w:rsid w:val="524853DE"/>
    <w:rsid w:val="524FEBBC"/>
    <w:rsid w:val="5255950A"/>
    <w:rsid w:val="52595C69"/>
    <w:rsid w:val="525D4FA7"/>
    <w:rsid w:val="525E78FC"/>
    <w:rsid w:val="52747858"/>
    <w:rsid w:val="528BF127"/>
    <w:rsid w:val="528D64B7"/>
    <w:rsid w:val="5295C91A"/>
    <w:rsid w:val="52A1F33D"/>
    <w:rsid w:val="52B50F84"/>
    <w:rsid w:val="52D0A90A"/>
    <w:rsid w:val="52DECA44"/>
    <w:rsid w:val="5307A918"/>
    <w:rsid w:val="5307F8DE"/>
    <w:rsid w:val="530F0E65"/>
    <w:rsid w:val="5333F847"/>
    <w:rsid w:val="533D7A7D"/>
    <w:rsid w:val="5343A99F"/>
    <w:rsid w:val="5355641F"/>
    <w:rsid w:val="5360FDE8"/>
    <w:rsid w:val="5364F74D"/>
    <w:rsid w:val="5366BBCA"/>
    <w:rsid w:val="536D941A"/>
    <w:rsid w:val="536E694F"/>
    <w:rsid w:val="537F7736"/>
    <w:rsid w:val="53891B18"/>
    <w:rsid w:val="53983DCD"/>
    <w:rsid w:val="539E3B0E"/>
    <w:rsid w:val="53AEED2B"/>
    <w:rsid w:val="53BE5D45"/>
    <w:rsid w:val="53CD9165"/>
    <w:rsid w:val="53CDB5BE"/>
    <w:rsid w:val="53D3BA1A"/>
    <w:rsid w:val="53F16276"/>
    <w:rsid w:val="5403164C"/>
    <w:rsid w:val="540C872B"/>
    <w:rsid w:val="5424EDF5"/>
    <w:rsid w:val="542847F8"/>
    <w:rsid w:val="545805CB"/>
    <w:rsid w:val="5461A82E"/>
    <w:rsid w:val="547B8C8B"/>
    <w:rsid w:val="54850EA8"/>
    <w:rsid w:val="549DBAB6"/>
    <w:rsid w:val="54A47347"/>
    <w:rsid w:val="54A56B23"/>
    <w:rsid w:val="54A79FF9"/>
    <w:rsid w:val="54A85DC7"/>
    <w:rsid w:val="54B16D37"/>
    <w:rsid w:val="54BA7582"/>
    <w:rsid w:val="54D2F2E6"/>
    <w:rsid w:val="54EBEB48"/>
    <w:rsid w:val="55007A89"/>
    <w:rsid w:val="550DE33B"/>
    <w:rsid w:val="55281702"/>
    <w:rsid w:val="553718E4"/>
    <w:rsid w:val="553B45C6"/>
    <w:rsid w:val="5543DB7B"/>
    <w:rsid w:val="5552A554"/>
    <w:rsid w:val="555A0903"/>
    <w:rsid w:val="555BD520"/>
    <w:rsid w:val="55724A96"/>
    <w:rsid w:val="557761E0"/>
    <w:rsid w:val="557ECCEE"/>
    <w:rsid w:val="558D56BA"/>
    <w:rsid w:val="55A92C19"/>
    <w:rsid w:val="55B11CDF"/>
    <w:rsid w:val="55B4C4FD"/>
    <w:rsid w:val="55C20DC3"/>
    <w:rsid w:val="55C5B71C"/>
    <w:rsid w:val="55CA0096"/>
    <w:rsid w:val="55F8FE4A"/>
    <w:rsid w:val="5602B1AF"/>
    <w:rsid w:val="56106D23"/>
    <w:rsid w:val="562CC569"/>
    <w:rsid w:val="5638539C"/>
    <w:rsid w:val="56461A12"/>
    <w:rsid w:val="565A9ADD"/>
    <w:rsid w:val="5664CC94"/>
    <w:rsid w:val="5665A2D6"/>
    <w:rsid w:val="5669C2F0"/>
    <w:rsid w:val="566A4174"/>
    <w:rsid w:val="566AF232"/>
    <w:rsid w:val="56805B24"/>
    <w:rsid w:val="568F7EBA"/>
    <w:rsid w:val="56A9AEAA"/>
    <w:rsid w:val="56B1DFAF"/>
    <w:rsid w:val="56C23E72"/>
    <w:rsid w:val="56CE867F"/>
    <w:rsid w:val="56DCFB77"/>
    <w:rsid w:val="56E64467"/>
    <w:rsid w:val="56EB2889"/>
    <w:rsid w:val="56F5E719"/>
    <w:rsid w:val="56F8ED30"/>
    <w:rsid w:val="570786BF"/>
    <w:rsid w:val="5711E74C"/>
    <w:rsid w:val="57296477"/>
    <w:rsid w:val="57456DE3"/>
    <w:rsid w:val="574B05A5"/>
    <w:rsid w:val="576B4CA2"/>
    <w:rsid w:val="577A7A6E"/>
    <w:rsid w:val="57950D62"/>
    <w:rsid w:val="57A5C525"/>
    <w:rsid w:val="57AEAFCF"/>
    <w:rsid w:val="57B29FF9"/>
    <w:rsid w:val="57BDEC4A"/>
    <w:rsid w:val="57BEF191"/>
    <w:rsid w:val="57DD7640"/>
    <w:rsid w:val="57E23842"/>
    <w:rsid w:val="57FAFC6A"/>
    <w:rsid w:val="57FCD905"/>
    <w:rsid w:val="580D8507"/>
    <w:rsid w:val="58100875"/>
    <w:rsid w:val="58169B80"/>
    <w:rsid w:val="5816D0FB"/>
    <w:rsid w:val="581D2943"/>
    <w:rsid w:val="582284E4"/>
    <w:rsid w:val="5829BE42"/>
    <w:rsid w:val="582D0B92"/>
    <w:rsid w:val="5843459D"/>
    <w:rsid w:val="584861A5"/>
    <w:rsid w:val="5853EF82"/>
    <w:rsid w:val="586E14B8"/>
    <w:rsid w:val="5891952A"/>
    <w:rsid w:val="5894997C"/>
    <w:rsid w:val="589807C1"/>
    <w:rsid w:val="58ABA1A8"/>
    <w:rsid w:val="58C27AD2"/>
    <w:rsid w:val="58CD791B"/>
    <w:rsid w:val="58E4A4A3"/>
    <w:rsid w:val="58F77AFD"/>
    <w:rsid w:val="58FF1BF6"/>
    <w:rsid w:val="5903A7F9"/>
    <w:rsid w:val="59156015"/>
    <w:rsid w:val="5933243B"/>
    <w:rsid w:val="59435302"/>
    <w:rsid w:val="5958EF57"/>
    <w:rsid w:val="5965EF40"/>
    <w:rsid w:val="597593C1"/>
    <w:rsid w:val="59824551"/>
    <w:rsid w:val="598F65EE"/>
    <w:rsid w:val="59967B19"/>
    <w:rsid w:val="599AFD4D"/>
    <w:rsid w:val="59B42867"/>
    <w:rsid w:val="59B5AF6C"/>
    <w:rsid w:val="59B84BC0"/>
    <w:rsid w:val="59BFFF36"/>
    <w:rsid w:val="59CB0F8D"/>
    <w:rsid w:val="59D93C98"/>
    <w:rsid w:val="59DA1FC4"/>
    <w:rsid w:val="59E4CBE9"/>
    <w:rsid w:val="5A0C57BD"/>
    <w:rsid w:val="5A230C31"/>
    <w:rsid w:val="5A30A793"/>
    <w:rsid w:val="5A3214E0"/>
    <w:rsid w:val="5A3F3C3D"/>
    <w:rsid w:val="5A42E7DC"/>
    <w:rsid w:val="5A4491C9"/>
    <w:rsid w:val="5A533040"/>
    <w:rsid w:val="5A66CA6E"/>
    <w:rsid w:val="5A7DB09E"/>
    <w:rsid w:val="5AA6B526"/>
    <w:rsid w:val="5ABF8429"/>
    <w:rsid w:val="5AEC59C4"/>
    <w:rsid w:val="5AF181EA"/>
    <w:rsid w:val="5AF30190"/>
    <w:rsid w:val="5AF325C0"/>
    <w:rsid w:val="5B3C5EFF"/>
    <w:rsid w:val="5B3C7A76"/>
    <w:rsid w:val="5B4574FF"/>
    <w:rsid w:val="5B48B82A"/>
    <w:rsid w:val="5B56AA46"/>
    <w:rsid w:val="5B5D2067"/>
    <w:rsid w:val="5B66EC94"/>
    <w:rsid w:val="5B748414"/>
    <w:rsid w:val="5B923664"/>
    <w:rsid w:val="5BB569D7"/>
    <w:rsid w:val="5BBEECB6"/>
    <w:rsid w:val="5BC3B1DB"/>
    <w:rsid w:val="5BDC72F1"/>
    <w:rsid w:val="5BEC74F7"/>
    <w:rsid w:val="5C03C494"/>
    <w:rsid w:val="5C072094"/>
    <w:rsid w:val="5C1BD53A"/>
    <w:rsid w:val="5C234058"/>
    <w:rsid w:val="5C32CB11"/>
    <w:rsid w:val="5C3F3999"/>
    <w:rsid w:val="5C407317"/>
    <w:rsid w:val="5C4C7F44"/>
    <w:rsid w:val="5C5EE8BF"/>
    <w:rsid w:val="5C606179"/>
    <w:rsid w:val="5C6FD28D"/>
    <w:rsid w:val="5C7F3596"/>
    <w:rsid w:val="5CBF0E41"/>
    <w:rsid w:val="5CC2FA1E"/>
    <w:rsid w:val="5CC4D7A4"/>
    <w:rsid w:val="5CD224A9"/>
    <w:rsid w:val="5D4A3D6A"/>
    <w:rsid w:val="5D55999E"/>
    <w:rsid w:val="5D5CB420"/>
    <w:rsid w:val="5D66703E"/>
    <w:rsid w:val="5D88F42F"/>
    <w:rsid w:val="5D9245BB"/>
    <w:rsid w:val="5D950DD6"/>
    <w:rsid w:val="5D9BAF58"/>
    <w:rsid w:val="5DCBC2E6"/>
    <w:rsid w:val="5DD8A457"/>
    <w:rsid w:val="5DDB7C30"/>
    <w:rsid w:val="5DDCD29C"/>
    <w:rsid w:val="5DDEA9B8"/>
    <w:rsid w:val="5DE066CA"/>
    <w:rsid w:val="5E0907CD"/>
    <w:rsid w:val="5E09678E"/>
    <w:rsid w:val="5E0CBD4C"/>
    <w:rsid w:val="5E0E63AD"/>
    <w:rsid w:val="5E1B1CE1"/>
    <w:rsid w:val="5E3CDDDB"/>
    <w:rsid w:val="5E4BCB6A"/>
    <w:rsid w:val="5E4D6184"/>
    <w:rsid w:val="5E53ACC7"/>
    <w:rsid w:val="5E5877F8"/>
    <w:rsid w:val="5E86611D"/>
    <w:rsid w:val="5E8B370B"/>
    <w:rsid w:val="5EA08EE1"/>
    <w:rsid w:val="5EBAB0DB"/>
    <w:rsid w:val="5EBEF16A"/>
    <w:rsid w:val="5EF8BD5F"/>
    <w:rsid w:val="5EF8FD91"/>
    <w:rsid w:val="5F0C0D67"/>
    <w:rsid w:val="5F0E43BF"/>
    <w:rsid w:val="5F245FEC"/>
    <w:rsid w:val="5F28B6A5"/>
    <w:rsid w:val="5F3A1F67"/>
    <w:rsid w:val="5F42F538"/>
    <w:rsid w:val="5F4C9A18"/>
    <w:rsid w:val="5F5C2EDF"/>
    <w:rsid w:val="5F6DA4C6"/>
    <w:rsid w:val="5F83708B"/>
    <w:rsid w:val="5F962C97"/>
    <w:rsid w:val="5FAA32FA"/>
    <w:rsid w:val="5FB2A31A"/>
    <w:rsid w:val="5FC12ED2"/>
    <w:rsid w:val="5FE19473"/>
    <w:rsid w:val="5FF0D59F"/>
    <w:rsid w:val="60061D44"/>
    <w:rsid w:val="600CEBC7"/>
    <w:rsid w:val="6020059E"/>
    <w:rsid w:val="60230E41"/>
    <w:rsid w:val="6057E5D2"/>
    <w:rsid w:val="605A845A"/>
    <w:rsid w:val="6086992A"/>
    <w:rsid w:val="6088A526"/>
    <w:rsid w:val="609BA503"/>
    <w:rsid w:val="60ACD9A1"/>
    <w:rsid w:val="60AE4D87"/>
    <w:rsid w:val="60C01AF0"/>
    <w:rsid w:val="60CB2E34"/>
    <w:rsid w:val="60EDBF3D"/>
    <w:rsid w:val="61072C13"/>
    <w:rsid w:val="61168460"/>
    <w:rsid w:val="6138707F"/>
    <w:rsid w:val="61459636"/>
    <w:rsid w:val="614D0ED3"/>
    <w:rsid w:val="614ED341"/>
    <w:rsid w:val="615E42D2"/>
    <w:rsid w:val="61638354"/>
    <w:rsid w:val="616DD74C"/>
    <w:rsid w:val="61769B08"/>
    <w:rsid w:val="6179A678"/>
    <w:rsid w:val="6180061C"/>
    <w:rsid w:val="618FDEF2"/>
    <w:rsid w:val="61BE1FDB"/>
    <w:rsid w:val="61C14FA8"/>
    <w:rsid w:val="61C35D34"/>
    <w:rsid w:val="61CBAB5A"/>
    <w:rsid w:val="61E23D35"/>
    <w:rsid w:val="61E89B20"/>
    <w:rsid w:val="61F0B12B"/>
    <w:rsid w:val="61FB3052"/>
    <w:rsid w:val="622599D0"/>
    <w:rsid w:val="622731AE"/>
    <w:rsid w:val="622F4626"/>
    <w:rsid w:val="623022FB"/>
    <w:rsid w:val="6236C243"/>
    <w:rsid w:val="62403005"/>
    <w:rsid w:val="624C6AD3"/>
    <w:rsid w:val="62653EA5"/>
    <w:rsid w:val="627B9656"/>
    <w:rsid w:val="627EFCA5"/>
    <w:rsid w:val="6289D416"/>
    <w:rsid w:val="62A26208"/>
    <w:rsid w:val="62B6DB48"/>
    <w:rsid w:val="62B71A7D"/>
    <w:rsid w:val="62C22909"/>
    <w:rsid w:val="62F1EC81"/>
    <w:rsid w:val="62F31293"/>
    <w:rsid w:val="62FA2FCB"/>
    <w:rsid w:val="6308AB0A"/>
    <w:rsid w:val="630B7400"/>
    <w:rsid w:val="632961D3"/>
    <w:rsid w:val="632ADCEB"/>
    <w:rsid w:val="63408615"/>
    <w:rsid w:val="63423009"/>
    <w:rsid w:val="637AF7EF"/>
    <w:rsid w:val="637F976D"/>
    <w:rsid w:val="638742EF"/>
    <w:rsid w:val="638CC11D"/>
    <w:rsid w:val="639D138E"/>
    <w:rsid w:val="63CBAA92"/>
    <w:rsid w:val="63E42B68"/>
    <w:rsid w:val="63EC6F04"/>
    <w:rsid w:val="63F61C55"/>
    <w:rsid w:val="640181AA"/>
    <w:rsid w:val="6413325D"/>
    <w:rsid w:val="6417CA41"/>
    <w:rsid w:val="643290C8"/>
    <w:rsid w:val="643BFBC3"/>
    <w:rsid w:val="643F24E2"/>
    <w:rsid w:val="644CAD23"/>
    <w:rsid w:val="6459EEDA"/>
    <w:rsid w:val="647B775B"/>
    <w:rsid w:val="64814D91"/>
    <w:rsid w:val="64A5ADEF"/>
    <w:rsid w:val="64B8E804"/>
    <w:rsid w:val="64E028AC"/>
    <w:rsid w:val="64E54025"/>
    <w:rsid w:val="64EB21B3"/>
    <w:rsid w:val="64ECE613"/>
    <w:rsid w:val="64ED658C"/>
    <w:rsid w:val="6502F0D5"/>
    <w:rsid w:val="6525C1AB"/>
    <w:rsid w:val="652C6D7C"/>
    <w:rsid w:val="652DAA1F"/>
    <w:rsid w:val="6546B1EE"/>
    <w:rsid w:val="655308E3"/>
    <w:rsid w:val="65682024"/>
    <w:rsid w:val="6573D971"/>
    <w:rsid w:val="65762C4F"/>
    <w:rsid w:val="6582C25B"/>
    <w:rsid w:val="658ECA01"/>
    <w:rsid w:val="6594A636"/>
    <w:rsid w:val="65A87899"/>
    <w:rsid w:val="65BC703B"/>
    <w:rsid w:val="65BEFB0E"/>
    <w:rsid w:val="65E82A8E"/>
    <w:rsid w:val="65EDFE25"/>
    <w:rsid w:val="660030C8"/>
    <w:rsid w:val="661AEC38"/>
    <w:rsid w:val="66348205"/>
    <w:rsid w:val="663C7611"/>
    <w:rsid w:val="66612AF6"/>
    <w:rsid w:val="666BF370"/>
    <w:rsid w:val="667FD763"/>
    <w:rsid w:val="66844CFC"/>
    <w:rsid w:val="66855E82"/>
    <w:rsid w:val="668CA9B2"/>
    <w:rsid w:val="668D984F"/>
    <w:rsid w:val="66934662"/>
    <w:rsid w:val="6698EE98"/>
    <w:rsid w:val="66AD6715"/>
    <w:rsid w:val="66B843EC"/>
    <w:rsid w:val="66BD1DC8"/>
    <w:rsid w:val="66C0DB9F"/>
    <w:rsid w:val="66C21E50"/>
    <w:rsid w:val="66CF13AF"/>
    <w:rsid w:val="66E32B62"/>
    <w:rsid w:val="6700ED2C"/>
    <w:rsid w:val="67160494"/>
    <w:rsid w:val="6731CF3A"/>
    <w:rsid w:val="6779E801"/>
    <w:rsid w:val="67810EAE"/>
    <w:rsid w:val="679562C3"/>
    <w:rsid w:val="679C39F6"/>
    <w:rsid w:val="67B4357E"/>
    <w:rsid w:val="67C98665"/>
    <w:rsid w:val="67CDC639"/>
    <w:rsid w:val="67E7ABEE"/>
    <w:rsid w:val="67ECB476"/>
    <w:rsid w:val="67F054D1"/>
    <w:rsid w:val="67F9BA96"/>
    <w:rsid w:val="68159577"/>
    <w:rsid w:val="6825ED6B"/>
    <w:rsid w:val="6826EADB"/>
    <w:rsid w:val="6826F45D"/>
    <w:rsid w:val="682BFC14"/>
    <w:rsid w:val="6838AE7E"/>
    <w:rsid w:val="683DE13F"/>
    <w:rsid w:val="68512D38"/>
    <w:rsid w:val="686B4054"/>
    <w:rsid w:val="68721065"/>
    <w:rsid w:val="687BCD32"/>
    <w:rsid w:val="688B43C0"/>
    <w:rsid w:val="688E916B"/>
    <w:rsid w:val="689E8A6D"/>
    <w:rsid w:val="68EDAAF3"/>
    <w:rsid w:val="690A64CB"/>
    <w:rsid w:val="69249F82"/>
    <w:rsid w:val="69490565"/>
    <w:rsid w:val="6966B1D4"/>
    <w:rsid w:val="697C5A06"/>
    <w:rsid w:val="6999A263"/>
    <w:rsid w:val="699AB8E9"/>
    <w:rsid w:val="69B2ED33"/>
    <w:rsid w:val="69CE403C"/>
    <w:rsid w:val="69CE8069"/>
    <w:rsid w:val="69D1FB65"/>
    <w:rsid w:val="69D5D3DE"/>
    <w:rsid w:val="69F26FEF"/>
    <w:rsid w:val="6A12140B"/>
    <w:rsid w:val="6A1BF4E4"/>
    <w:rsid w:val="6A38213E"/>
    <w:rsid w:val="6A466725"/>
    <w:rsid w:val="6A57B6C5"/>
    <w:rsid w:val="6A61A41C"/>
    <w:rsid w:val="6A71DF3F"/>
    <w:rsid w:val="6A765F0A"/>
    <w:rsid w:val="6A801007"/>
    <w:rsid w:val="6A8350BF"/>
    <w:rsid w:val="6A8612CC"/>
    <w:rsid w:val="6A929F84"/>
    <w:rsid w:val="6A9E8E35"/>
    <w:rsid w:val="6AAE1EB6"/>
    <w:rsid w:val="6ABC1335"/>
    <w:rsid w:val="6AC4F712"/>
    <w:rsid w:val="6ACBC6D6"/>
    <w:rsid w:val="6AD3D8ED"/>
    <w:rsid w:val="6AD78801"/>
    <w:rsid w:val="6AE10A83"/>
    <w:rsid w:val="6AED1578"/>
    <w:rsid w:val="6B11A1F4"/>
    <w:rsid w:val="6B2A2F87"/>
    <w:rsid w:val="6B327B19"/>
    <w:rsid w:val="6B37ABDF"/>
    <w:rsid w:val="6B3A6A71"/>
    <w:rsid w:val="6B432867"/>
    <w:rsid w:val="6B5BB163"/>
    <w:rsid w:val="6B5DEB6C"/>
    <w:rsid w:val="6B67FB83"/>
    <w:rsid w:val="6B78C58F"/>
    <w:rsid w:val="6B828107"/>
    <w:rsid w:val="6B82C285"/>
    <w:rsid w:val="6BB5264D"/>
    <w:rsid w:val="6BC87916"/>
    <w:rsid w:val="6BCD3099"/>
    <w:rsid w:val="6BCE62F1"/>
    <w:rsid w:val="6BD6870F"/>
    <w:rsid w:val="6BE0AFE7"/>
    <w:rsid w:val="6BE53833"/>
    <w:rsid w:val="6BF39703"/>
    <w:rsid w:val="6BF65E2D"/>
    <w:rsid w:val="6BF9E09D"/>
    <w:rsid w:val="6C091FC2"/>
    <w:rsid w:val="6C2D543A"/>
    <w:rsid w:val="6C35D6A1"/>
    <w:rsid w:val="6C393D4B"/>
    <w:rsid w:val="6C4EB728"/>
    <w:rsid w:val="6C59A511"/>
    <w:rsid w:val="6C61AB60"/>
    <w:rsid w:val="6C696D7F"/>
    <w:rsid w:val="6C755189"/>
    <w:rsid w:val="6C79A329"/>
    <w:rsid w:val="6C8BDA81"/>
    <w:rsid w:val="6CA2D696"/>
    <w:rsid w:val="6CA5D6FC"/>
    <w:rsid w:val="6CCB2787"/>
    <w:rsid w:val="6CCD34D0"/>
    <w:rsid w:val="6CFC9544"/>
    <w:rsid w:val="6D03836F"/>
    <w:rsid w:val="6D0EB447"/>
    <w:rsid w:val="6D143AE1"/>
    <w:rsid w:val="6D4D96CD"/>
    <w:rsid w:val="6D60E52C"/>
    <w:rsid w:val="6D61578D"/>
    <w:rsid w:val="6D79DF75"/>
    <w:rsid w:val="6D7AA158"/>
    <w:rsid w:val="6D8877C0"/>
    <w:rsid w:val="6D99D36B"/>
    <w:rsid w:val="6D9B23D7"/>
    <w:rsid w:val="6DA9681D"/>
    <w:rsid w:val="6DAA6C73"/>
    <w:rsid w:val="6DADFDC9"/>
    <w:rsid w:val="6DB60FAE"/>
    <w:rsid w:val="6DB6C49D"/>
    <w:rsid w:val="6DBAC9BC"/>
    <w:rsid w:val="6DC65017"/>
    <w:rsid w:val="6DCCECC5"/>
    <w:rsid w:val="6DE3A3C0"/>
    <w:rsid w:val="6DE707E8"/>
    <w:rsid w:val="6DED853E"/>
    <w:rsid w:val="6DF9E885"/>
    <w:rsid w:val="6E045571"/>
    <w:rsid w:val="6E45E41E"/>
    <w:rsid w:val="6E506A76"/>
    <w:rsid w:val="6E63BA47"/>
    <w:rsid w:val="6E72EB6A"/>
    <w:rsid w:val="6E734983"/>
    <w:rsid w:val="6E7AA7B1"/>
    <w:rsid w:val="6E917C9E"/>
    <w:rsid w:val="6E9C68BB"/>
    <w:rsid w:val="6E9D3C8F"/>
    <w:rsid w:val="6EA62F73"/>
    <w:rsid w:val="6EB27CAC"/>
    <w:rsid w:val="6ED6CA4B"/>
    <w:rsid w:val="6ED8318C"/>
    <w:rsid w:val="6EDB9C66"/>
    <w:rsid w:val="6EEFDCBC"/>
    <w:rsid w:val="6EF4258B"/>
    <w:rsid w:val="6EF9C01B"/>
    <w:rsid w:val="6EFB98B5"/>
    <w:rsid w:val="6F089279"/>
    <w:rsid w:val="6F2252E8"/>
    <w:rsid w:val="6F374F63"/>
    <w:rsid w:val="6F4C011D"/>
    <w:rsid w:val="6F5E1B55"/>
    <w:rsid w:val="6F64D621"/>
    <w:rsid w:val="6F6A08A5"/>
    <w:rsid w:val="6F6F9F4A"/>
    <w:rsid w:val="6F8B2AA3"/>
    <w:rsid w:val="6FABD10F"/>
    <w:rsid w:val="6FAD5BE6"/>
    <w:rsid w:val="6FBF93B4"/>
    <w:rsid w:val="6FC69191"/>
    <w:rsid w:val="6FCA0673"/>
    <w:rsid w:val="6FD3C417"/>
    <w:rsid w:val="6FE13239"/>
    <w:rsid w:val="6FE40BEC"/>
    <w:rsid w:val="6FE80D56"/>
    <w:rsid w:val="6FF19A3B"/>
    <w:rsid w:val="700C3DE6"/>
    <w:rsid w:val="701E3FB5"/>
    <w:rsid w:val="702639D8"/>
    <w:rsid w:val="702CDE38"/>
    <w:rsid w:val="70307D65"/>
    <w:rsid w:val="7036B67A"/>
    <w:rsid w:val="703BFC24"/>
    <w:rsid w:val="704446F9"/>
    <w:rsid w:val="704A1DA4"/>
    <w:rsid w:val="7062F34D"/>
    <w:rsid w:val="70650214"/>
    <w:rsid w:val="7076DCFC"/>
    <w:rsid w:val="7079885E"/>
    <w:rsid w:val="7079CCE7"/>
    <w:rsid w:val="70A55D1F"/>
    <w:rsid w:val="70B4FC19"/>
    <w:rsid w:val="70B9C2DE"/>
    <w:rsid w:val="70BA0AF9"/>
    <w:rsid w:val="70BCD643"/>
    <w:rsid w:val="70CAFB32"/>
    <w:rsid w:val="70E0332A"/>
    <w:rsid w:val="70E1FB35"/>
    <w:rsid w:val="70E4283A"/>
    <w:rsid w:val="70FB244E"/>
    <w:rsid w:val="70FCF86D"/>
    <w:rsid w:val="71050CA5"/>
    <w:rsid w:val="710A2F06"/>
    <w:rsid w:val="711229BE"/>
    <w:rsid w:val="7117FAEA"/>
    <w:rsid w:val="712BF0C1"/>
    <w:rsid w:val="7136B85D"/>
    <w:rsid w:val="71455F46"/>
    <w:rsid w:val="714602E7"/>
    <w:rsid w:val="716FD7FA"/>
    <w:rsid w:val="71763488"/>
    <w:rsid w:val="7182F0B7"/>
    <w:rsid w:val="71A5B8CE"/>
    <w:rsid w:val="71BBE3FE"/>
    <w:rsid w:val="71CC0B53"/>
    <w:rsid w:val="71D049EA"/>
    <w:rsid w:val="71DD5211"/>
    <w:rsid w:val="71F056F4"/>
    <w:rsid w:val="720B913B"/>
    <w:rsid w:val="7228CFC1"/>
    <w:rsid w:val="722FFD1A"/>
    <w:rsid w:val="72615C9B"/>
    <w:rsid w:val="7261D730"/>
    <w:rsid w:val="72778BA4"/>
    <w:rsid w:val="72822B0B"/>
    <w:rsid w:val="728CD832"/>
    <w:rsid w:val="729AA08E"/>
    <w:rsid w:val="72A2121A"/>
    <w:rsid w:val="72BFEB8B"/>
    <w:rsid w:val="72CB76FE"/>
    <w:rsid w:val="72E199E8"/>
    <w:rsid w:val="72F2A50F"/>
    <w:rsid w:val="72F5B440"/>
    <w:rsid w:val="731F9971"/>
    <w:rsid w:val="732CC0CC"/>
    <w:rsid w:val="73377835"/>
    <w:rsid w:val="733CC2F3"/>
    <w:rsid w:val="734A2A4A"/>
    <w:rsid w:val="73543188"/>
    <w:rsid w:val="73550955"/>
    <w:rsid w:val="735C54C4"/>
    <w:rsid w:val="73AB8A4E"/>
    <w:rsid w:val="73B0B0B5"/>
    <w:rsid w:val="73B2BFE2"/>
    <w:rsid w:val="73B68D8E"/>
    <w:rsid w:val="73B9A73D"/>
    <w:rsid w:val="73BAE213"/>
    <w:rsid w:val="73BEC51D"/>
    <w:rsid w:val="741FF423"/>
    <w:rsid w:val="74501A41"/>
    <w:rsid w:val="74541792"/>
    <w:rsid w:val="745569E8"/>
    <w:rsid w:val="7463F52D"/>
    <w:rsid w:val="747104F7"/>
    <w:rsid w:val="7483C7FA"/>
    <w:rsid w:val="74986906"/>
    <w:rsid w:val="74A696F5"/>
    <w:rsid w:val="74B1A732"/>
    <w:rsid w:val="74BA6DC6"/>
    <w:rsid w:val="74C974D9"/>
    <w:rsid w:val="74DCA3B4"/>
    <w:rsid w:val="7517945E"/>
    <w:rsid w:val="7518AE57"/>
    <w:rsid w:val="754D9474"/>
    <w:rsid w:val="7559DB8E"/>
    <w:rsid w:val="75638D44"/>
    <w:rsid w:val="756967B0"/>
    <w:rsid w:val="758122EE"/>
    <w:rsid w:val="7592EC0B"/>
    <w:rsid w:val="75A0CA30"/>
    <w:rsid w:val="75AE8CF0"/>
    <w:rsid w:val="75B53BDF"/>
    <w:rsid w:val="75B9E44B"/>
    <w:rsid w:val="75C5C876"/>
    <w:rsid w:val="75DCB711"/>
    <w:rsid w:val="75E16D72"/>
    <w:rsid w:val="75E3F1F5"/>
    <w:rsid w:val="75E9FFFE"/>
    <w:rsid w:val="75F105D8"/>
    <w:rsid w:val="763A92F1"/>
    <w:rsid w:val="763DA8E9"/>
    <w:rsid w:val="763E1730"/>
    <w:rsid w:val="7642D08E"/>
    <w:rsid w:val="764696B6"/>
    <w:rsid w:val="764BD3DC"/>
    <w:rsid w:val="76514078"/>
    <w:rsid w:val="7672D25E"/>
    <w:rsid w:val="7672F8B4"/>
    <w:rsid w:val="76BA06F9"/>
    <w:rsid w:val="76D0B0C0"/>
    <w:rsid w:val="76D7D406"/>
    <w:rsid w:val="7702BCF1"/>
    <w:rsid w:val="77043C5B"/>
    <w:rsid w:val="772B5411"/>
    <w:rsid w:val="773CB202"/>
    <w:rsid w:val="77400660"/>
    <w:rsid w:val="774E5395"/>
    <w:rsid w:val="775607F6"/>
    <w:rsid w:val="7763035B"/>
    <w:rsid w:val="776F0959"/>
    <w:rsid w:val="779B135B"/>
    <w:rsid w:val="77A1793F"/>
    <w:rsid w:val="77AE4559"/>
    <w:rsid w:val="77B6BE92"/>
    <w:rsid w:val="77B86748"/>
    <w:rsid w:val="77CA2D72"/>
    <w:rsid w:val="77CCE224"/>
    <w:rsid w:val="77D3A8EF"/>
    <w:rsid w:val="77D4BE1A"/>
    <w:rsid w:val="77D8C6C6"/>
    <w:rsid w:val="77E2C62C"/>
    <w:rsid w:val="77EB7157"/>
    <w:rsid w:val="78355FAB"/>
    <w:rsid w:val="7843B049"/>
    <w:rsid w:val="784A1DF5"/>
    <w:rsid w:val="78531476"/>
    <w:rsid w:val="785B060E"/>
    <w:rsid w:val="786B7FF2"/>
    <w:rsid w:val="7879FBA1"/>
    <w:rsid w:val="7894BEC3"/>
    <w:rsid w:val="78960652"/>
    <w:rsid w:val="789B7D42"/>
    <w:rsid w:val="789CCEC5"/>
    <w:rsid w:val="78AF86E3"/>
    <w:rsid w:val="78AFDBF9"/>
    <w:rsid w:val="78B062EE"/>
    <w:rsid w:val="78D3376E"/>
    <w:rsid w:val="78DA32BE"/>
    <w:rsid w:val="78E8E4E6"/>
    <w:rsid w:val="78F5E2B9"/>
    <w:rsid w:val="79062993"/>
    <w:rsid w:val="792B51A6"/>
    <w:rsid w:val="793E6F24"/>
    <w:rsid w:val="7949002C"/>
    <w:rsid w:val="796643AF"/>
    <w:rsid w:val="7967B10A"/>
    <w:rsid w:val="79784532"/>
    <w:rsid w:val="797A57D9"/>
    <w:rsid w:val="798D4C89"/>
    <w:rsid w:val="79B453C2"/>
    <w:rsid w:val="79C2D753"/>
    <w:rsid w:val="79C2F25A"/>
    <w:rsid w:val="79CDA231"/>
    <w:rsid w:val="79CF54E6"/>
    <w:rsid w:val="79D7DCEF"/>
    <w:rsid w:val="79EBF7E2"/>
    <w:rsid w:val="79F9B098"/>
    <w:rsid w:val="79FB2E9D"/>
    <w:rsid w:val="79FE0658"/>
    <w:rsid w:val="79FF111A"/>
    <w:rsid w:val="7A002DFA"/>
    <w:rsid w:val="7A0F0C10"/>
    <w:rsid w:val="7A1C8987"/>
    <w:rsid w:val="7A36C437"/>
    <w:rsid w:val="7A472384"/>
    <w:rsid w:val="7A5A53D5"/>
    <w:rsid w:val="7A69792E"/>
    <w:rsid w:val="7A7AEF3D"/>
    <w:rsid w:val="7A8E7928"/>
    <w:rsid w:val="7AA6D6EF"/>
    <w:rsid w:val="7AB08662"/>
    <w:rsid w:val="7AB0B7B7"/>
    <w:rsid w:val="7AB6560D"/>
    <w:rsid w:val="7AD7DF3A"/>
    <w:rsid w:val="7ADEBA7D"/>
    <w:rsid w:val="7B065910"/>
    <w:rsid w:val="7B210748"/>
    <w:rsid w:val="7B3B72B3"/>
    <w:rsid w:val="7B494C23"/>
    <w:rsid w:val="7B585A8F"/>
    <w:rsid w:val="7B59EE03"/>
    <w:rsid w:val="7B5C30D8"/>
    <w:rsid w:val="7B65CA6C"/>
    <w:rsid w:val="7B7AC8C7"/>
    <w:rsid w:val="7B80F89B"/>
    <w:rsid w:val="7B8627BD"/>
    <w:rsid w:val="7B9EE5D4"/>
    <w:rsid w:val="7BC628E9"/>
    <w:rsid w:val="7BDC00C1"/>
    <w:rsid w:val="7BDDA401"/>
    <w:rsid w:val="7BE91756"/>
    <w:rsid w:val="7BEB6741"/>
    <w:rsid w:val="7BF3A00F"/>
    <w:rsid w:val="7C086E8F"/>
    <w:rsid w:val="7C0DC4B2"/>
    <w:rsid w:val="7C192700"/>
    <w:rsid w:val="7C366A83"/>
    <w:rsid w:val="7C493995"/>
    <w:rsid w:val="7C56A00C"/>
    <w:rsid w:val="7C6A6166"/>
    <w:rsid w:val="7C730869"/>
    <w:rsid w:val="7C9E92C7"/>
    <w:rsid w:val="7CB16F3F"/>
    <w:rsid w:val="7CC31F9F"/>
    <w:rsid w:val="7CCFBEEF"/>
    <w:rsid w:val="7CF4B384"/>
    <w:rsid w:val="7D13B9BE"/>
    <w:rsid w:val="7D1E6C2B"/>
    <w:rsid w:val="7D26DABC"/>
    <w:rsid w:val="7D3A71DE"/>
    <w:rsid w:val="7D3AA282"/>
    <w:rsid w:val="7D43D61B"/>
    <w:rsid w:val="7D45AC90"/>
    <w:rsid w:val="7D474B40"/>
    <w:rsid w:val="7D68A026"/>
    <w:rsid w:val="7D6D96FC"/>
    <w:rsid w:val="7D976DCC"/>
    <w:rsid w:val="7DE0E5D6"/>
    <w:rsid w:val="7DE1214E"/>
    <w:rsid w:val="7DECA51C"/>
    <w:rsid w:val="7DFECF8F"/>
    <w:rsid w:val="7E0359C2"/>
    <w:rsid w:val="7E16B50C"/>
    <w:rsid w:val="7E34C7B8"/>
    <w:rsid w:val="7E3806BF"/>
    <w:rsid w:val="7E4BBD5B"/>
    <w:rsid w:val="7E62E77C"/>
    <w:rsid w:val="7E6406DE"/>
    <w:rsid w:val="7E71CD30"/>
    <w:rsid w:val="7E84CB29"/>
    <w:rsid w:val="7E8AE0AB"/>
    <w:rsid w:val="7EC0081D"/>
    <w:rsid w:val="7EC073C6"/>
    <w:rsid w:val="7ECBCC87"/>
    <w:rsid w:val="7ECC1E9A"/>
    <w:rsid w:val="7F113617"/>
    <w:rsid w:val="7F2E0155"/>
    <w:rsid w:val="7F3007D9"/>
    <w:rsid w:val="7F383BCE"/>
    <w:rsid w:val="7F4489F4"/>
    <w:rsid w:val="7F7238C2"/>
    <w:rsid w:val="7F7AEDFF"/>
    <w:rsid w:val="7F801904"/>
    <w:rsid w:val="7F83BF16"/>
    <w:rsid w:val="7F8C2818"/>
    <w:rsid w:val="7F8FED14"/>
    <w:rsid w:val="7FA39538"/>
    <w:rsid w:val="7FBD31CD"/>
    <w:rsid w:val="7FCA3DB0"/>
    <w:rsid w:val="7FD7C70E"/>
    <w:rsid w:val="7FDAE8AC"/>
    <w:rsid w:val="7FDC2E55"/>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08C34C"/>
  <w15:docId w15:val="{587C10FB-A167-4F68-BF3E-3CDD0D826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lang w:val="en-NZ" w:eastAsia="en-NZ"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278D62C0"/>
    <w:pPr>
      <w:spacing w:before="120" w:after="120" w:line="288" w:lineRule="auto"/>
    </w:pPr>
    <w:rPr>
      <w:rFonts w:cs="Arial"/>
      <w:sz w:val="22"/>
      <w:szCs w:val="22"/>
    </w:rPr>
  </w:style>
  <w:style w:type="paragraph" w:styleId="Heading1">
    <w:name w:val="heading 1"/>
    <w:basedOn w:val="Normal"/>
    <w:next w:val="Heading2"/>
    <w:link w:val="Heading1Char"/>
    <w:uiPriority w:val="9"/>
    <w:qFormat/>
    <w:rsid w:val="278D62C0"/>
    <w:pPr>
      <w:keepNext/>
      <w:spacing w:before="240"/>
      <w:outlineLvl w:val="0"/>
    </w:pPr>
    <w:rPr>
      <w:rFonts w:eastAsiaTheme="majorEastAsia"/>
      <w:b/>
      <w:bCs/>
      <w:sz w:val="40"/>
      <w:szCs w:val="40"/>
    </w:rPr>
  </w:style>
  <w:style w:type="paragraph" w:styleId="Heading2">
    <w:name w:val="heading 2"/>
    <w:basedOn w:val="Normal"/>
    <w:next w:val="Normal"/>
    <w:link w:val="Heading2Char"/>
    <w:uiPriority w:val="1"/>
    <w:qFormat/>
    <w:rsid w:val="278D62C0"/>
    <w:pPr>
      <w:keepNext/>
      <w:spacing w:before="240"/>
      <w:outlineLvl w:val="1"/>
    </w:pPr>
    <w:rPr>
      <w:rFonts w:eastAsiaTheme="majorEastAsia"/>
      <w:b/>
      <w:bCs/>
      <w:sz w:val="28"/>
      <w:szCs w:val="28"/>
    </w:rPr>
  </w:style>
  <w:style w:type="paragraph" w:styleId="Heading3">
    <w:name w:val="heading 3"/>
    <w:basedOn w:val="Heading2"/>
    <w:next w:val="Normal"/>
    <w:link w:val="Heading3Char"/>
    <w:autoRedefine/>
    <w:qFormat/>
    <w:rsid w:val="00FA482C"/>
    <w:pPr>
      <w:outlineLvl w:val="2"/>
    </w:pPr>
    <w:rPr>
      <w:sz w:val="24"/>
    </w:rPr>
  </w:style>
  <w:style w:type="paragraph" w:styleId="Heading4">
    <w:name w:val="heading 4"/>
    <w:basedOn w:val="Normal"/>
    <w:next w:val="Normal"/>
    <w:link w:val="Heading4Char"/>
    <w:uiPriority w:val="1"/>
    <w:qFormat/>
    <w:rsid w:val="00FA482C"/>
    <w:pPr>
      <w:spacing w:before="60" w:after="60"/>
      <w:outlineLvl w:val="3"/>
    </w:pPr>
    <w:rPr>
      <w:rFonts w:eastAsiaTheme="majorEastAsia"/>
      <w:b/>
      <w:iCs/>
    </w:rPr>
  </w:style>
  <w:style w:type="paragraph" w:styleId="Heading5">
    <w:name w:val="heading 5"/>
    <w:basedOn w:val="Normal"/>
    <w:next w:val="Normal"/>
    <w:link w:val="Heading5Char"/>
    <w:uiPriority w:val="1"/>
    <w:semiHidden/>
    <w:rsid w:val="278D62C0"/>
    <w:pPr>
      <w:spacing w:before="57" w:after="57"/>
      <w:outlineLvl w:val="4"/>
    </w:pPr>
    <w:rPr>
      <w:rFonts w:cs="Times New Roman"/>
      <w:b/>
      <w:bCs/>
    </w:rPr>
  </w:style>
  <w:style w:type="paragraph" w:styleId="Heading6">
    <w:name w:val="heading 6"/>
    <w:basedOn w:val="Heading7"/>
    <w:next w:val="Normal"/>
    <w:link w:val="Heading6Char"/>
    <w:semiHidden/>
    <w:qFormat/>
    <w:rsid w:val="00764877"/>
    <w:pPr>
      <w:outlineLvl w:val="5"/>
    </w:pPr>
  </w:style>
  <w:style w:type="paragraph" w:styleId="Heading7">
    <w:name w:val="heading 7"/>
    <w:basedOn w:val="Normal"/>
    <w:next w:val="Normal"/>
    <w:link w:val="Heading7Char"/>
    <w:uiPriority w:val="1"/>
    <w:semiHidden/>
    <w:qFormat/>
    <w:rsid w:val="278D62C0"/>
    <w:pPr>
      <w:spacing w:after="0"/>
      <w:outlineLvl w:val="6"/>
    </w:pPr>
    <w:rPr>
      <w:rFonts w:ascii="Arial" w:eastAsiaTheme="majorEastAsia" w:hAnsi="Arial"/>
      <w:sz w:val="16"/>
      <w:szCs w:val="16"/>
    </w:rPr>
  </w:style>
  <w:style w:type="paragraph" w:styleId="Heading8">
    <w:name w:val="heading 8"/>
    <w:basedOn w:val="Normal"/>
    <w:next w:val="Normal"/>
    <w:link w:val="Heading8Char"/>
    <w:uiPriority w:val="1"/>
    <w:semiHidden/>
    <w:qFormat/>
    <w:rsid w:val="278D62C0"/>
    <w:pPr>
      <w:spacing w:before="240" w:after="60"/>
      <w:outlineLvl w:val="7"/>
    </w:pPr>
    <w:rPr>
      <w:rFonts w:eastAsiaTheme="majorEastAsia"/>
      <w:i/>
      <w:iCs/>
      <w:sz w:val="16"/>
      <w:szCs w:val="16"/>
    </w:rPr>
  </w:style>
  <w:style w:type="paragraph" w:styleId="Heading9">
    <w:name w:val="heading 9"/>
    <w:basedOn w:val="Normal"/>
    <w:next w:val="Normal"/>
    <w:link w:val="Heading9Char"/>
    <w:uiPriority w:val="1"/>
    <w:semiHidden/>
    <w:qFormat/>
    <w:rsid w:val="278D62C0"/>
    <w:pPr>
      <w:spacing w:before="240" w:after="60"/>
      <w:outlineLvl w:val="8"/>
    </w:pPr>
    <w:rPr>
      <w:rFonts w:eastAsiaTheme="majorEastAsia"/>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semiHidden/>
    <w:rsid w:val="003C61FB"/>
    <w:rPr>
      <w:rFonts w:ascii="Tahoma" w:hAnsi="Tahoma"/>
      <w:color w:val="8D8F86"/>
      <w:sz w:val="16"/>
      <w:szCs w:val="16"/>
      <w:lang w:val="x-none" w:eastAsia="en-GB" w:bidi="ar-SA"/>
    </w:rPr>
  </w:style>
  <w:style w:type="paragraph" w:styleId="BalloonText">
    <w:name w:val="Balloon Text"/>
    <w:basedOn w:val="Normal"/>
    <w:link w:val="BalloonTextChar"/>
    <w:uiPriority w:val="1"/>
    <w:semiHidden/>
    <w:rsid w:val="278D62C0"/>
    <w:pPr>
      <w:spacing w:after="0"/>
    </w:pPr>
    <w:rPr>
      <w:rFonts w:ascii="Tahoma" w:hAnsi="Tahoma" w:cs="Times New Roman"/>
      <w:color w:val="8D8F86"/>
      <w:sz w:val="16"/>
      <w:szCs w:val="16"/>
      <w:lang w:eastAsia="en-GB"/>
    </w:rPr>
  </w:style>
  <w:style w:type="character" w:customStyle="1" w:styleId="HeaderChar">
    <w:name w:val="Header Char"/>
    <w:link w:val="Header"/>
    <w:uiPriority w:val="99"/>
    <w:rsid w:val="00BF336B"/>
    <w:rPr>
      <w:rFonts w:ascii="Arial" w:hAnsi="Arial"/>
      <w:sz w:val="18"/>
      <w:lang w:val="x-none" w:eastAsia="en-GB" w:bidi="ar-SA"/>
    </w:rPr>
  </w:style>
  <w:style w:type="paragraph" w:styleId="Header">
    <w:name w:val="header"/>
    <w:basedOn w:val="Normal"/>
    <w:link w:val="HeaderChar"/>
    <w:uiPriority w:val="99"/>
    <w:rsid w:val="278D62C0"/>
    <w:pPr>
      <w:tabs>
        <w:tab w:val="center" w:pos="4513"/>
        <w:tab w:val="right" w:pos="9026"/>
      </w:tabs>
      <w:spacing w:after="0"/>
    </w:pPr>
    <w:rPr>
      <w:rFonts w:cs="Times New Roman"/>
      <w:sz w:val="18"/>
      <w:szCs w:val="18"/>
      <w:lang w:eastAsia="en-GB"/>
    </w:rPr>
  </w:style>
  <w:style w:type="paragraph" w:styleId="BodyText">
    <w:name w:val="Body Text"/>
    <w:basedOn w:val="Normal"/>
    <w:uiPriority w:val="1"/>
    <w:semiHidden/>
    <w:rsid w:val="278D62C0"/>
  </w:style>
  <w:style w:type="paragraph" w:styleId="BodyText2">
    <w:name w:val="Body Text 2"/>
    <w:basedOn w:val="Normal"/>
    <w:uiPriority w:val="1"/>
    <w:semiHidden/>
    <w:rsid w:val="278D62C0"/>
  </w:style>
  <w:style w:type="character" w:customStyle="1" w:styleId="Heading7Char">
    <w:name w:val="Heading 7 Char"/>
    <w:link w:val="Heading7"/>
    <w:semiHidden/>
    <w:rsid w:val="00764877"/>
    <w:rPr>
      <w:rFonts w:ascii="Arial" w:eastAsiaTheme="majorEastAsia" w:hAnsi="Arial" w:cs="Arial"/>
      <w:sz w:val="16"/>
      <w:szCs w:val="16"/>
      <w:lang w:val="x-none" w:eastAsia="x-none"/>
    </w:rPr>
  </w:style>
  <w:style w:type="character" w:customStyle="1" w:styleId="Heading5Char">
    <w:name w:val="Heading 5 Char"/>
    <w:link w:val="Heading5"/>
    <w:semiHidden/>
    <w:rsid w:val="001E59B0"/>
    <w:rPr>
      <w:rFonts w:ascii="Arial" w:hAnsi="Arial"/>
      <w:b/>
      <w:bCs/>
      <w:sz w:val="22"/>
      <w:szCs w:val="22"/>
      <w:lang w:val="x-none" w:eastAsia="x-none"/>
    </w:rPr>
  </w:style>
  <w:style w:type="character" w:customStyle="1" w:styleId="Heading4Char">
    <w:name w:val="Heading 4 Char"/>
    <w:link w:val="Heading4"/>
    <w:uiPriority w:val="1"/>
    <w:rsid w:val="00FA482C"/>
    <w:rPr>
      <w:rFonts w:eastAsiaTheme="majorEastAsia" w:cs="Arial"/>
      <w:b/>
      <w:iCs/>
      <w:sz w:val="22"/>
      <w:szCs w:val="22"/>
    </w:rPr>
  </w:style>
  <w:style w:type="character" w:customStyle="1" w:styleId="Heading3Char">
    <w:name w:val="Heading 3 Char"/>
    <w:link w:val="Heading3"/>
    <w:rsid w:val="00FA482C"/>
    <w:rPr>
      <w:rFonts w:eastAsiaTheme="majorEastAsia" w:cs="Arial"/>
      <w:b/>
      <w:bCs/>
      <w:sz w:val="24"/>
      <w:szCs w:val="28"/>
    </w:rPr>
  </w:style>
  <w:style w:type="character" w:customStyle="1" w:styleId="Heading2Char">
    <w:name w:val="Heading 2 Char"/>
    <w:link w:val="Heading2"/>
    <w:rsid w:val="00E37AAD"/>
    <w:rPr>
      <w:rFonts w:eastAsiaTheme="majorEastAsia" w:cs="Arial"/>
      <w:b/>
      <w:bCs/>
      <w:iCs/>
      <w:sz w:val="28"/>
      <w:szCs w:val="28"/>
    </w:rPr>
  </w:style>
  <w:style w:type="character" w:customStyle="1" w:styleId="Heading1Char">
    <w:name w:val="Heading 1 Char"/>
    <w:link w:val="Heading1"/>
    <w:uiPriority w:val="9"/>
    <w:rsid w:val="00C75DCF"/>
    <w:rPr>
      <w:rFonts w:eastAsiaTheme="majorEastAsia" w:cs="Arial"/>
      <w:b/>
      <w:bCs/>
      <w:kern w:val="32"/>
      <w:sz w:val="40"/>
      <w:szCs w:val="32"/>
    </w:rPr>
  </w:style>
  <w:style w:type="numbering" w:styleId="111111">
    <w:name w:val="Outline List 2"/>
    <w:basedOn w:val="NoList"/>
    <w:semiHidden/>
    <w:rsid w:val="003C61FB"/>
    <w:pPr>
      <w:numPr>
        <w:numId w:val="4"/>
      </w:numPr>
    </w:pPr>
  </w:style>
  <w:style w:type="numbering" w:styleId="1ai">
    <w:name w:val="Outline List 1"/>
    <w:basedOn w:val="NoList"/>
    <w:semiHidden/>
    <w:rsid w:val="003C61FB"/>
    <w:pPr>
      <w:numPr>
        <w:numId w:val="5"/>
      </w:numPr>
    </w:pPr>
  </w:style>
  <w:style w:type="paragraph" w:styleId="BodyText3">
    <w:name w:val="Body Text 3"/>
    <w:basedOn w:val="Normal"/>
    <w:uiPriority w:val="1"/>
    <w:semiHidden/>
    <w:rsid w:val="278D62C0"/>
    <w:rPr>
      <w:sz w:val="16"/>
      <w:szCs w:val="16"/>
    </w:rPr>
  </w:style>
  <w:style w:type="numbering" w:styleId="ArticleSection">
    <w:name w:val="Outline List 3"/>
    <w:basedOn w:val="NoList"/>
    <w:semiHidden/>
    <w:rsid w:val="003C61FB"/>
    <w:pPr>
      <w:numPr>
        <w:numId w:val="6"/>
      </w:numPr>
    </w:pPr>
  </w:style>
  <w:style w:type="paragraph" w:styleId="BlockText">
    <w:name w:val="Block Text"/>
    <w:basedOn w:val="Normal"/>
    <w:uiPriority w:val="1"/>
    <w:semiHidden/>
    <w:rsid w:val="278D62C0"/>
    <w:pPr>
      <w:ind w:left="1440" w:right="1440"/>
    </w:pPr>
  </w:style>
  <w:style w:type="paragraph" w:styleId="BodyTextFirstIndent">
    <w:name w:val="Body Text First Indent"/>
    <w:basedOn w:val="BodyText"/>
    <w:semiHidden/>
    <w:rsid w:val="00F36732"/>
    <w:pPr>
      <w:ind w:firstLine="210"/>
    </w:pPr>
  </w:style>
  <w:style w:type="paragraph" w:styleId="BodyTextIndent">
    <w:name w:val="Body Text Indent"/>
    <w:basedOn w:val="Normal"/>
    <w:uiPriority w:val="1"/>
    <w:semiHidden/>
    <w:rsid w:val="278D62C0"/>
    <w:pPr>
      <w:ind w:left="283"/>
    </w:pPr>
  </w:style>
  <w:style w:type="paragraph" w:styleId="BodyTextFirstIndent2">
    <w:name w:val="Body Text First Indent 2"/>
    <w:basedOn w:val="BodyTextIndent"/>
    <w:semiHidden/>
    <w:rsid w:val="00F36732"/>
    <w:pPr>
      <w:ind w:firstLine="210"/>
    </w:pPr>
  </w:style>
  <w:style w:type="paragraph" w:customStyle="1" w:styleId="SubjectTitle">
    <w:name w:val="Subject Title"/>
    <w:basedOn w:val="Heading1"/>
    <w:semiHidden/>
    <w:rsid w:val="00D120C1"/>
    <w:pPr>
      <w:spacing w:before="480"/>
    </w:pPr>
    <w:rPr>
      <w:sz w:val="32"/>
    </w:rPr>
  </w:style>
  <w:style w:type="paragraph" w:styleId="BodyTextIndent2">
    <w:name w:val="Body Text Indent 2"/>
    <w:basedOn w:val="Normal"/>
    <w:uiPriority w:val="1"/>
    <w:semiHidden/>
    <w:rsid w:val="278D62C0"/>
    <w:pPr>
      <w:ind w:left="283"/>
    </w:pPr>
  </w:style>
  <w:style w:type="numbering" w:customStyle="1" w:styleId="RecList">
    <w:name w:val="Rec List"/>
    <w:basedOn w:val="NoList"/>
    <w:rsid w:val="00525C5E"/>
  </w:style>
  <w:style w:type="paragraph" w:styleId="BodyTextIndent3">
    <w:name w:val="Body Text Indent 3"/>
    <w:basedOn w:val="Normal"/>
    <w:uiPriority w:val="1"/>
    <w:semiHidden/>
    <w:rsid w:val="278D62C0"/>
    <w:pPr>
      <w:ind w:left="283"/>
    </w:pPr>
    <w:rPr>
      <w:sz w:val="16"/>
      <w:szCs w:val="16"/>
    </w:rPr>
  </w:style>
  <w:style w:type="paragraph" w:styleId="Closing">
    <w:name w:val="Closing"/>
    <w:basedOn w:val="Normal"/>
    <w:uiPriority w:val="1"/>
    <w:semiHidden/>
    <w:rsid w:val="278D62C0"/>
    <w:pPr>
      <w:ind w:left="4252"/>
    </w:pPr>
  </w:style>
  <w:style w:type="paragraph" w:styleId="E-mailSignature">
    <w:name w:val="E-mail Signature"/>
    <w:basedOn w:val="Normal"/>
    <w:uiPriority w:val="1"/>
    <w:semiHidden/>
    <w:rsid w:val="278D62C0"/>
  </w:style>
  <w:style w:type="paragraph" w:customStyle="1" w:styleId="Bullet1">
    <w:name w:val="Bullet1"/>
    <w:basedOn w:val="ListBullet"/>
    <w:uiPriority w:val="4"/>
    <w:rsid w:val="003654B2"/>
    <w:pPr>
      <w:numPr>
        <w:numId w:val="14"/>
      </w:numPr>
      <w:spacing w:after="60"/>
    </w:pPr>
    <w:rPr>
      <w:lang w:eastAsia="en-US"/>
    </w:rPr>
  </w:style>
  <w:style w:type="paragraph" w:styleId="Footer">
    <w:name w:val="footer"/>
    <w:basedOn w:val="Normal"/>
    <w:link w:val="FooterChar"/>
    <w:uiPriority w:val="1"/>
    <w:semiHidden/>
    <w:rsid w:val="278D62C0"/>
    <w:pPr>
      <w:tabs>
        <w:tab w:val="center" w:pos="4320"/>
        <w:tab w:val="right" w:pos="8640"/>
      </w:tabs>
    </w:pPr>
  </w:style>
  <w:style w:type="paragraph" w:customStyle="1" w:styleId="FooterText">
    <w:name w:val="Footer Text"/>
    <w:basedOn w:val="Normal"/>
    <w:uiPriority w:val="1"/>
    <w:semiHidden/>
    <w:qFormat/>
    <w:rsid w:val="278D62C0"/>
    <w:pPr>
      <w:tabs>
        <w:tab w:val="center" w:pos="4513"/>
        <w:tab w:val="right" w:pos="9026"/>
      </w:tabs>
      <w:spacing w:after="0"/>
    </w:pPr>
    <w:rPr>
      <w:sz w:val="16"/>
      <w:szCs w:val="16"/>
    </w:rPr>
  </w:style>
  <w:style w:type="paragraph" w:customStyle="1" w:styleId="footnote">
    <w:name w:val="footnote"/>
    <w:basedOn w:val="Normal"/>
    <w:uiPriority w:val="1"/>
    <w:rsid w:val="278D62C0"/>
    <w:pPr>
      <w:tabs>
        <w:tab w:val="left" w:pos="227"/>
      </w:tabs>
      <w:spacing w:after="60"/>
      <w:ind w:left="227" w:hanging="227"/>
    </w:pPr>
    <w:rPr>
      <w:rFonts w:cs="Arial (TT)"/>
      <w:sz w:val="18"/>
      <w:szCs w:val="18"/>
    </w:rPr>
  </w:style>
  <w:style w:type="character" w:styleId="FootnoteReference">
    <w:name w:val="footnote reference"/>
    <w:basedOn w:val="DefaultParagraphFont"/>
    <w:rsid w:val="003654B2"/>
    <w:rPr>
      <w:rFonts w:ascii="Verdana" w:hAnsi="Verdana"/>
      <w:sz w:val="18"/>
      <w:szCs w:val="16"/>
      <w:vertAlign w:val="superscript"/>
      <w:lang w:val="en-US" w:eastAsia="x-none" w:bidi="ar-SA"/>
    </w:rPr>
  </w:style>
  <w:style w:type="paragraph" w:customStyle="1" w:styleId="WorkshopName">
    <w:name w:val="Workshop Name"/>
    <w:basedOn w:val="Normal"/>
    <w:uiPriority w:val="1"/>
    <w:semiHidden/>
    <w:qFormat/>
    <w:rsid w:val="278D62C0"/>
    <w:pPr>
      <w:spacing w:before="720" w:line="120" w:lineRule="atLeast"/>
      <w:ind w:left="397"/>
    </w:pPr>
    <w:rPr>
      <w:b/>
      <w:bCs/>
      <w:noProof/>
      <w:color w:val="007B85"/>
      <w:sz w:val="80"/>
      <w:szCs w:val="80"/>
    </w:rPr>
  </w:style>
  <w:style w:type="paragraph" w:customStyle="1" w:styleId="Bullet2">
    <w:name w:val="Bullet2"/>
    <w:uiPriority w:val="4"/>
    <w:rsid w:val="003654B2"/>
    <w:pPr>
      <w:numPr>
        <w:numId w:val="15"/>
      </w:numPr>
      <w:spacing w:before="120" w:after="60" w:line="288" w:lineRule="auto"/>
    </w:pPr>
    <w:rPr>
      <w:sz w:val="22"/>
      <w:lang w:eastAsia="en-US"/>
    </w:rPr>
  </w:style>
  <w:style w:type="paragraph" w:customStyle="1" w:styleId="LogoStyle">
    <w:name w:val="Logo Style"/>
    <w:basedOn w:val="Normal"/>
    <w:uiPriority w:val="1"/>
    <w:semiHidden/>
    <w:rsid w:val="278D62C0"/>
    <w:pPr>
      <w:jc w:val="right"/>
    </w:pPr>
    <w:rPr>
      <w:rFonts w:cs="Times New Roman"/>
    </w:rPr>
  </w:style>
  <w:style w:type="paragraph" w:customStyle="1" w:styleId="RecLevel1">
    <w:name w:val="Rec Level1"/>
    <w:basedOn w:val="Normal"/>
    <w:link w:val="RecLevel1Char"/>
    <w:uiPriority w:val="1"/>
    <w:qFormat/>
    <w:rsid w:val="278D62C0"/>
    <w:pPr>
      <w:numPr>
        <w:numId w:val="16"/>
      </w:numPr>
      <w:ind w:left="567" w:hanging="567"/>
    </w:pPr>
    <w:rPr>
      <w:color w:val="000000" w:themeColor="text1"/>
    </w:rPr>
  </w:style>
  <w:style w:type="paragraph" w:styleId="ListBullet">
    <w:name w:val="List Bullet"/>
    <w:basedOn w:val="Normal"/>
    <w:uiPriority w:val="1"/>
    <w:semiHidden/>
    <w:rsid w:val="278D62C0"/>
    <w:pPr>
      <w:numPr>
        <w:numId w:val="7"/>
      </w:numPr>
    </w:pPr>
  </w:style>
  <w:style w:type="character" w:styleId="HTMLAcronym">
    <w:name w:val="HTML Acronym"/>
    <w:basedOn w:val="DefaultParagraphFont"/>
    <w:semiHidden/>
    <w:rsid w:val="003C61FB"/>
  </w:style>
  <w:style w:type="paragraph" w:styleId="HTMLAddress">
    <w:name w:val="HTML Address"/>
    <w:basedOn w:val="Normal"/>
    <w:uiPriority w:val="1"/>
    <w:semiHidden/>
    <w:rsid w:val="278D62C0"/>
    <w:rPr>
      <w:i/>
      <w:iCs/>
    </w:rPr>
  </w:style>
  <w:style w:type="character" w:styleId="HTMLCite">
    <w:name w:val="HTML Cite"/>
    <w:semiHidden/>
    <w:rsid w:val="003C61FB"/>
    <w:rPr>
      <w:i/>
      <w:iCs/>
    </w:rPr>
  </w:style>
  <w:style w:type="character" w:styleId="HTMLCode">
    <w:name w:val="HTML Code"/>
    <w:semiHidden/>
    <w:rsid w:val="003C61FB"/>
    <w:rPr>
      <w:rFonts w:ascii="Courier New" w:hAnsi="Courier New" w:cs="Courier New"/>
      <w:sz w:val="20"/>
      <w:szCs w:val="20"/>
    </w:rPr>
  </w:style>
  <w:style w:type="character" w:styleId="HTMLDefinition">
    <w:name w:val="HTML Definition"/>
    <w:semiHidden/>
    <w:rsid w:val="003C61FB"/>
    <w:rPr>
      <w:i/>
      <w:iCs/>
    </w:rPr>
  </w:style>
  <w:style w:type="character" w:styleId="HTMLKeyboard">
    <w:name w:val="HTML Keyboard"/>
    <w:semiHidden/>
    <w:rsid w:val="003C61FB"/>
    <w:rPr>
      <w:rFonts w:ascii="Courier New" w:hAnsi="Courier New" w:cs="Courier New"/>
      <w:sz w:val="20"/>
      <w:szCs w:val="20"/>
    </w:rPr>
  </w:style>
  <w:style w:type="paragraph" w:styleId="HTMLPreformatted">
    <w:name w:val="HTML Preformatted"/>
    <w:basedOn w:val="Normal"/>
    <w:uiPriority w:val="1"/>
    <w:semiHidden/>
    <w:rsid w:val="278D62C0"/>
    <w:rPr>
      <w:rFonts w:ascii="Courier New" w:hAnsi="Courier New" w:cs="Courier New"/>
    </w:rPr>
  </w:style>
  <w:style w:type="character" w:styleId="HTMLSample">
    <w:name w:val="HTML Sample"/>
    <w:semiHidden/>
    <w:rsid w:val="003C61FB"/>
    <w:rPr>
      <w:rFonts w:ascii="Courier New" w:hAnsi="Courier New" w:cs="Courier New"/>
    </w:rPr>
  </w:style>
  <w:style w:type="character" w:styleId="HTMLTypewriter">
    <w:name w:val="HTML Typewriter"/>
    <w:semiHidden/>
    <w:rsid w:val="003C61FB"/>
    <w:rPr>
      <w:rFonts w:ascii="Courier New" w:hAnsi="Courier New" w:cs="Courier New"/>
      <w:sz w:val="20"/>
      <w:szCs w:val="20"/>
    </w:rPr>
  </w:style>
  <w:style w:type="character" w:styleId="HTMLVariable">
    <w:name w:val="HTML Variable"/>
    <w:semiHidden/>
    <w:rsid w:val="003C61FB"/>
    <w:rPr>
      <w:i/>
      <w:iCs/>
    </w:rPr>
  </w:style>
  <w:style w:type="character" w:styleId="Hyperlink">
    <w:name w:val="Hyperlink"/>
    <w:semiHidden/>
    <w:rsid w:val="003C61FB"/>
    <w:rPr>
      <w:color w:val="0000FF"/>
      <w:u w:val="single"/>
    </w:rPr>
  </w:style>
  <w:style w:type="paragraph" w:customStyle="1" w:styleId="Introduction">
    <w:name w:val="Introduction"/>
    <w:basedOn w:val="Normal"/>
    <w:uiPriority w:val="1"/>
    <w:semiHidden/>
    <w:qFormat/>
    <w:rsid w:val="278D62C0"/>
    <w:pPr>
      <w:tabs>
        <w:tab w:val="right" w:leader="dot" w:pos="9524"/>
      </w:tabs>
      <w:spacing w:before="440" w:after="200" w:line="320" w:lineRule="atLeast"/>
      <w:ind w:left="380" w:right="380"/>
    </w:pPr>
    <w:rPr>
      <w:color w:val="FFFFFF" w:themeColor="background1"/>
      <w:sz w:val="26"/>
      <w:szCs w:val="26"/>
    </w:rPr>
  </w:style>
  <w:style w:type="character" w:styleId="LineNumber">
    <w:name w:val="line number"/>
    <w:basedOn w:val="DefaultParagraphFont"/>
    <w:semiHidden/>
    <w:rsid w:val="003C61FB"/>
  </w:style>
  <w:style w:type="paragraph" w:styleId="List">
    <w:name w:val="List"/>
    <w:basedOn w:val="Normal"/>
    <w:uiPriority w:val="1"/>
    <w:semiHidden/>
    <w:rsid w:val="278D62C0"/>
    <w:pPr>
      <w:ind w:left="283" w:hanging="283"/>
    </w:pPr>
  </w:style>
  <w:style w:type="paragraph" w:styleId="List2">
    <w:name w:val="List 2"/>
    <w:basedOn w:val="Normal"/>
    <w:uiPriority w:val="1"/>
    <w:semiHidden/>
    <w:rsid w:val="278D62C0"/>
    <w:pPr>
      <w:ind w:left="566" w:hanging="283"/>
    </w:pPr>
  </w:style>
  <w:style w:type="paragraph" w:styleId="List3">
    <w:name w:val="List 3"/>
    <w:basedOn w:val="Normal"/>
    <w:uiPriority w:val="1"/>
    <w:semiHidden/>
    <w:rsid w:val="278D62C0"/>
    <w:pPr>
      <w:ind w:left="849" w:hanging="283"/>
    </w:pPr>
  </w:style>
  <w:style w:type="paragraph" w:styleId="List4">
    <w:name w:val="List 4"/>
    <w:basedOn w:val="Normal"/>
    <w:uiPriority w:val="1"/>
    <w:semiHidden/>
    <w:rsid w:val="278D62C0"/>
    <w:pPr>
      <w:ind w:left="1132" w:hanging="283"/>
    </w:pPr>
  </w:style>
  <w:style w:type="paragraph" w:styleId="List5">
    <w:name w:val="List 5"/>
    <w:basedOn w:val="Normal"/>
    <w:uiPriority w:val="1"/>
    <w:semiHidden/>
    <w:rsid w:val="278D62C0"/>
    <w:pPr>
      <w:ind w:left="1415" w:hanging="283"/>
    </w:pPr>
  </w:style>
  <w:style w:type="paragraph" w:styleId="ListBullet2">
    <w:name w:val="List Bullet 2"/>
    <w:basedOn w:val="Normal"/>
    <w:uiPriority w:val="1"/>
    <w:semiHidden/>
    <w:rsid w:val="278D62C0"/>
  </w:style>
  <w:style w:type="paragraph" w:customStyle="1" w:styleId="fileref">
    <w:name w:val="file ref"/>
    <w:basedOn w:val="RecLevel1"/>
    <w:semiHidden/>
    <w:rsid w:val="00517967"/>
    <w:pPr>
      <w:numPr>
        <w:numId w:val="0"/>
      </w:numPr>
    </w:pPr>
  </w:style>
  <w:style w:type="paragraph" w:customStyle="1" w:styleId="AgreeDisagree">
    <w:name w:val="Agree/Disagree"/>
    <w:basedOn w:val="Normal"/>
    <w:next w:val="RecNumber"/>
    <w:uiPriority w:val="1"/>
    <w:rsid w:val="278D62C0"/>
    <w:pPr>
      <w:jc w:val="right"/>
    </w:pPr>
    <w:rPr>
      <w:rFonts w:ascii="Verdana Pro Semibold" w:hAnsi="Verdana Pro Semibold"/>
      <w:b/>
      <w:bCs/>
    </w:rPr>
  </w:style>
  <w:style w:type="paragraph" w:styleId="ListBullet4">
    <w:name w:val="List Bullet 4"/>
    <w:basedOn w:val="Normal"/>
    <w:uiPriority w:val="1"/>
    <w:semiHidden/>
    <w:rsid w:val="278D62C0"/>
    <w:pPr>
      <w:numPr>
        <w:numId w:val="9"/>
      </w:numPr>
    </w:pPr>
  </w:style>
  <w:style w:type="paragraph" w:styleId="ListBullet5">
    <w:name w:val="List Bullet 5"/>
    <w:basedOn w:val="Normal"/>
    <w:uiPriority w:val="1"/>
    <w:semiHidden/>
    <w:rsid w:val="278D62C0"/>
    <w:pPr>
      <w:numPr>
        <w:numId w:val="10"/>
      </w:numPr>
    </w:pPr>
  </w:style>
  <w:style w:type="paragraph" w:styleId="ListContinue">
    <w:name w:val="List Continue"/>
    <w:basedOn w:val="Normal"/>
    <w:uiPriority w:val="1"/>
    <w:semiHidden/>
    <w:rsid w:val="278D62C0"/>
    <w:pPr>
      <w:ind w:left="283"/>
    </w:pPr>
  </w:style>
  <w:style w:type="paragraph" w:styleId="ListContinue2">
    <w:name w:val="List Continue 2"/>
    <w:basedOn w:val="Normal"/>
    <w:uiPriority w:val="1"/>
    <w:semiHidden/>
    <w:rsid w:val="278D62C0"/>
    <w:pPr>
      <w:ind w:left="566"/>
    </w:pPr>
  </w:style>
  <w:style w:type="paragraph" w:styleId="ListContinue3">
    <w:name w:val="List Continue 3"/>
    <w:basedOn w:val="Normal"/>
    <w:uiPriority w:val="1"/>
    <w:semiHidden/>
    <w:rsid w:val="278D62C0"/>
    <w:pPr>
      <w:ind w:left="849"/>
    </w:pPr>
  </w:style>
  <w:style w:type="paragraph" w:styleId="ListContinue4">
    <w:name w:val="List Continue 4"/>
    <w:basedOn w:val="Normal"/>
    <w:uiPriority w:val="1"/>
    <w:semiHidden/>
    <w:rsid w:val="278D62C0"/>
    <w:pPr>
      <w:ind w:left="1132"/>
    </w:pPr>
  </w:style>
  <w:style w:type="paragraph" w:styleId="ListContinue5">
    <w:name w:val="List Continue 5"/>
    <w:basedOn w:val="Normal"/>
    <w:uiPriority w:val="1"/>
    <w:semiHidden/>
    <w:rsid w:val="278D62C0"/>
    <w:pPr>
      <w:ind w:left="1415"/>
    </w:pPr>
  </w:style>
  <w:style w:type="paragraph" w:styleId="ListNumber">
    <w:name w:val="List Number"/>
    <w:basedOn w:val="Normal"/>
    <w:uiPriority w:val="1"/>
    <w:semiHidden/>
    <w:rsid w:val="278D62C0"/>
  </w:style>
  <w:style w:type="paragraph" w:styleId="ListNumber2">
    <w:name w:val="List Number 2"/>
    <w:basedOn w:val="Normal"/>
    <w:uiPriority w:val="1"/>
    <w:semiHidden/>
    <w:rsid w:val="278D62C0"/>
  </w:style>
  <w:style w:type="paragraph" w:styleId="ListNumber3">
    <w:name w:val="List Number 3"/>
    <w:basedOn w:val="Normal"/>
    <w:uiPriority w:val="1"/>
    <w:semiHidden/>
    <w:rsid w:val="278D62C0"/>
    <w:pPr>
      <w:numPr>
        <w:numId w:val="11"/>
      </w:numPr>
    </w:pPr>
  </w:style>
  <w:style w:type="paragraph" w:styleId="ListNumber4">
    <w:name w:val="List Number 4"/>
    <w:basedOn w:val="Normal"/>
    <w:uiPriority w:val="1"/>
    <w:semiHidden/>
    <w:rsid w:val="278D62C0"/>
    <w:pPr>
      <w:numPr>
        <w:numId w:val="12"/>
      </w:numPr>
    </w:pPr>
  </w:style>
  <w:style w:type="paragraph" w:styleId="ListNumber5">
    <w:name w:val="List Number 5"/>
    <w:basedOn w:val="Normal"/>
    <w:uiPriority w:val="1"/>
    <w:semiHidden/>
    <w:rsid w:val="278D62C0"/>
    <w:pPr>
      <w:numPr>
        <w:numId w:val="13"/>
      </w:numPr>
    </w:pPr>
  </w:style>
  <w:style w:type="paragraph" w:styleId="MessageHeader">
    <w:name w:val="Message Header"/>
    <w:basedOn w:val="Normal"/>
    <w:uiPriority w:val="1"/>
    <w:semiHidden/>
    <w:rsid w:val="278D62C0"/>
    <w:pPr>
      <w:pBdr>
        <w:top w:val="single" w:sz="6" w:space="1" w:color="auto"/>
        <w:left w:val="single" w:sz="6" w:space="1" w:color="auto"/>
        <w:bottom w:val="single" w:sz="6" w:space="1" w:color="auto"/>
        <w:right w:val="single" w:sz="6" w:space="1" w:color="auto"/>
      </w:pBdr>
      <w:ind w:left="1134" w:hanging="1134"/>
    </w:pPr>
  </w:style>
  <w:style w:type="paragraph" w:customStyle="1" w:styleId="moreinfo">
    <w:name w:val="more info"/>
    <w:basedOn w:val="Normal"/>
    <w:uiPriority w:val="1"/>
    <w:semiHidden/>
    <w:rsid w:val="278D62C0"/>
    <w:pPr>
      <w:spacing w:after="0"/>
    </w:pPr>
    <w:rPr>
      <w:rFonts w:ascii="Arial (TT) Regular" w:hAnsi="Arial (TT) Regular" w:cs="Times New Roman"/>
    </w:rPr>
  </w:style>
  <w:style w:type="paragraph" w:styleId="NormalWeb">
    <w:name w:val="Normal (Web)"/>
    <w:basedOn w:val="Normal"/>
    <w:uiPriority w:val="99"/>
    <w:semiHidden/>
    <w:rsid w:val="278D62C0"/>
    <w:rPr>
      <w:rFonts w:ascii="Times New Roman" w:hAnsi="Times New Roman" w:cs="Times New Roman"/>
    </w:rPr>
  </w:style>
  <w:style w:type="paragraph" w:customStyle="1" w:styleId="Normalbeforetable">
    <w:name w:val="Normal before table"/>
    <w:basedOn w:val="Normal"/>
    <w:uiPriority w:val="1"/>
    <w:semiHidden/>
    <w:qFormat/>
    <w:rsid w:val="278D62C0"/>
    <w:pPr>
      <w:spacing w:after="360"/>
    </w:pPr>
  </w:style>
  <w:style w:type="paragraph" w:styleId="NormalIndent">
    <w:name w:val="Normal Indent"/>
    <w:basedOn w:val="Normal"/>
    <w:uiPriority w:val="1"/>
    <w:semiHidden/>
    <w:rsid w:val="278D62C0"/>
    <w:pPr>
      <w:ind w:left="720"/>
    </w:pPr>
  </w:style>
  <w:style w:type="paragraph" w:styleId="NoteHeading">
    <w:name w:val="Note Heading"/>
    <w:basedOn w:val="Normal"/>
    <w:next w:val="Normal"/>
    <w:uiPriority w:val="1"/>
    <w:semiHidden/>
    <w:rsid w:val="278D62C0"/>
  </w:style>
  <w:style w:type="paragraph" w:customStyle="1" w:styleId="PageNumber1">
    <w:name w:val="Page Number1"/>
    <w:basedOn w:val="Normal"/>
    <w:uiPriority w:val="1"/>
    <w:semiHidden/>
    <w:qFormat/>
    <w:rsid w:val="278D62C0"/>
    <w:pPr>
      <w:spacing w:after="0" w:line="200" w:lineRule="atLeast"/>
      <w:jc w:val="center"/>
    </w:pPr>
    <w:rPr>
      <w:color w:val="005C5E"/>
      <w:sz w:val="16"/>
      <w:szCs w:val="16"/>
    </w:rPr>
  </w:style>
  <w:style w:type="character" w:styleId="PageNumber">
    <w:name w:val="page number"/>
    <w:basedOn w:val="DefaultParagraphFont"/>
    <w:semiHidden/>
    <w:rsid w:val="003C61FB"/>
  </w:style>
  <w:style w:type="paragraph" w:customStyle="1" w:styleId="PaperTitle">
    <w:name w:val="Paper Title"/>
    <w:basedOn w:val="Normal"/>
    <w:uiPriority w:val="1"/>
    <w:semiHidden/>
    <w:qFormat/>
    <w:rsid w:val="278D62C0"/>
    <w:pPr>
      <w:spacing w:after="0"/>
      <w:jc w:val="center"/>
    </w:pPr>
  </w:style>
  <w:style w:type="paragraph" w:styleId="PlainText">
    <w:name w:val="Plain Text"/>
    <w:basedOn w:val="Normal"/>
    <w:uiPriority w:val="1"/>
    <w:semiHidden/>
    <w:rsid w:val="278D62C0"/>
    <w:rPr>
      <w:rFonts w:ascii="Courier New" w:hAnsi="Courier New" w:cs="Courier New"/>
    </w:rPr>
  </w:style>
  <w:style w:type="paragraph" w:customStyle="1" w:styleId="Prepared">
    <w:name w:val="Prepared"/>
    <w:basedOn w:val="Normal"/>
    <w:uiPriority w:val="1"/>
    <w:semiHidden/>
    <w:qFormat/>
    <w:rsid w:val="278D62C0"/>
    <w:pPr>
      <w:spacing w:after="80"/>
      <w:ind w:left="438"/>
    </w:pPr>
    <w:rPr>
      <w:b/>
      <w:bCs/>
      <w:color w:val="007073"/>
      <w:sz w:val="16"/>
      <w:szCs w:val="16"/>
    </w:rPr>
  </w:style>
  <w:style w:type="paragraph" w:customStyle="1" w:styleId="ReportDate">
    <w:name w:val="Report Date"/>
    <w:basedOn w:val="Heading2"/>
    <w:semiHidden/>
    <w:qFormat/>
    <w:locked/>
    <w:rsid w:val="00764877"/>
    <w:pPr>
      <w:spacing w:line="240" w:lineRule="auto"/>
      <w:ind w:left="420"/>
    </w:pPr>
    <w:rPr>
      <w:caps/>
    </w:rPr>
  </w:style>
  <w:style w:type="paragraph" w:customStyle="1" w:styleId="ReportFooter">
    <w:name w:val="Report Footer"/>
    <w:basedOn w:val="Normal"/>
    <w:uiPriority w:val="1"/>
    <w:semiHidden/>
    <w:qFormat/>
    <w:rsid w:val="278D62C0"/>
    <w:pPr>
      <w:spacing w:after="0" w:line="200" w:lineRule="atLeast"/>
      <w:ind w:left="352"/>
    </w:pPr>
    <w:rPr>
      <w:color w:val="005C5E"/>
      <w:sz w:val="16"/>
      <w:szCs w:val="16"/>
    </w:rPr>
  </w:style>
  <w:style w:type="paragraph" w:styleId="Salutation">
    <w:name w:val="Salutation"/>
    <w:basedOn w:val="Normal"/>
    <w:next w:val="Normal"/>
    <w:uiPriority w:val="1"/>
    <w:semiHidden/>
    <w:rsid w:val="278D62C0"/>
  </w:style>
  <w:style w:type="paragraph" w:customStyle="1" w:styleId="Subheading">
    <w:name w:val="Subheading"/>
    <w:basedOn w:val="Normal"/>
    <w:uiPriority w:val="1"/>
    <w:semiHidden/>
    <w:qFormat/>
    <w:rsid w:val="278D62C0"/>
    <w:pPr>
      <w:tabs>
        <w:tab w:val="left" w:pos="3969"/>
      </w:tabs>
    </w:pPr>
    <w:rPr>
      <w:rFonts w:eastAsiaTheme="majorEastAsia"/>
      <w:b/>
      <w:bCs/>
      <w:color w:val="006365"/>
      <w:sz w:val="28"/>
      <w:szCs w:val="28"/>
      <w:lang w:eastAsia="en-GB"/>
    </w:rPr>
  </w:style>
  <w:style w:type="table" w:styleId="Table3Deffects1">
    <w:name w:val="Table 3D effects 1"/>
    <w:basedOn w:val="TableNormal"/>
    <w:semiHidden/>
    <w:rsid w:val="003C61FB"/>
    <w:pPr>
      <w:suppressAutoHyphens/>
      <w:autoSpaceDE w:val="0"/>
      <w:autoSpaceDN w:val="0"/>
      <w:adjustRightInd w:val="0"/>
      <w:spacing w:after="170" w:line="280" w:lineRule="atLeast"/>
      <w:textAlignment w:val="center"/>
    </w:pPr>
    <w:rPr>
      <w:rFonts w:ascii="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C61FB"/>
    <w:pPr>
      <w:suppressAutoHyphens/>
      <w:autoSpaceDE w:val="0"/>
      <w:autoSpaceDN w:val="0"/>
      <w:adjustRightInd w:val="0"/>
      <w:spacing w:after="170" w:line="280" w:lineRule="atLeast"/>
      <w:textAlignment w:val="center"/>
    </w:pPr>
    <w:rPr>
      <w:rFonts w:ascii="Calibri" w:hAnsi="Calibr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C61FB"/>
    <w:pPr>
      <w:suppressAutoHyphens/>
      <w:autoSpaceDE w:val="0"/>
      <w:autoSpaceDN w:val="0"/>
      <w:adjustRightInd w:val="0"/>
      <w:spacing w:after="170" w:line="280" w:lineRule="atLeast"/>
      <w:textAlignment w:val="center"/>
    </w:pPr>
    <w:rPr>
      <w:rFonts w:ascii="Calibri" w:hAnsi="Calibr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946F7C"/>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1">
    <w:name w:val="Table Grid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C61FB"/>
    <w:pPr>
      <w:suppressAutoHyphens/>
      <w:autoSpaceDE w:val="0"/>
      <w:autoSpaceDN w:val="0"/>
      <w:adjustRightInd w:val="0"/>
      <w:spacing w:after="170" w:line="280" w:lineRule="atLeast"/>
      <w:textAlignment w:val="center"/>
    </w:pPr>
    <w:rPr>
      <w:rFonts w:ascii="Calibri" w:hAnsi="Calibr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Headings">
    <w:name w:val="Table Headings"/>
    <w:basedOn w:val="Normal"/>
    <w:uiPriority w:val="1"/>
    <w:semiHidden/>
    <w:qFormat/>
    <w:rsid w:val="278D62C0"/>
    <w:rPr>
      <w:b/>
      <w:bCs/>
      <w:color w:val="007073"/>
      <w:lang w:eastAsia="en-GB"/>
    </w:rPr>
  </w:style>
  <w:style w:type="table" w:styleId="TableList1">
    <w:name w:val="Table List 1"/>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C61FB"/>
    <w:pPr>
      <w:suppressAutoHyphens/>
      <w:autoSpaceDE w:val="0"/>
      <w:autoSpaceDN w:val="0"/>
      <w:adjustRightInd w:val="0"/>
      <w:spacing w:after="170" w:line="280" w:lineRule="atLeast"/>
      <w:textAlignment w:val="center"/>
    </w:pPr>
    <w:rPr>
      <w:rFonts w:ascii="Calibri" w:hAnsi="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C61FB"/>
    <w:pPr>
      <w:suppressAutoHyphens/>
      <w:autoSpaceDE w:val="0"/>
      <w:autoSpaceDN w:val="0"/>
      <w:adjustRightInd w:val="0"/>
      <w:spacing w:after="170" w:line="280" w:lineRule="atLeast"/>
      <w:textAlignment w:val="center"/>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C61FB"/>
    <w:pPr>
      <w:suppressAutoHyphens/>
      <w:autoSpaceDE w:val="0"/>
      <w:autoSpaceDN w:val="0"/>
      <w:adjustRightInd w:val="0"/>
      <w:spacing w:after="170" w:line="280" w:lineRule="atLeast"/>
      <w:textAlignment w:val="center"/>
    </w:pPr>
    <w:rPr>
      <w:rFonts w:ascii="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uiPriority w:val="1"/>
    <w:semiHidden/>
    <w:rsid w:val="278D62C0"/>
    <w:pPr>
      <w:tabs>
        <w:tab w:val="right" w:leader="dot" w:pos="9072"/>
      </w:tabs>
      <w:spacing w:after="40" w:line="320" w:lineRule="atLeast"/>
    </w:pPr>
    <w:rPr>
      <w:noProof/>
      <w:color w:val="007073"/>
    </w:rPr>
  </w:style>
  <w:style w:type="paragraph" w:styleId="TOC2">
    <w:name w:val="toc 2"/>
    <w:basedOn w:val="Normal"/>
    <w:next w:val="Normal"/>
    <w:uiPriority w:val="1"/>
    <w:semiHidden/>
    <w:rsid w:val="278D62C0"/>
    <w:pPr>
      <w:tabs>
        <w:tab w:val="right" w:leader="dot" w:pos="9072"/>
      </w:tabs>
      <w:spacing w:after="40" w:line="320" w:lineRule="atLeast"/>
    </w:pPr>
    <w:rPr>
      <w:noProof/>
    </w:rPr>
  </w:style>
  <w:style w:type="paragraph" w:styleId="TOC3">
    <w:name w:val="toc 3"/>
    <w:basedOn w:val="Normal"/>
    <w:next w:val="Normal"/>
    <w:uiPriority w:val="1"/>
    <w:semiHidden/>
    <w:rsid w:val="278D62C0"/>
    <w:pPr>
      <w:ind w:left="440"/>
    </w:pPr>
  </w:style>
  <w:style w:type="paragraph" w:customStyle="1" w:styleId="Welcome">
    <w:name w:val="Welcome"/>
    <w:basedOn w:val="Normal"/>
    <w:uiPriority w:val="1"/>
    <w:semiHidden/>
    <w:qFormat/>
    <w:rsid w:val="278D62C0"/>
    <w:pPr>
      <w:pageBreakBefore/>
      <w:spacing w:before="1080" w:after="700"/>
      <w:outlineLvl w:val="0"/>
    </w:pPr>
    <w:rPr>
      <w:rFonts w:eastAsiaTheme="majorEastAsia"/>
      <w:b/>
      <w:bCs/>
      <w:color w:val="007B85"/>
      <w:sz w:val="28"/>
      <w:szCs w:val="28"/>
      <w:lang w:eastAsia="en-GB"/>
    </w:rPr>
  </w:style>
  <w:style w:type="character" w:styleId="FollowedHyperlink">
    <w:name w:val="FollowedHyperlink"/>
    <w:basedOn w:val="DefaultParagraphFont"/>
    <w:semiHidden/>
    <w:rsid w:val="0044786F"/>
    <w:rPr>
      <w:color w:val="800080"/>
      <w:u w:val="single"/>
    </w:rPr>
  </w:style>
  <w:style w:type="character" w:styleId="CommentReference">
    <w:name w:val="annotation reference"/>
    <w:basedOn w:val="DefaultParagraphFont"/>
    <w:semiHidden/>
    <w:rsid w:val="00A6061E"/>
    <w:rPr>
      <w:sz w:val="16"/>
      <w:szCs w:val="16"/>
    </w:rPr>
  </w:style>
  <w:style w:type="paragraph" w:styleId="CommentText">
    <w:name w:val="annotation text"/>
    <w:basedOn w:val="Normal"/>
    <w:link w:val="CommentTextChar"/>
    <w:uiPriority w:val="1"/>
    <w:semiHidden/>
    <w:rsid w:val="278D62C0"/>
  </w:style>
  <w:style w:type="character" w:customStyle="1" w:styleId="CommentTextChar">
    <w:name w:val="Comment Text Char"/>
    <w:basedOn w:val="DefaultParagraphFont"/>
    <w:link w:val="CommentText"/>
    <w:semiHidden/>
    <w:rsid w:val="001E59B0"/>
    <w:rPr>
      <w:rFonts w:ascii="Arial" w:hAnsi="Arial" w:cs="Arial"/>
      <w:lang w:val="en-US"/>
    </w:rPr>
  </w:style>
  <w:style w:type="paragraph" w:customStyle="1" w:styleId="TemplateSubtitle">
    <w:name w:val="_Template Subtitle"/>
    <w:basedOn w:val="Normal"/>
    <w:uiPriority w:val="1"/>
    <w:semiHidden/>
    <w:rsid w:val="278D62C0"/>
    <w:pPr>
      <w:tabs>
        <w:tab w:val="left" w:pos="1620"/>
        <w:tab w:val="left" w:pos="5220"/>
        <w:tab w:val="left" w:pos="6840"/>
      </w:tabs>
    </w:pPr>
    <w:rPr>
      <w:rFonts w:ascii="Calibri" w:hAnsi="Calibri" w:cs="Calibri"/>
      <w:b/>
      <w:bCs/>
      <w:color w:val="000000" w:themeColor="text1"/>
    </w:rPr>
  </w:style>
  <w:style w:type="paragraph" w:customStyle="1" w:styleId="TemplateTitle">
    <w:name w:val="_Template Title"/>
    <w:basedOn w:val="Normal"/>
    <w:next w:val="Normal"/>
    <w:uiPriority w:val="1"/>
    <w:semiHidden/>
    <w:qFormat/>
    <w:rsid w:val="278D62C0"/>
    <w:pPr>
      <w:tabs>
        <w:tab w:val="left" w:pos="1620"/>
        <w:tab w:val="left" w:pos="5940"/>
      </w:tabs>
      <w:spacing w:after="0"/>
    </w:pPr>
    <w:rPr>
      <w:rFonts w:ascii="Georgia" w:hAnsi="Georgia" w:cs="Calibri"/>
      <w:b/>
      <w:bCs/>
      <w:color w:val="999999"/>
      <w:sz w:val="52"/>
      <w:szCs w:val="52"/>
    </w:rPr>
  </w:style>
  <w:style w:type="paragraph" w:customStyle="1" w:styleId="StyleBodyTextArial14ptBoldAuto">
    <w:name w:val="Style Body Text + Arial 14 pt Bold Auto"/>
    <w:basedOn w:val="Normal"/>
    <w:uiPriority w:val="1"/>
    <w:semiHidden/>
    <w:rsid w:val="278D62C0"/>
    <w:rPr>
      <w:rFonts w:cs="Times New Roman"/>
      <w:b/>
      <w:bCs/>
      <w:sz w:val="28"/>
      <w:szCs w:val="28"/>
      <w:lang w:eastAsia="en-GB"/>
    </w:rPr>
  </w:style>
  <w:style w:type="paragraph" w:customStyle="1" w:styleId="TemplateFooter">
    <w:name w:val="_Template Footer"/>
    <w:basedOn w:val="Footer"/>
    <w:link w:val="TemplateFooterChar"/>
    <w:semiHidden/>
    <w:qFormat/>
    <w:rsid w:val="00764877"/>
    <w:pPr>
      <w:ind w:right="360"/>
    </w:pPr>
    <w:rPr>
      <w:sz w:val="16"/>
      <w:szCs w:val="18"/>
    </w:rPr>
  </w:style>
  <w:style w:type="paragraph" w:customStyle="1" w:styleId="SignatureText">
    <w:name w:val="Signature Text"/>
    <w:basedOn w:val="BodyText"/>
    <w:semiHidden/>
    <w:rsid w:val="00525C5E"/>
    <w:pPr>
      <w:spacing w:after="0" w:line="240" w:lineRule="auto"/>
    </w:pPr>
  </w:style>
  <w:style w:type="paragraph" w:styleId="Date">
    <w:name w:val="Date"/>
    <w:basedOn w:val="Normal"/>
    <w:next w:val="Normal"/>
    <w:uiPriority w:val="1"/>
    <w:semiHidden/>
    <w:rsid w:val="278D62C0"/>
  </w:style>
  <w:style w:type="character" w:styleId="Emphasis">
    <w:name w:val="Emphasis"/>
    <w:basedOn w:val="DefaultParagraphFont"/>
    <w:semiHidden/>
    <w:qFormat/>
    <w:rsid w:val="00764877"/>
    <w:rPr>
      <w:i/>
      <w:iCs/>
    </w:rPr>
  </w:style>
  <w:style w:type="paragraph" w:styleId="EnvelopeAddress">
    <w:name w:val="envelope address"/>
    <w:basedOn w:val="Normal"/>
    <w:uiPriority w:val="1"/>
    <w:semiHidden/>
    <w:rsid w:val="278D62C0"/>
    <w:pPr>
      <w:ind w:left="2880"/>
    </w:pPr>
  </w:style>
  <w:style w:type="paragraph" w:styleId="EnvelopeReturn">
    <w:name w:val="envelope return"/>
    <w:basedOn w:val="Normal"/>
    <w:uiPriority w:val="1"/>
    <w:semiHidden/>
    <w:rsid w:val="278D62C0"/>
  </w:style>
  <w:style w:type="paragraph" w:styleId="ListBullet3">
    <w:name w:val="List Bullet 3"/>
    <w:basedOn w:val="Normal"/>
    <w:uiPriority w:val="1"/>
    <w:semiHidden/>
    <w:rsid w:val="278D62C0"/>
    <w:pPr>
      <w:numPr>
        <w:numId w:val="8"/>
      </w:numPr>
    </w:pPr>
  </w:style>
  <w:style w:type="paragraph" w:styleId="Signature">
    <w:name w:val="Signature"/>
    <w:basedOn w:val="Normal"/>
    <w:uiPriority w:val="1"/>
    <w:semiHidden/>
    <w:rsid w:val="278D62C0"/>
    <w:pPr>
      <w:ind w:left="4252"/>
    </w:pPr>
  </w:style>
  <w:style w:type="character" w:styleId="Strong">
    <w:name w:val="Strong"/>
    <w:basedOn w:val="DefaultParagraphFont"/>
    <w:semiHidden/>
    <w:qFormat/>
    <w:rsid w:val="00764877"/>
    <w:rPr>
      <w:b/>
      <w:bCs/>
    </w:rPr>
  </w:style>
  <w:style w:type="paragraph" w:styleId="Subtitle">
    <w:name w:val="Subtitle"/>
    <w:basedOn w:val="Normal"/>
    <w:link w:val="SubtitleChar"/>
    <w:uiPriority w:val="1"/>
    <w:semiHidden/>
    <w:qFormat/>
    <w:rsid w:val="278D62C0"/>
    <w:pPr>
      <w:spacing w:after="60"/>
      <w:jc w:val="center"/>
      <w:outlineLvl w:val="1"/>
    </w:pPr>
    <w:rPr>
      <w:rFonts w:eastAsiaTheme="majorEastAsia"/>
    </w:rPr>
  </w:style>
  <w:style w:type="paragraph" w:styleId="Title">
    <w:name w:val="Title"/>
    <w:basedOn w:val="Normal"/>
    <w:link w:val="TitleChar"/>
    <w:uiPriority w:val="1"/>
    <w:semiHidden/>
    <w:qFormat/>
    <w:rsid w:val="278D62C0"/>
    <w:pPr>
      <w:spacing w:before="240" w:after="60"/>
      <w:jc w:val="center"/>
      <w:outlineLvl w:val="0"/>
    </w:pPr>
    <w:rPr>
      <w:rFonts w:eastAsiaTheme="majorEastAsia"/>
      <w:b/>
      <w:bCs/>
      <w:sz w:val="32"/>
      <w:szCs w:val="32"/>
    </w:rPr>
  </w:style>
  <w:style w:type="paragraph" w:customStyle="1" w:styleId="RecNumber">
    <w:name w:val="Rec Number"/>
    <w:basedOn w:val="Normal"/>
    <w:uiPriority w:val="1"/>
    <w:rsid w:val="278D62C0"/>
    <w:pPr>
      <w:spacing w:before="240" w:after="60"/>
      <w:jc w:val="both"/>
    </w:pPr>
    <w:rPr>
      <w:rFonts w:cs="Times New Roman"/>
      <w:lang w:eastAsia="en-US"/>
    </w:rPr>
  </w:style>
  <w:style w:type="character" w:styleId="EndnoteReference">
    <w:name w:val="endnote reference"/>
    <w:basedOn w:val="DefaultParagraphFont"/>
    <w:semiHidden/>
    <w:rsid w:val="00382073"/>
    <w:rPr>
      <w:vertAlign w:val="superscript"/>
    </w:rPr>
  </w:style>
  <w:style w:type="paragraph" w:styleId="EndnoteText">
    <w:name w:val="endnote text"/>
    <w:basedOn w:val="Normal"/>
    <w:uiPriority w:val="1"/>
    <w:semiHidden/>
    <w:rsid w:val="278D62C0"/>
  </w:style>
  <w:style w:type="paragraph" w:styleId="Index1">
    <w:name w:val="index 1"/>
    <w:basedOn w:val="Normal"/>
    <w:next w:val="Normal"/>
    <w:uiPriority w:val="1"/>
    <w:semiHidden/>
    <w:rsid w:val="278D62C0"/>
    <w:pPr>
      <w:ind w:left="220" w:hanging="220"/>
    </w:pPr>
  </w:style>
  <w:style w:type="paragraph" w:styleId="Index2">
    <w:name w:val="index 2"/>
    <w:basedOn w:val="Normal"/>
    <w:next w:val="Normal"/>
    <w:uiPriority w:val="1"/>
    <w:semiHidden/>
    <w:rsid w:val="278D62C0"/>
    <w:pPr>
      <w:ind w:left="440" w:hanging="220"/>
    </w:pPr>
  </w:style>
  <w:style w:type="paragraph" w:styleId="Index3">
    <w:name w:val="index 3"/>
    <w:basedOn w:val="Normal"/>
    <w:next w:val="Normal"/>
    <w:uiPriority w:val="1"/>
    <w:semiHidden/>
    <w:rsid w:val="278D62C0"/>
    <w:pPr>
      <w:ind w:left="660" w:hanging="220"/>
    </w:pPr>
  </w:style>
  <w:style w:type="paragraph" w:styleId="Index4">
    <w:name w:val="index 4"/>
    <w:basedOn w:val="Normal"/>
    <w:next w:val="Normal"/>
    <w:uiPriority w:val="1"/>
    <w:semiHidden/>
    <w:rsid w:val="278D62C0"/>
    <w:pPr>
      <w:ind w:left="880" w:hanging="220"/>
    </w:pPr>
  </w:style>
  <w:style w:type="paragraph" w:styleId="Index5">
    <w:name w:val="index 5"/>
    <w:basedOn w:val="Normal"/>
    <w:next w:val="Normal"/>
    <w:uiPriority w:val="1"/>
    <w:semiHidden/>
    <w:rsid w:val="278D62C0"/>
    <w:pPr>
      <w:ind w:left="1100" w:hanging="220"/>
    </w:pPr>
  </w:style>
  <w:style w:type="paragraph" w:styleId="Index6">
    <w:name w:val="index 6"/>
    <w:basedOn w:val="Normal"/>
    <w:next w:val="Normal"/>
    <w:uiPriority w:val="1"/>
    <w:semiHidden/>
    <w:rsid w:val="278D62C0"/>
    <w:pPr>
      <w:ind w:left="1320" w:hanging="220"/>
    </w:pPr>
  </w:style>
  <w:style w:type="paragraph" w:styleId="Index7">
    <w:name w:val="index 7"/>
    <w:basedOn w:val="Normal"/>
    <w:next w:val="Normal"/>
    <w:uiPriority w:val="1"/>
    <w:semiHidden/>
    <w:rsid w:val="278D62C0"/>
    <w:pPr>
      <w:ind w:left="1540" w:hanging="220"/>
    </w:pPr>
  </w:style>
  <w:style w:type="paragraph" w:styleId="Index8">
    <w:name w:val="index 8"/>
    <w:basedOn w:val="Normal"/>
    <w:next w:val="Normal"/>
    <w:uiPriority w:val="1"/>
    <w:semiHidden/>
    <w:rsid w:val="278D62C0"/>
    <w:pPr>
      <w:ind w:left="1760" w:hanging="220"/>
    </w:pPr>
  </w:style>
  <w:style w:type="paragraph" w:styleId="Index9">
    <w:name w:val="index 9"/>
    <w:basedOn w:val="Normal"/>
    <w:next w:val="Normal"/>
    <w:uiPriority w:val="1"/>
    <w:semiHidden/>
    <w:rsid w:val="278D62C0"/>
    <w:pPr>
      <w:ind w:left="1980" w:hanging="220"/>
    </w:pPr>
  </w:style>
  <w:style w:type="paragraph" w:styleId="IndexHeading">
    <w:name w:val="index heading"/>
    <w:basedOn w:val="Normal"/>
    <w:next w:val="Index1"/>
    <w:uiPriority w:val="1"/>
    <w:semiHidden/>
    <w:rsid w:val="278D62C0"/>
    <w:rPr>
      <w:b/>
      <w:bCs/>
    </w:rPr>
  </w:style>
  <w:style w:type="paragraph" w:styleId="MacroText">
    <w:name w:val="macro"/>
    <w:semiHidden/>
    <w:rsid w:val="00382073"/>
    <w:pPr>
      <w:tabs>
        <w:tab w:val="left" w:pos="480"/>
        <w:tab w:val="left" w:pos="960"/>
        <w:tab w:val="left" w:pos="1440"/>
        <w:tab w:val="left" w:pos="1920"/>
        <w:tab w:val="left" w:pos="2400"/>
        <w:tab w:val="left" w:pos="2880"/>
        <w:tab w:val="left" w:pos="3360"/>
        <w:tab w:val="left" w:pos="3840"/>
        <w:tab w:val="left" w:pos="4320"/>
      </w:tabs>
      <w:suppressAutoHyphens/>
      <w:autoSpaceDE w:val="0"/>
      <w:autoSpaceDN w:val="0"/>
      <w:adjustRightInd w:val="0"/>
      <w:spacing w:after="170" w:line="280" w:lineRule="atLeast"/>
      <w:textAlignment w:val="center"/>
    </w:pPr>
    <w:rPr>
      <w:rFonts w:ascii="Courier New" w:hAnsi="Courier New" w:cs="Courier New"/>
      <w:color w:val="54534C"/>
      <w:lang w:val="en-US"/>
    </w:rPr>
  </w:style>
  <w:style w:type="paragraph" w:styleId="TableofAuthorities">
    <w:name w:val="table of authorities"/>
    <w:basedOn w:val="Normal"/>
    <w:next w:val="Normal"/>
    <w:uiPriority w:val="1"/>
    <w:semiHidden/>
    <w:rsid w:val="278D62C0"/>
    <w:pPr>
      <w:ind w:left="220" w:hanging="220"/>
    </w:pPr>
  </w:style>
  <w:style w:type="paragraph" w:styleId="TableofFigures">
    <w:name w:val="table of figures"/>
    <w:basedOn w:val="Normal"/>
    <w:next w:val="Normal"/>
    <w:uiPriority w:val="1"/>
    <w:semiHidden/>
    <w:rsid w:val="278D62C0"/>
  </w:style>
  <w:style w:type="paragraph" w:styleId="TOAHeading">
    <w:name w:val="toa heading"/>
    <w:basedOn w:val="Normal"/>
    <w:next w:val="Normal"/>
    <w:uiPriority w:val="1"/>
    <w:semiHidden/>
    <w:rsid w:val="278D62C0"/>
    <w:rPr>
      <w:b/>
      <w:bCs/>
    </w:rPr>
  </w:style>
  <w:style w:type="paragraph" w:styleId="TOC4">
    <w:name w:val="toc 4"/>
    <w:basedOn w:val="Normal"/>
    <w:next w:val="Normal"/>
    <w:uiPriority w:val="1"/>
    <w:semiHidden/>
    <w:rsid w:val="278D62C0"/>
    <w:pPr>
      <w:ind w:left="660"/>
    </w:pPr>
  </w:style>
  <w:style w:type="paragraph" w:styleId="TOC5">
    <w:name w:val="toc 5"/>
    <w:basedOn w:val="Normal"/>
    <w:next w:val="Normal"/>
    <w:uiPriority w:val="1"/>
    <w:semiHidden/>
    <w:rsid w:val="278D62C0"/>
    <w:pPr>
      <w:ind w:left="880"/>
    </w:pPr>
  </w:style>
  <w:style w:type="paragraph" w:styleId="TOC6">
    <w:name w:val="toc 6"/>
    <w:basedOn w:val="Normal"/>
    <w:next w:val="Normal"/>
    <w:uiPriority w:val="1"/>
    <w:semiHidden/>
    <w:rsid w:val="278D62C0"/>
    <w:pPr>
      <w:ind w:left="1100"/>
    </w:pPr>
  </w:style>
  <w:style w:type="paragraph" w:styleId="TOC7">
    <w:name w:val="toc 7"/>
    <w:basedOn w:val="Normal"/>
    <w:next w:val="Normal"/>
    <w:uiPriority w:val="1"/>
    <w:semiHidden/>
    <w:rsid w:val="278D62C0"/>
    <w:pPr>
      <w:ind w:left="1320"/>
    </w:pPr>
  </w:style>
  <w:style w:type="paragraph" w:styleId="TOC8">
    <w:name w:val="toc 8"/>
    <w:basedOn w:val="Normal"/>
    <w:next w:val="Normal"/>
    <w:uiPriority w:val="1"/>
    <w:semiHidden/>
    <w:rsid w:val="278D62C0"/>
    <w:pPr>
      <w:ind w:left="1540"/>
    </w:pPr>
  </w:style>
  <w:style w:type="paragraph" w:styleId="TOC9">
    <w:name w:val="toc 9"/>
    <w:basedOn w:val="Normal"/>
    <w:next w:val="Normal"/>
    <w:uiPriority w:val="1"/>
    <w:semiHidden/>
    <w:rsid w:val="278D62C0"/>
    <w:pPr>
      <w:ind w:left="1760"/>
    </w:pPr>
  </w:style>
  <w:style w:type="paragraph" w:customStyle="1" w:styleId="ParaLevel2">
    <w:name w:val="Para Level2"/>
    <w:basedOn w:val="ParaLevel1"/>
    <w:link w:val="ParaLevel2Char"/>
    <w:qFormat/>
    <w:rsid w:val="00D955CA"/>
    <w:pPr>
      <w:numPr>
        <w:ilvl w:val="1"/>
      </w:numPr>
    </w:pPr>
  </w:style>
  <w:style w:type="paragraph" w:customStyle="1" w:styleId="ReportBody2">
    <w:name w:val="Report Body 2"/>
    <w:basedOn w:val="RecLevel1"/>
    <w:rsid w:val="003654B2"/>
    <w:pPr>
      <w:numPr>
        <w:ilvl w:val="1"/>
      </w:numPr>
      <w:ind w:left="986" w:hanging="493"/>
    </w:pPr>
  </w:style>
  <w:style w:type="paragraph" w:customStyle="1" w:styleId="Minister">
    <w:name w:val="Minister"/>
    <w:basedOn w:val="Normal"/>
    <w:uiPriority w:val="1"/>
    <w:semiHidden/>
    <w:unhideWhenUsed/>
    <w:qFormat/>
    <w:rsid w:val="278D62C0"/>
    <w:pPr>
      <w:spacing w:after="0"/>
      <w:contextualSpacing/>
    </w:pPr>
  </w:style>
  <w:style w:type="paragraph" w:customStyle="1" w:styleId="Portfolio">
    <w:name w:val="Portfolio"/>
    <w:basedOn w:val="Minister"/>
    <w:semiHidden/>
    <w:unhideWhenUsed/>
    <w:qFormat/>
    <w:rsid w:val="00764877"/>
    <w:pPr>
      <w:spacing w:before="0"/>
    </w:pPr>
    <w:rPr>
      <w:rFonts w:ascii="Calibri" w:hAnsi="Calibri"/>
    </w:rPr>
  </w:style>
  <w:style w:type="paragraph" w:customStyle="1" w:styleId="TemplateTitleSub">
    <w:name w:val="_Template Title_Sub"/>
    <w:basedOn w:val="Normal"/>
    <w:uiPriority w:val="1"/>
    <w:semiHidden/>
    <w:qFormat/>
    <w:rsid w:val="278D62C0"/>
    <w:pPr>
      <w:tabs>
        <w:tab w:val="left" w:pos="1620"/>
        <w:tab w:val="left" w:pos="5220"/>
        <w:tab w:val="left" w:pos="6840"/>
      </w:tabs>
      <w:spacing w:after="170"/>
    </w:pPr>
    <w:rPr>
      <w:rFonts w:cs="Calibri"/>
      <w:color w:val="808080" w:themeColor="background1" w:themeShade="80"/>
      <w:sz w:val="44"/>
      <w:szCs w:val="44"/>
    </w:rPr>
  </w:style>
  <w:style w:type="paragraph" w:customStyle="1" w:styleId="ParaLevel1">
    <w:name w:val="Para Level1"/>
    <w:basedOn w:val="ListParagraph"/>
    <w:link w:val="ParaLevel1Char"/>
    <w:qFormat/>
    <w:rsid w:val="00D955CA"/>
    <w:pPr>
      <w:numPr>
        <w:numId w:val="17"/>
      </w:numPr>
      <w:tabs>
        <w:tab w:val="left" w:pos="567"/>
      </w:tabs>
      <w:contextualSpacing w:val="0"/>
    </w:pPr>
  </w:style>
  <w:style w:type="character" w:customStyle="1" w:styleId="ParaLevel1Char">
    <w:name w:val="Para Level1 Char"/>
    <w:basedOn w:val="DefaultParagraphFont"/>
    <w:link w:val="ParaLevel1"/>
    <w:rsid w:val="00D955CA"/>
    <w:rPr>
      <w:rFonts w:cs="Arial"/>
      <w:sz w:val="22"/>
      <w:szCs w:val="22"/>
    </w:rPr>
  </w:style>
  <w:style w:type="character" w:customStyle="1" w:styleId="Heading6Char">
    <w:name w:val="Heading 6 Char"/>
    <w:basedOn w:val="DefaultParagraphFont"/>
    <w:link w:val="Heading6"/>
    <w:semiHidden/>
    <w:rsid w:val="00764877"/>
    <w:rPr>
      <w:rFonts w:ascii="Arial" w:eastAsiaTheme="majorEastAsia" w:hAnsi="Arial" w:cs="Arial"/>
      <w:sz w:val="16"/>
      <w:szCs w:val="16"/>
      <w:lang w:val="x-none" w:eastAsia="x-none"/>
    </w:rPr>
  </w:style>
  <w:style w:type="character" w:customStyle="1" w:styleId="Heading8Char">
    <w:name w:val="Heading 8 Char"/>
    <w:basedOn w:val="DefaultParagraphFont"/>
    <w:link w:val="Heading8"/>
    <w:semiHidden/>
    <w:rsid w:val="00764877"/>
    <w:rPr>
      <w:rFonts w:eastAsiaTheme="majorEastAsia" w:cs="Arial"/>
      <w:i/>
      <w:iCs/>
      <w:sz w:val="16"/>
      <w:szCs w:val="24"/>
    </w:rPr>
  </w:style>
  <w:style w:type="character" w:customStyle="1" w:styleId="Heading9Char">
    <w:name w:val="Heading 9 Char"/>
    <w:basedOn w:val="DefaultParagraphFont"/>
    <w:link w:val="Heading9"/>
    <w:semiHidden/>
    <w:rsid w:val="00764877"/>
    <w:rPr>
      <w:rFonts w:eastAsiaTheme="majorEastAsia" w:cs="Arial"/>
      <w:sz w:val="16"/>
    </w:rPr>
  </w:style>
  <w:style w:type="character" w:customStyle="1" w:styleId="TitleChar">
    <w:name w:val="Title Char"/>
    <w:basedOn w:val="DefaultParagraphFont"/>
    <w:link w:val="Title"/>
    <w:semiHidden/>
    <w:rsid w:val="00764877"/>
    <w:rPr>
      <w:rFonts w:eastAsiaTheme="majorEastAsia" w:cs="Arial"/>
      <w:b/>
      <w:bCs/>
      <w:kern w:val="28"/>
      <w:sz w:val="32"/>
      <w:szCs w:val="32"/>
    </w:rPr>
  </w:style>
  <w:style w:type="character" w:customStyle="1" w:styleId="SubtitleChar">
    <w:name w:val="Subtitle Char"/>
    <w:basedOn w:val="DefaultParagraphFont"/>
    <w:link w:val="Subtitle"/>
    <w:semiHidden/>
    <w:rsid w:val="00764877"/>
    <w:rPr>
      <w:rFonts w:eastAsiaTheme="majorEastAsia" w:cs="Arial"/>
      <w:sz w:val="24"/>
      <w:szCs w:val="24"/>
    </w:rPr>
  </w:style>
  <w:style w:type="paragraph" w:styleId="NoSpacing">
    <w:name w:val="No Spacing"/>
    <w:basedOn w:val="BodyText"/>
    <w:uiPriority w:val="1"/>
    <w:semiHidden/>
    <w:qFormat/>
    <w:rsid w:val="00764877"/>
    <w:pPr>
      <w:spacing w:before="0" w:after="0" w:line="240" w:lineRule="auto"/>
    </w:pPr>
  </w:style>
  <w:style w:type="paragraph" w:styleId="ListParagraph">
    <w:name w:val="List Paragraph"/>
    <w:basedOn w:val="Normal"/>
    <w:uiPriority w:val="34"/>
    <w:qFormat/>
    <w:rsid w:val="278D62C0"/>
    <w:pPr>
      <w:ind w:left="720"/>
      <w:contextualSpacing/>
    </w:pPr>
  </w:style>
  <w:style w:type="paragraph" w:styleId="Quote">
    <w:name w:val="Quote"/>
    <w:basedOn w:val="Normal"/>
    <w:next w:val="Normal"/>
    <w:link w:val="QuoteChar"/>
    <w:uiPriority w:val="29"/>
    <w:semiHidden/>
    <w:qFormat/>
    <w:rsid w:val="278D62C0"/>
    <w:rPr>
      <w:i/>
      <w:iCs/>
      <w:color w:val="000000" w:themeColor="text1"/>
    </w:rPr>
  </w:style>
  <w:style w:type="character" w:customStyle="1" w:styleId="QuoteChar">
    <w:name w:val="Quote Char"/>
    <w:basedOn w:val="DefaultParagraphFont"/>
    <w:link w:val="Quote"/>
    <w:uiPriority w:val="29"/>
    <w:semiHidden/>
    <w:rsid w:val="00764877"/>
    <w:rPr>
      <w:rFonts w:cs="Arial"/>
      <w:i/>
      <w:iCs/>
      <w:color w:val="000000" w:themeColor="text1"/>
    </w:rPr>
  </w:style>
  <w:style w:type="paragraph" w:styleId="IntenseQuote">
    <w:name w:val="Intense Quote"/>
    <w:basedOn w:val="Normal"/>
    <w:next w:val="Normal"/>
    <w:link w:val="IntenseQuoteChar"/>
    <w:uiPriority w:val="30"/>
    <w:semiHidden/>
    <w:qFormat/>
    <w:rsid w:val="278D62C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764877"/>
    <w:rPr>
      <w:rFonts w:cs="Arial"/>
      <w:b/>
      <w:bCs/>
      <w:i/>
      <w:iCs/>
      <w:color w:val="4F81BD" w:themeColor="accent1"/>
    </w:rPr>
  </w:style>
  <w:style w:type="character" w:styleId="SubtleEmphasis">
    <w:name w:val="Subtle Emphasis"/>
    <w:basedOn w:val="Heading4Char"/>
    <w:uiPriority w:val="19"/>
    <w:semiHidden/>
    <w:qFormat/>
    <w:rsid w:val="00764877"/>
    <w:rPr>
      <w:rFonts w:ascii="Verdana Pro Semibold" w:eastAsiaTheme="majorEastAsia" w:hAnsi="Verdana Pro Semibold" w:cs="Arial"/>
      <w:b w:val="0"/>
      <w:bCs/>
      <w:i w:val="0"/>
      <w:iCs w:val="0"/>
      <w:color w:val="808080" w:themeColor="text1" w:themeTint="7F"/>
      <w:sz w:val="22"/>
      <w:szCs w:val="22"/>
      <w:lang w:val="x-none" w:eastAsia="x-none"/>
    </w:rPr>
  </w:style>
  <w:style w:type="character" w:styleId="IntenseEmphasis">
    <w:name w:val="Intense Emphasis"/>
    <w:basedOn w:val="DefaultParagraphFont"/>
    <w:uiPriority w:val="21"/>
    <w:semiHidden/>
    <w:qFormat/>
    <w:rsid w:val="00764877"/>
    <w:rPr>
      <w:b/>
      <w:bCs/>
      <w:i/>
      <w:iCs/>
      <w:color w:val="4F81BD" w:themeColor="accent1"/>
    </w:rPr>
  </w:style>
  <w:style w:type="character" w:styleId="SubtleReference">
    <w:name w:val="Subtle Reference"/>
    <w:basedOn w:val="DefaultParagraphFont"/>
    <w:uiPriority w:val="31"/>
    <w:semiHidden/>
    <w:qFormat/>
    <w:rsid w:val="00764877"/>
    <w:rPr>
      <w:smallCaps/>
      <w:color w:val="C0504D" w:themeColor="accent2"/>
      <w:u w:val="single"/>
    </w:rPr>
  </w:style>
  <w:style w:type="character" w:styleId="IntenseReference">
    <w:name w:val="Intense Reference"/>
    <w:basedOn w:val="DefaultParagraphFont"/>
    <w:uiPriority w:val="32"/>
    <w:semiHidden/>
    <w:qFormat/>
    <w:rsid w:val="00764877"/>
    <w:rPr>
      <w:b/>
      <w:bCs/>
      <w:smallCaps/>
      <w:color w:val="C0504D" w:themeColor="accent2"/>
      <w:spacing w:val="5"/>
      <w:u w:val="single"/>
    </w:rPr>
  </w:style>
  <w:style w:type="character" w:styleId="BookTitle">
    <w:name w:val="Book Title"/>
    <w:basedOn w:val="DefaultParagraphFont"/>
    <w:uiPriority w:val="33"/>
    <w:semiHidden/>
    <w:qFormat/>
    <w:rsid w:val="00764877"/>
    <w:rPr>
      <w:b/>
      <w:bCs/>
      <w:smallCaps/>
      <w:spacing w:val="5"/>
    </w:rPr>
  </w:style>
  <w:style w:type="paragraph" w:styleId="TOCHeading">
    <w:name w:val="TOC Heading"/>
    <w:basedOn w:val="Heading1"/>
    <w:next w:val="Normal"/>
    <w:uiPriority w:val="39"/>
    <w:semiHidden/>
    <w:unhideWhenUsed/>
    <w:qFormat/>
    <w:rsid w:val="00764877"/>
    <w:pPr>
      <w:keepLines/>
      <w:suppressAutoHyphens/>
      <w:autoSpaceDE w:val="0"/>
      <w:autoSpaceDN w:val="0"/>
      <w:adjustRightInd w:val="0"/>
      <w:spacing w:before="480" w:after="0" w:line="280" w:lineRule="atLeast"/>
      <w:textAlignment w:val="center"/>
      <w:outlineLvl w:val="9"/>
    </w:pPr>
    <w:rPr>
      <w:rFonts w:asciiTheme="majorHAnsi" w:hAnsiTheme="majorHAnsi" w:cstheme="majorBidi"/>
      <w:color w:val="365F91" w:themeColor="accent1" w:themeShade="BF"/>
      <w:sz w:val="28"/>
      <w:szCs w:val="28"/>
    </w:rPr>
  </w:style>
  <w:style w:type="character" w:customStyle="1" w:styleId="RecLevel1Char">
    <w:name w:val="Rec Level1 Char"/>
    <w:basedOn w:val="DefaultParagraphFont"/>
    <w:link w:val="RecLevel1"/>
    <w:uiPriority w:val="1"/>
    <w:rsid w:val="00A802EB"/>
    <w:rPr>
      <w:rFonts w:cs="Arial"/>
      <w:color w:val="000000" w:themeColor="text1"/>
      <w:sz w:val="22"/>
      <w:szCs w:val="22"/>
    </w:rPr>
  </w:style>
  <w:style w:type="table" w:styleId="PlainTable2">
    <w:name w:val="Plain Table 2"/>
    <w:basedOn w:val="TableNormal"/>
    <w:uiPriority w:val="42"/>
    <w:rsid w:val="0073380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ReportBody-MOH">
    <w:name w:val="Report Body - MOH"/>
    <w:basedOn w:val="Normal"/>
    <w:link w:val="ReportBody-MOHChar"/>
    <w:uiPriority w:val="1"/>
    <w:rsid w:val="278D62C0"/>
    <w:pPr>
      <w:ind w:left="851" w:right="284" w:hanging="851"/>
    </w:pPr>
    <w:rPr>
      <w:rFonts w:ascii="Segoe UI" w:hAnsi="Segoe UI"/>
    </w:rPr>
  </w:style>
  <w:style w:type="paragraph" w:customStyle="1" w:styleId="ReportBody2-MOH">
    <w:name w:val="Report Body 2 - MOH"/>
    <w:basedOn w:val="ReportBody-MOH"/>
    <w:rsid w:val="00832DC3"/>
    <w:pPr>
      <w:ind w:left="1276" w:hanging="425"/>
    </w:pPr>
  </w:style>
  <w:style w:type="character" w:customStyle="1" w:styleId="ReportBody-MOHChar">
    <w:name w:val="Report Body - MOH Char"/>
    <w:basedOn w:val="DefaultParagraphFont"/>
    <w:link w:val="ReportBody-MOH"/>
    <w:rsid w:val="00832DC3"/>
    <w:rPr>
      <w:rFonts w:ascii="Segoe UI" w:hAnsi="Segoe UI" w:cs="Arial"/>
      <w:kern w:val="22"/>
      <w:sz w:val="22"/>
      <w:szCs w:val="22"/>
    </w:rPr>
  </w:style>
  <w:style w:type="paragraph" w:customStyle="1" w:styleId="Bulletlist">
    <w:name w:val="Bullet list"/>
    <w:basedOn w:val="ReportBody-MOH"/>
    <w:link w:val="BulletlistChar"/>
    <w:qFormat/>
    <w:rsid w:val="008847F1"/>
    <w:pPr>
      <w:numPr>
        <w:numId w:val="18"/>
      </w:numPr>
      <w:spacing w:before="0"/>
      <w:ind w:left="1724" w:hanging="284"/>
    </w:pPr>
    <w:rPr>
      <w:rFonts w:ascii="Verdana" w:hAnsi="Verdana"/>
    </w:rPr>
  </w:style>
  <w:style w:type="paragraph" w:customStyle="1" w:styleId="Guidance">
    <w:name w:val="Guidance"/>
    <w:basedOn w:val="Heading1"/>
    <w:autoRedefine/>
    <w:rsid w:val="003B041A"/>
    <w:pPr>
      <w:spacing w:line="259" w:lineRule="auto"/>
      <w:jc w:val="both"/>
    </w:pPr>
    <w:rPr>
      <w:b w:val="0"/>
      <w:i/>
      <w:color w:val="C00000"/>
      <w:sz w:val="24"/>
      <w:szCs w:val="22"/>
    </w:rPr>
  </w:style>
  <w:style w:type="paragraph" w:customStyle="1" w:styleId="Guidance-MOH">
    <w:name w:val="Guidance - MOH"/>
    <w:basedOn w:val="Heading1"/>
    <w:rsid w:val="00051FBD"/>
    <w:pPr>
      <w:spacing w:line="259" w:lineRule="auto"/>
      <w:jc w:val="both"/>
    </w:pPr>
    <w:rPr>
      <w:rFonts w:ascii="Segoe UI" w:hAnsi="Segoe UI"/>
      <w:b w:val="0"/>
      <w:i/>
      <w:color w:val="FF0000"/>
      <w:sz w:val="20"/>
      <w:szCs w:val="24"/>
    </w:rPr>
  </w:style>
  <w:style w:type="paragraph" w:customStyle="1" w:styleId="Style1">
    <w:name w:val="Style1"/>
    <w:basedOn w:val="TemplateFooter"/>
    <w:link w:val="Style1Char"/>
    <w:rsid w:val="00FE3D9A"/>
  </w:style>
  <w:style w:type="character" w:customStyle="1" w:styleId="FooterChar">
    <w:name w:val="Footer Char"/>
    <w:basedOn w:val="DefaultParagraphFont"/>
    <w:link w:val="Footer"/>
    <w:semiHidden/>
    <w:rsid w:val="00FE3D9A"/>
    <w:rPr>
      <w:rFonts w:cs="Arial"/>
      <w:sz w:val="24"/>
    </w:rPr>
  </w:style>
  <w:style w:type="character" w:customStyle="1" w:styleId="TemplateFooterChar">
    <w:name w:val="_Template Footer Char"/>
    <w:basedOn w:val="FooterChar"/>
    <w:link w:val="TemplateFooter"/>
    <w:semiHidden/>
    <w:rsid w:val="00FE3D9A"/>
    <w:rPr>
      <w:rFonts w:cs="Arial"/>
      <w:sz w:val="16"/>
      <w:szCs w:val="18"/>
    </w:rPr>
  </w:style>
  <w:style w:type="character" w:customStyle="1" w:styleId="Style1Char">
    <w:name w:val="Style1 Char"/>
    <w:basedOn w:val="TemplateFooterChar"/>
    <w:link w:val="Style1"/>
    <w:rsid w:val="00FE3D9A"/>
    <w:rPr>
      <w:rFonts w:cs="Arial"/>
      <w:sz w:val="16"/>
      <w:szCs w:val="18"/>
    </w:rPr>
  </w:style>
  <w:style w:type="character" w:customStyle="1" w:styleId="normaltextrun">
    <w:name w:val="normaltextrun"/>
    <w:basedOn w:val="DefaultParagraphFont"/>
    <w:rsid w:val="00127DB8"/>
  </w:style>
  <w:style w:type="character" w:customStyle="1" w:styleId="eop">
    <w:name w:val="eop"/>
    <w:basedOn w:val="DefaultParagraphFont"/>
    <w:rsid w:val="00127DB8"/>
  </w:style>
  <w:style w:type="paragraph" w:customStyle="1" w:styleId="RecLevel2">
    <w:name w:val="Rec Level2"/>
    <w:basedOn w:val="RecLevel1"/>
    <w:link w:val="RecLevel2Char"/>
    <w:qFormat/>
    <w:rsid w:val="00541E9B"/>
    <w:pPr>
      <w:numPr>
        <w:numId w:val="19"/>
      </w:numPr>
      <w:ind w:left="1080"/>
    </w:pPr>
  </w:style>
  <w:style w:type="paragraph" w:customStyle="1" w:styleId="Bullettalkingpoint">
    <w:name w:val="Bullet talking point"/>
    <w:basedOn w:val="Bulletlist"/>
    <w:link w:val="BullettalkingpointChar"/>
    <w:qFormat/>
    <w:rsid w:val="00541E9B"/>
    <w:pPr>
      <w:ind w:left="284"/>
    </w:pPr>
  </w:style>
  <w:style w:type="character" w:customStyle="1" w:styleId="RecLevel2Char">
    <w:name w:val="Rec Level2 Char"/>
    <w:basedOn w:val="RecLevel1Char"/>
    <w:link w:val="RecLevel2"/>
    <w:rsid w:val="00541E9B"/>
    <w:rPr>
      <w:rFonts w:cs="Arial"/>
      <w:color w:val="000000" w:themeColor="text1"/>
      <w:sz w:val="22"/>
      <w:szCs w:val="22"/>
    </w:rPr>
  </w:style>
  <w:style w:type="paragraph" w:customStyle="1" w:styleId="ParaLevel3">
    <w:name w:val="Para Level 3"/>
    <w:basedOn w:val="ParaLevel2"/>
    <w:link w:val="ParaLevel3Char"/>
    <w:rsid w:val="00E66D2C"/>
    <w:pPr>
      <w:ind w:left="1928"/>
    </w:pPr>
  </w:style>
  <w:style w:type="character" w:customStyle="1" w:styleId="BulletlistChar">
    <w:name w:val="Bullet list Char"/>
    <w:basedOn w:val="ReportBody-MOHChar"/>
    <w:link w:val="Bulletlist"/>
    <w:rsid w:val="008847F1"/>
    <w:rPr>
      <w:rFonts w:ascii="Segoe UI" w:hAnsi="Segoe UI" w:cs="Arial"/>
      <w:kern w:val="22"/>
      <w:sz w:val="22"/>
      <w:szCs w:val="22"/>
    </w:rPr>
  </w:style>
  <w:style w:type="character" w:customStyle="1" w:styleId="BullettalkingpointChar">
    <w:name w:val="Bullet talking point Char"/>
    <w:basedOn w:val="BulletlistChar"/>
    <w:link w:val="Bullettalkingpoint"/>
    <w:rsid w:val="00541E9B"/>
    <w:rPr>
      <w:rFonts w:ascii="Segoe UI" w:hAnsi="Segoe UI" w:cs="Arial"/>
      <w:kern w:val="22"/>
      <w:sz w:val="22"/>
      <w:szCs w:val="22"/>
    </w:rPr>
  </w:style>
  <w:style w:type="paragraph" w:customStyle="1" w:styleId="ListBullet1">
    <w:name w:val="List Bullet1"/>
    <w:basedOn w:val="Bulletlist"/>
    <w:link w:val="ListbulletChar"/>
    <w:rsid w:val="00E66D2C"/>
  </w:style>
  <w:style w:type="character" w:customStyle="1" w:styleId="ParaLevel2Char">
    <w:name w:val="Para Level2 Char"/>
    <w:basedOn w:val="ParaLevel1Char"/>
    <w:link w:val="ParaLevel2"/>
    <w:rsid w:val="00541E9B"/>
    <w:rPr>
      <w:rFonts w:cs="Arial"/>
      <w:sz w:val="22"/>
      <w:szCs w:val="22"/>
    </w:rPr>
  </w:style>
  <w:style w:type="character" w:customStyle="1" w:styleId="ParaLevel3Char">
    <w:name w:val="Para Level 3 Char"/>
    <w:basedOn w:val="ParaLevel2Char"/>
    <w:link w:val="ParaLevel3"/>
    <w:rsid w:val="00E66D2C"/>
    <w:rPr>
      <w:rFonts w:cs="Arial"/>
      <w:sz w:val="22"/>
      <w:szCs w:val="22"/>
    </w:rPr>
  </w:style>
  <w:style w:type="character" w:customStyle="1" w:styleId="ListbulletChar">
    <w:name w:val="List bullet Char"/>
    <w:basedOn w:val="BulletlistChar"/>
    <w:link w:val="ListBullet1"/>
    <w:rsid w:val="00E66D2C"/>
    <w:rPr>
      <w:rFonts w:ascii="Segoe UI" w:hAnsi="Segoe UI" w:cs="Arial"/>
      <w:kern w:val="22"/>
      <w:sz w:val="22"/>
      <w:szCs w:val="22"/>
    </w:rPr>
  </w:style>
  <w:style w:type="paragraph" w:customStyle="1" w:styleId="Style2">
    <w:name w:val="Style2"/>
    <w:basedOn w:val="RecLevel1"/>
    <w:qFormat/>
    <w:rsid w:val="00946F7C"/>
  </w:style>
  <w:style w:type="paragraph" w:styleId="CommentSubject">
    <w:name w:val="annotation subject"/>
    <w:basedOn w:val="CommentText"/>
    <w:next w:val="CommentText"/>
    <w:link w:val="CommentSubjectChar"/>
    <w:semiHidden/>
    <w:unhideWhenUsed/>
    <w:rsid w:val="00835398"/>
    <w:pPr>
      <w:spacing w:line="240" w:lineRule="auto"/>
    </w:pPr>
    <w:rPr>
      <w:b/>
      <w:bCs/>
      <w:sz w:val="20"/>
    </w:rPr>
  </w:style>
  <w:style w:type="character" w:customStyle="1" w:styleId="CommentSubjectChar">
    <w:name w:val="Comment Subject Char"/>
    <w:basedOn w:val="CommentTextChar"/>
    <w:link w:val="CommentSubject"/>
    <w:semiHidden/>
    <w:rsid w:val="00835398"/>
    <w:rPr>
      <w:rFonts w:ascii="Arial" w:hAnsi="Arial" w:cs="Arial"/>
      <w:b/>
      <w:bCs/>
      <w:lang w:val="en-US"/>
    </w:rPr>
  </w:style>
  <w:style w:type="paragraph" w:styleId="FootnoteText">
    <w:name w:val="footnote text"/>
    <w:basedOn w:val="Normal"/>
    <w:uiPriority w:val="99"/>
    <w:unhideWhenUsed/>
    <w:rsid w:val="278D62C0"/>
    <w:pPr>
      <w:spacing w:after="0"/>
    </w:pPr>
    <w:rPr>
      <w:sz w:val="20"/>
      <w:szCs w:val="20"/>
    </w:rPr>
  </w:style>
  <w:style w:type="paragraph" w:styleId="Revision">
    <w:name w:val="Revision"/>
    <w:hidden/>
    <w:uiPriority w:val="99"/>
    <w:semiHidden/>
    <w:rsid w:val="001A3CBA"/>
    <w:rPr>
      <w:rFonts w:cs="Arial"/>
      <w:sz w:val="22"/>
      <w:szCs w:val="22"/>
    </w:rPr>
  </w:style>
  <w:style w:type="paragraph" w:customStyle="1" w:styleId="paragraph">
    <w:name w:val="paragraph"/>
    <w:basedOn w:val="Normal"/>
    <w:rsid w:val="006C3FD4"/>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4B7B82"/>
    <w:rPr>
      <w:color w:val="605E5C"/>
      <w:shd w:val="clear" w:color="auto" w:fill="E1DFDD"/>
    </w:rPr>
  </w:style>
  <w:style w:type="character" w:customStyle="1" w:styleId="cf01">
    <w:name w:val="cf01"/>
    <w:basedOn w:val="DefaultParagraphFont"/>
    <w:rsid w:val="009827A2"/>
    <w:rPr>
      <w:rFonts w:ascii="Segoe UI" w:hAnsi="Segoe UI" w:cs="Segoe UI" w:hint="default"/>
      <w:sz w:val="18"/>
      <w:szCs w:val="18"/>
    </w:rPr>
  </w:style>
  <w:style w:type="paragraph" w:customStyle="1" w:styleId="pf0">
    <w:name w:val="pf0"/>
    <w:basedOn w:val="Normal"/>
    <w:rsid w:val="00660DE1"/>
    <w:pPr>
      <w:spacing w:before="100" w:beforeAutospacing="1" w:after="100" w:afterAutospacing="1" w:line="240" w:lineRule="auto"/>
    </w:pPr>
    <w:rPr>
      <w:rFonts w:ascii="Times New Roman" w:hAnsi="Times New Roman" w:cs="Times New Roman"/>
      <w:sz w:val="24"/>
      <w:szCs w:val="24"/>
    </w:rPr>
  </w:style>
  <w:style w:type="paragraph" w:customStyle="1" w:styleId="xmsonormal">
    <w:name w:val="x_msonormal"/>
    <w:basedOn w:val="Normal"/>
    <w:rsid w:val="00C6201F"/>
    <w:pPr>
      <w:spacing w:before="0" w:after="0" w:line="240" w:lineRule="auto"/>
    </w:pPr>
    <w:rPr>
      <w:rFonts w:ascii="Calibri" w:eastAsiaTheme="minorHAnsi" w:hAnsi="Calibri" w:cs="Calibri"/>
    </w:rPr>
  </w:style>
  <w:style w:type="paragraph" w:customStyle="1" w:styleId="xbullet1">
    <w:name w:val="x_bullet1"/>
    <w:basedOn w:val="Normal"/>
    <w:rsid w:val="00C6201F"/>
    <w:pPr>
      <w:autoSpaceDE w:val="0"/>
      <w:autoSpaceDN w:val="0"/>
      <w:spacing w:before="0"/>
      <w:ind w:left="567" w:hanging="567"/>
    </w:pPr>
    <w:rPr>
      <w:rFonts w:eastAsiaTheme="minorHAnsi" w:cs="Calibri"/>
      <w:sz w:val="20"/>
      <w:szCs w:val="20"/>
    </w:rPr>
  </w:style>
  <w:style w:type="character" w:customStyle="1" w:styleId="xmsofootnotereference">
    <w:name w:val="x_msofootnotereference"/>
    <w:basedOn w:val="DefaultParagraphFont"/>
    <w:rsid w:val="00C620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83930">
      <w:bodyDiv w:val="1"/>
      <w:marLeft w:val="0"/>
      <w:marRight w:val="0"/>
      <w:marTop w:val="0"/>
      <w:marBottom w:val="0"/>
      <w:divBdr>
        <w:top w:val="none" w:sz="0" w:space="0" w:color="auto"/>
        <w:left w:val="none" w:sz="0" w:space="0" w:color="auto"/>
        <w:bottom w:val="none" w:sz="0" w:space="0" w:color="auto"/>
        <w:right w:val="none" w:sz="0" w:space="0" w:color="auto"/>
      </w:divBdr>
    </w:div>
    <w:div w:id="317538765">
      <w:bodyDiv w:val="1"/>
      <w:marLeft w:val="0"/>
      <w:marRight w:val="0"/>
      <w:marTop w:val="0"/>
      <w:marBottom w:val="0"/>
      <w:divBdr>
        <w:top w:val="none" w:sz="0" w:space="0" w:color="auto"/>
        <w:left w:val="none" w:sz="0" w:space="0" w:color="auto"/>
        <w:bottom w:val="none" w:sz="0" w:space="0" w:color="auto"/>
        <w:right w:val="none" w:sz="0" w:space="0" w:color="auto"/>
      </w:divBdr>
    </w:div>
    <w:div w:id="422066489">
      <w:bodyDiv w:val="1"/>
      <w:marLeft w:val="0"/>
      <w:marRight w:val="0"/>
      <w:marTop w:val="0"/>
      <w:marBottom w:val="0"/>
      <w:divBdr>
        <w:top w:val="none" w:sz="0" w:space="0" w:color="auto"/>
        <w:left w:val="none" w:sz="0" w:space="0" w:color="auto"/>
        <w:bottom w:val="none" w:sz="0" w:space="0" w:color="auto"/>
        <w:right w:val="none" w:sz="0" w:space="0" w:color="auto"/>
      </w:divBdr>
    </w:div>
    <w:div w:id="422922416">
      <w:bodyDiv w:val="1"/>
      <w:marLeft w:val="0"/>
      <w:marRight w:val="0"/>
      <w:marTop w:val="0"/>
      <w:marBottom w:val="0"/>
      <w:divBdr>
        <w:top w:val="none" w:sz="0" w:space="0" w:color="auto"/>
        <w:left w:val="none" w:sz="0" w:space="0" w:color="auto"/>
        <w:bottom w:val="none" w:sz="0" w:space="0" w:color="auto"/>
        <w:right w:val="none" w:sz="0" w:space="0" w:color="auto"/>
      </w:divBdr>
    </w:div>
    <w:div w:id="436799984">
      <w:bodyDiv w:val="1"/>
      <w:marLeft w:val="0"/>
      <w:marRight w:val="0"/>
      <w:marTop w:val="0"/>
      <w:marBottom w:val="0"/>
      <w:divBdr>
        <w:top w:val="none" w:sz="0" w:space="0" w:color="auto"/>
        <w:left w:val="none" w:sz="0" w:space="0" w:color="auto"/>
        <w:bottom w:val="none" w:sz="0" w:space="0" w:color="auto"/>
        <w:right w:val="none" w:sz="0" w:space="0" w:color="auto"/>
      </w:divBdr>
    </w:div>
    <w:div w:id="565410389">
      <w:bodyDiv w:val="1"/>
      <w:marLeft w:val="0"/>
      <w:marRight w:val="0"/>
      <w:marTop w:val="0"/>
      <w:marBottom w:val="0"/>
      <w:divBdr>
        <w:top w:val="none" w:sz="0" w:space="0" w:color="auto"/>
        <w:left w:val="none" w:sz="0" w:space="0" w:color="auto"/>
        <w:bottom w:val="none" w:sz="0" w:space="0" w:color="auto"/>
        <w:right w:val="none" w:sz="0" w:space="0" w:color="auto"/>
      </w:divBdr>
    </w:div>
    <w:div w:id="634410455">
      <w:bodyDiv w:val="1"/>
      <w:marLeft w:val="0"/>
      <w:marRight w:val="0"/>
      <w:marTop w:val="0"/>
      <w:marBottom w:val="0"/>
      <w:divBdr>
        <w:top w:val="none" w:sz="0" w:space="0" w:color="auto"/>
        <w:left w:val="none" w:sz="0" w:space="0" w:color="auto"/>
        <w:bottom w:val="none" w:sz="0" w:space="0" w:color="auto"/>
        <w:right w:val="none" w:sz="0" w:space="0" w:color="auto"/>
      </w:divBdr>
    </w:div>
    <w:div w:id="732970047">
      <w:bodyDiv w:val="1"/>
      <w:marLeft w:val="0"/>
      <w:marRight w:val="0"/>
      <w:marTop w:val="0"/>
      <w:marBottom w:val="0"/>
      <w:divBdr>
        <w:top w:val="none" w:sz="0" w:space="0" w:color="auto"/>
        <w:left w:val="none" w:sz="0" w:space="0" w:color="auto"/>
        <w:bottom w:val="none" w:sz="0" w:space="0" w:color="auto"/>
        <w:right w:val="none" w:sz="0" w:space="0" w:color="auto"/>
      </w:divBdr>
    </w:div>
    <w:div w:id="1086414850">
      <w:bodyDiv w:val="1"/>
      <w:marLeft w:val="0"/>
      <w:marRight w:val="0"/>
      <w:marTop w:val="0"/>
      <w:marBottom w:val="0"/>
      <w:divBdr>
        <w:top w:val="none" w:sz="0" w:space="0" w:color="auto"/>
        <w:left w:val="none" w:sz="0" w:space="0" w:color="auto"/>
        <w:bottom w:val="none" w:sz="0" w:space="0" w:color="auto"/>
        <w:right w:val="none" w:sz="0" w:space="0" w:color="auto"/>
      </w:divBdr>
    </w:div>
    <w:div w:id="1199971768">
      <w:bodyDiv w:val="1"/>
      <w:marLeft w:val="0"/>
      <w:marRight w:val="0"/>
      <w:marTop w:val="0"/>
      <w:marBottom w:val="0"/>
      <w:divBdr>
        <w:top w:val="none" w:sz="0" w:space="0" w:color="auto"/>
        <w:left w:val="none" w:sz="0" w:space="0" w:color="auto"/>
        <w:bottom w:val="none" w:sz="0" w:space="0" w:color="auto"/>
        <w:right w:val="none" w:sz="0" w:space="0" w:color="auto"/>
      </w:divBdr>
    </w:div>
    <w:div w:id="1251349014">
      <w:bodyDiv w:val="1"/>
      <w:marLeft w:val="0"/>
      <w:marRight w:val="0"/>
      <w:marTop w:val="0"/>
      <w:marBottom w:val="0"/>
      <w:divBdr>
        <w:top w:val="none" w:sz="0" w:space="0" w:color="auto"/>
        <w:left w:val="none" w:sz="0" w:space="0" w:color="auto"/>
        <w:bottom w:val="none" w:sz="0" w:space="0" w:color="auto"/>
        <w:right w:val="none" w:sz="0" w:space="0" w:color="auto"/>
      </w:divBdr>
    </w:div>
    <w:div w:id="1290237349">
      <w:bodyDiv w:val="1"/>
      <w:marLeft w:val="0"/>
      <w:marRight w:val="0"/>
      <w:marTop w:val="0"/>
      <w:marBottom w:val="0"/>
      <w:divBdr>
        <w:top w:val="none" w:sz="0" w:space="0" w:color="auto"/>
        <w:left w:val="none" w:sz="0" w:space="0" w:color="auto"/>
        <w:bottom w:val="none" w:sz="0" w:space="0" w:color="auto"/>
        <w:right w:val="none" w:sz="0" w:space="0" w:color="auto"/>
      </w:divBdr>
    </w:div>
    <w:div w:id="1531065119">
      <w:bodyDiv w:val="1"/>
      <w:marLeft w:val="0"/>
      <w:marRight w:val="0"/>
      <w:marTop w:val="0"/>
      <w:marBottom w:val="0"/>
      <w:divBdr>
        <w:top w:val="none" w:sz="0" w:space="0" w:color="auto"/>
        <w:left w:val="none" w:sz="0" w:space="0" w:color="auto"/>
        <w:bottom w:val="none" w:sz="0" w:space="0" w:color="auto"/>
        <w:right w:val="none" w:sz="0" w:space="0" w:color="auto"/>
      </w:divBdr>
    </w:div>
    <w:div w:id="1606499996">
      <w:bodyDiv w:val="1"/>
      <w:marLeft w:val="0"/>
      <w:marRight w:val="0"/>
      <w:marTop w:val="0"/>
      <w:marBottom w:val="0"/>
      <w:divBdr>
        <w:top w:val="none" w:sz="0" w:space="0" w:color="auto"/>
        <w:left w:val="none" w:sz="0" w:space="0" w:color="auto"/>
        <w:bottom w:val="none" w:sz="0" w:space="0" w:color="auto"/>
        <w:right w:val="none" w:sz="0" w:space="0" w:color="auto"/>
      </w:divBdr>
    </w:div>
    <w:div w:id="1860772351">
      <w:bodyDiv w:val="1"/>
      <w:marLeft w:val="0"/>
      <w:marRight w:val="0"/>
      <w:marTop w:val="0"/>
      <w:marBottom w:val="0"/>
      <w:divBdr>
        <w:top w:val="none" w:sz="0" w:space="0" w:color="auto"/>
        <w:left w:val="none" w:sz="0" w:space="0" w:color="auto"/>
        <w:bottom w:val="none" w:sz="0" w:space="0" w:color="auto"/>
        <w:right w:val="none" w:sz="0" w:space="0" w:color="auto"/>
      </w:divBdr>
    </w:div>
    <w:div w:id="1936666370">
      <w:bodyDiv w:val="1"/>
      <w:marLeft w:val="0"/>
      <w:marRight w:val="0"/>
      <w:marTop w:val="0"/>
      <w:marBottom w:val="0"/>
      <w:divBdr>
        <w:top w:val="none" w:sz="0" w:space="0" w:color="auto"/>
        <w:left w:val="none" w:sz="0" w:space="0" w:color="auto"/>
        <w:bottom w:val="none" w:sz="0" w:space="0" w:color="auto"/>
        <w:right w:val="none" w:sz="0" w:space="0" w:color="auto"/>
      </w:divBdr>
    </w:div>
    <w:div w:id="2072383343">
      <w:bodyDiv w:val="1"/>
      <w:marLeft w:val="0"/>
      <w:marRight w:val="0"/>
      <w:marTop w:val="0"/>
      <w:marBottom w:val="0"/>
      <w:divBdr>
        <w:top w:val="none" w:sz="0" w:space="0" w:color="auto"/>
        <w:left w:val="none" w:sz="0" w:space="0" w:color="auto"/>
        <w:bottom w:val="none" w:sz="0" w:space="0" w:color="auto"/>
        <w:right w:val="none" w:sz="0" w:space="0" w:color="auto"/>
      </w:divBdr>
    </w:div>
    <w:div w:id="2080057376">
      <w:bodyDiv w:val="1"/>
      <w:marLeft w:val="0"/>
      <w:marRight w:val="0"/>
      <w:marTop w:val="0"/>
      <w:marBottom w:val="0"/>
      <w:divBdr>
        <w:top w:val="none" w:sz="0" w:space="0" w:color="auto"/>
        <w:left w:val="none" w:sz="0" w:space="0" w:color="auto"/>
        <w:bottom w:val="none" w:sz="0" w:space="0" w:color="auto"/>
        <w:right w:val="none" w:sz="0" w:space="0" w:color="auto"/>
      </w:divBdr>
    </w:div>
    <w:div w:id="211589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sciencedirect.com/science/article/pii/S0891422224000210" TargetMode="External"/><Relationship Id="rId21" Type="http://schemas.openxmlformats.org/officeDocument/2006/relationships/hyperlink" Target="https://static1.squarespace.com/static/5bdbb75ccef37259122e59aa/t/60c018bdd8694c4b1d8b235e/1623201984335/Youth19+Brief_Rangatahi+with+a+disability+or+chronic+condition.pdf" TargetMode="External"/><Relationship Id="rId42" Type="http://schemas.openxmlformats.org/officeDocument/2006/relationships/hyperlink" Target="https://thehub.sia.govt.nz/assets/documents/summaryreport.pdf" TargetMode="External"/><Relationship Id="rId47" Type="http://schemas.openxmlformats.org/officeDocument/2006/relationships/hyperlink" Target="https://www.hud.govt.nz/stats-and-insights/system-indicators/data-available-for-whanau-maori-pacific-peoples-and-people-with-disabilities" TargetMode="External"/><Relationship Id="rId63" Type="http://schemas.openxmlformats.org/officeDocument/2006/relationships/hyperlink" Target="https://www.tpk.govt.nz/en/mo-te-puni-kokiri/corporate-documents/corporate-publications/annual-reports/purongoatau-annual-report-2024" TargetMode="External"/><Relationship Id="rId68" Type="http://schemas.openxmlformats.org/officeDocument/2006/relationships/hyperlink" Target="https://static1.squarespace.com/static/5bdbb75ccef37259122e59aa/t/66457cf146940b1c7408ff26/1715830085901/Pasifika+Report_Interactive_130524.pdf" TargetMode="Externa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donaldbeasley.org.nz/assets/publications/uncrpd/Housing-for-Disabled-People-Family-Whanau-and-Close-Supporter-Perspectives.pdf" TargetMode="External"/><Relationship Id="rId11" Type="http://schemas.openxmlformats.org/officeDocument/2006/relationships/endnotes" Target="endnotes.xml"/><Relationship Id="rId24" Type="http://schemas.openxmlformats.org/officeDocument/2006/relationships/hyperlink" Target="https://thehub.sia.govt.nz/assets/documents/housing-disability-commentary.pdf" TargetMode="External"/><Relationship Id="rId32" Type="http://schemas.openxmlformats.org/officeDocument/2006/relationships/hyperlink" Target="https://storage.googleapis.com/hccproduction-web-assets/public/Uploads/Documents/Plans/Disability-Action-Plan-2022-25.pdf" TargetMode="External"/><Relationship Id="rId37" Type="http://schemas.openxmlformats.org/officeDocument/2006/relationships/hyperlink" Target="https://www.independentliving.org/files/English-Freedom-to-choose-Deinstitutionalisation-Sweden.pdf" TargetMode="External"/><Relationship Id="rId40" Type="http://schemas.openxmlformats.org/officeDocument/2006/relationships/hyperlink" Target="https://rep.infometrics.co.nz/new-zealand/income-and-housing/housing-affordability" TargetMode="External"/><Relationship Id="rId45" Type="http://schemas.openxmlformats.org/officeDocument/2006/relationships/hyperlink" Target="https://bmcpublichealth.biomedcentral.com/articles/10.1186/s12889-023-16844-9" TargetMode="External"/><Relationship Id="rId53" Type="http://schemas.openxmlformats.org/officeDocument/2006/relationships/hyperlink" Target="https://www.oecd.org/content/dam/oecd/en/publications/reports/2021/06/crisis-on-the-horizon-ensuring-affordable-accessible-housing-for-people-with-disabilities_9293d1e4/40e857a1-en.pdf" TargetMode="External"/><Relationship Id="rId58" Type="http://schemas.openxmlformats.org/officeDocument/2006/relationships/hyperlink" Target="https://www.stats.govt.nz/information-releases/2023-census-severe-housing-deprivation-homelessness-estimates/." TargetMode="External"/><Relationship Id="rId66" Type="http://schemas.openxmlformats.org/officeDocument/2006/relationships/hyperlink" Target="https://social.desa.un.org/issues/disability/crpd/convention-on-the-rights-of-persons-with-disabilities-crpd" TargetMode="External"/><Relationship Id="rId5" Type="http://schemas.openxmlformats.org/officeDocument/2006/relationships/customXml" Target="../customXml/item5.xml"/><Relationship Id="rId61" Type="http://schemas.openxmlformats.org/officeDocument/2006/relationships/hyperlink" Target="https://www.stats.govt.nz/reports/measuring-inequality-for-disabled-new-zealanders-2018" TargetMode="External"/><Relationship Id="rId19" Type="http://schemas.openxmlformats.org/officeDocument/2006/relationships/header" Target="header3.xml"/><Relationship Id="rId14" Type="http://schemas.openxmlformats.org/officeDocument/2006/relationships/hyperlink" Target="https://www.massaccesshousingregistry.org/" TargetMode="External"/><Relationship Id="rId22" Type="http://schemas.openxmlformats.org/officeDocument/2006/relationships/hyperlink" Target="https://www.buildmagazine.org.nz/assets/PDF/Build-186-84-LBP-Knowledge-Future-Proof-Buildings-Good-For-All.pdf?." TargetMode="External"/><Relationship Id="rId27" Type="http://schemas.openxmlformats.org/officeDocument/2006/relationships/hyperlink" Target="https://mspgh.unimelb.edu.au/centres-institutes/nossal-institute-for-global-health/Disability-Equity-and-Rights/transforming-lives-deinstitutionalisation-for-people-with-disabilities" TargetMode="External"/><Relationship Id="rId30" Type="http://schemas.openxmlformats.org/officeDocument/2006/relationships/hyperlink" Target="https://www.donaldbeasley.org.nz/assets/projects/UNCRPD/My-Experiences-My-Rights-A-Monitoring-Report-on-Disabled-Persons-Experience-of-Housing-in-Aotearoa-New-Zealand/My-Experiences-My-Rights-A-Monitoring-Report-on-Disabled-Persons-Experience-of-Housing-in-Aotearoa-New-Zealand.pdf" TargetMode="External"/><Relationship Id="rId35" Type="http://schemas.openxmlformats.org/officeDocument/2006/relationships/hyperlink" Target="https://tikatangata.org.nz/human-rights-in-aotearoa/right-to-housing" TargetMode="External"/><Relationship Id="rId43" Type="http://schemas.openxmlformats.org/officeDocument/2006/relationships/hyperlink" Target="https://www.stuff.co.nz/home-property/360496363/upper-hutt-development-space-disabled-folks-can-call-home" TargetMode="External"/><Relationship Id="rId48" Type="http://schemas.openxmlformats.org/officeDocument/2006/relationships/hyperlink" Target="https://www.hud.govt.nz/stats-and-insights/system-indicators/data-available-for-whanau-maori-pacific-peoples-and-people-with-disabilities" TargetMode="External"/><Relationship Id="rId56" Type="http://schemas.openxmlformats.org/officeDocument/2006/relationships/hyperlink" Target="https://www.abuseincare.org.nz/reports/whanaketia" TargetMode="External"/><Relationship Id="rId64" Type="http://schemas.openxmlformats.org/officeDocument/2006/relationships/hyperlink" Target="https://www.tpk.govt.nz/en/nga-putea-me-nga-ratonga/maori-housing-support/what-funding-is-available" TargetMode="External"/><Relationship Id="rId69" Type="http://schemas.openxmlformats.org/officeDocument/2006/relationships/header" Target="header4.xml"/><Relationship Id="rId8" Type="http://schemas.openxmlformats.org/officeDocument/2006/relationships/settings" Target="settings.xml"/><Relationship Id="rId51" Type="http://schemas.openxmlformats.org/officeDocument/2006/relationships/hyperlink" Target="https://nzdsn.org.nz/wp-content/uploads/2022/11/20221109-Housing-paper.pdf" TargetMode="External"/><Relationship Id="rId3" Type="http://schemas.openxmlformats.org/officeDocument/2006/relationships/customXml" Target="../customXml/item3.xml"/><Relationship Id="rId12" Type="http://schemas.openxmlformats.org/officeDocument/2006/relationships/hyperlink" Target="https://byggforalle.no/" TargetMode="External"/><Relationship Id="rId17" Type="http://schemas.openxmlformats.org/officeDocument/2006/relationships/header" Target="header2.xml"/><Relationship Id="rId25" Type="http://schemas.openxmlformats.org/officeDocument/2006/relationships/hyperlink" Target="https://assets.retirement.govt.nz/public/Uploads/Sorted-Kainga-Ora-Evaluation-2024.pdf" TargetMode="External"/><Relationship Id="rId33" Type="http://schemas.openxmlformats.org/officeDocument/2006/relationships/hyperlink" Target="https://committees.parliament.uk/publications/45020/documents/223326/default/." TargetMode="External"/><Relationship Id="rId38" Type="http://schemas.openxmlformats.org/officeDocument/2006/relationships/hyperlink" Target="https://www.ombudsman.parliament.nz/sites/default/files/2021-11/Making%20Disability%20Rights%20Real%202014%20to%202019.pdf" TargetMode="External"/><Relationship Id="rId46" Type="http://schemas.openxmlformats.org/officeDocument/2006/relationships/hyperlink" Target="https://www.whaikaha.govt.nz/assets/EMS-Service-Provider-Documents/Housing-modifications-manual.pdf" TargetMode="External"/><Relationship Id="rId59" Type="http://schemas.openxmlformats.org/officeDocument/2006/relationships/hyperlink" Target="https://www.stats.govt.nz/information-releases/child-poverty-statistics-year-ended-june-2024/" TargetMode="External"/><Relationship Id="rId67" Type="http://schemas.openxmlformats.org/officeDocument/2006/relationships/hyperlink" Target="https://www.un.org/en/about-us/universal-declaration-of-human-rights" TargetMode="External"/><Relationship Id="rId20" Type="http://schemas.openxmlformats.org/officeDocument/2006/relationships/footer" Target="footer2.xml"/><Relationship Id="rId41" Type="http://schemas.openxmlformats.org/officeDocument/2006/relationships/hyperlink" Target="https://kaingaora.govt.nz/assets/Publications/Design-Guidelines/Masterplanning-for-Universal-Design.pdf" TargetMode="External"/><Relationship Id="rId54" Type="http://schemas.openxmlformats.org/officeDocument/2006/relationships/hyperlink" Target="https://www.buildmagazine.org.nz/assets/PDF/Build-172-6-Opinion-It%27s-Universal-Design%27s-Time.pdf" TargetMode="External"/><Relationship Id="rId62" Type="http://schemas.openxmlformats.org/officeDocument/2006/relationships/hyperlink" Target="https://www.stats.govt.nz/information-releases/wellbeing-statistics-2023/"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housinglink.org/" TargetMode="External"/><Relationship Id="rId23" Type="http://schemas.openxmlformats.org/officeDocument/2006/relationships/hyperlink" Target="https://d39d3mj7qio96p.cloudfront.net/media/documents/SR263_Lifetime_housing_-_the_value_case.pdf" TargetMode="External"/><Relationship Id="rId28" Type="http://schemas.openxmlformats.org/officeDocument/2006/relationships/hyperlink" Target="https://disabilityconnect.org.nz/wp-content/uploads/where-will-we-live-in-the-future.pdf" TargetMode="External"/><Relationship Id="rId36" Type="http://schemas.openxmlformats.org/officeDocument/2006/relationships/hyperlink" Target="https://tikatangata.org.nz/news/shortage-of-accessible-homes-a-human-rights-deficit" TargetMode="External"/><Relationship Id="rId49" Type="http://schemas.openxmlformats.org/officeDocument/2006/relationships/hyperlink" Target="https://www.hud.govt.nz/our-focus/housing-for-by-and-with-maori" TargetMode="External"/><Relationship Id="rId57" Type="http://schemas.openxmlformats.org/officeDocument/2006/relationships/hyperlink" Target="https://cresa.co.nz/wp-content/uploads/2020/12/working-paper-2.pdf" TargetMode="External"/><Relationship Id="rId10" Type="http://schemas.openxmlformats.org/officeDocument/2006/relationships/footnotes" Target="footnotes.xml"/><Relationship Id="rId31" Type="http://schemas.openxmlformats.org/officeDocument/2006/relationships/hyperlink" Target="https://firstport.co.nz/items/celebrating-accessibility-marae" TargetMode="External"/><Relationship Id="rId44" Type="http://schemas.openxmlformats.org/officeDocument/2006/relationships/hyperlink" Target="https://www.lifemark.co.nz/our-design-standards/case-studies/article/case-study-housing-incentives-that-work" TargetMode="External"/><Relationship Id="rId52" Type="http://schemas.openxmlformats.org/officeDocument/2006/relationships/hyperlink" Target="https://www.economist.com/asia/2022/02/12/new-zealands-housing-crisis-is-worsening" TargetMode="External"/><Relationship Id="rId60" Type="http://schemas.openxmlformats.org/officeDocument/2006/relationships/hyperlink" Target="https://www.stats.govt.nz/information-releases/disability-statistics-2023" TargetMode="External"/><Relationship Id="rId65" Type="http://schemas.openxmlformats.org/officeDocument/2006/relationships/hyperlink" Target="https://assets.publishing.service.gov.uk/media/5a7f8a82ed915d74e622b17b/BR_PDF_AD_M1_2015_with_2016_amendments_V3.pdf"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home2fit.org.uk/" TargetMode="External"/><Relationship Id="rId18" Type="http://schemas.openxmlformats.org/officeDocument/2006/relationships/footer" Target="footer1.xml"/><Relationship Id="rId39" Type="http://schemas.openxmlformats.org/officeDocument/2006/relationships/hyperlink" Target="https://rep.infometrics.co.nz/new-zealand/income-and-housing/average-rent" TargetMode="External"/><Relationship Id="rId34" Type="http://schemas.openxmlformats.org/officeDocument/2006/relationships/hyperlink" Target="https://www.healthyhousing.org.nz/sites/default/files/2021-11/HowdenChapman_etal_Housing_Health_Wellbeing.pdf" TargetMode="External"/><Relationship Id="rId50" Type="http://schemas.openxmlformats.org/officeDocument/2006/relationships/hyperlink" Target="https://committees.parliament.uk/writtenevidence/124834/html/." TargetMode="External"/><Relationship Id="rId55" Type="http://schemas.openxmlformats.org/officeDocument/2006/relationships/hyperlink" Target="https://pmc.ncbi.nlm.nih.gov/articles/PMC8085632/pdf/BLT.20.263285.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stats.govt.nz/information-releases/disability-statistics-2023" TargetMode="External"/><Relationship Id="rId18" Type="http://schemas.openxmlformats.org/officeDocument/2006/relationships/hyperlink" Target="https://www.workandincome.govt.nz/map/social-housing/assessment-of-eligibility/fast-track-provision.html" TargetMode="External"/><Relationship Id="rId26" Type="http://schemas.openxmlformats.org/officeDocument/2006/relationships/hyperlink" Target="https://www.flourishingtogether.co.nz/about-the-research" TargetMode="External"/><Relationship Id="rId39" Type="http://schemas.openxmlformats.org/officeDocument/2006/relationships/hyperlink" Target="https://www.tpk.govt.nz/en/nga-putea-me-nga-ratonga/maori-housing-support/supporting-new-homes-and-papakainga" TargetMode="External"/><Relationship Id="rId21" Type="http://schemas.openxmlformats.org/officeDocument/2006/relationships/hyperlink" Target="https://www.tpk.govt.nz/en/nga-putea-me-nga-ratonga/maori-housing-support/what-funding-is-available" TargetMode="External"/><Relationship Id="rId34" Type="http://schemas.openxmlformats.org/officeDocument/2006/relationships/hyperlink" Target="https://www.msd.govt.nz/documents/about-msd-and-our-work/publications-resources/statistics/housing/monthly-housing-update/2025/monthly-housing-report-february-2025.pdf" TargetMode="External"/><Relationship Id="rId7" Type="http://schemas.openxmlformats.org/officeDocument/2006/relationships/hyperlink" Target="https://www.stats.govt.nz/information-releases/2023-census-severe-housing-deprivation-homelessness-estimates/" TargetMode="External"/><Relationship Id="rId12" Type="http://schemas.openxmlformats.org/officeDocument/2006/relationships/hyperlink" Target="https://www.rbnz.govt.nz/monetary-policy/about-monetary-policy/inflation-calculator" TargetMode="External"/><Relationship Id="rId17" Type="http://schemas.openxmlformats.org/officeDocument/2006/relationships/hyperlink" Target="https://www.workandincome.govt.nz/map/social-housing/assessment-of-eligibility/assessment-of-housing-need-01.html" TargetMode="External"/><Relationship Id="rId25" Type="http://schemas.openxmlformats.org/officeDocument/2006/relationships/hyperlink" Target="https://chra.hud.govt.nz/." TargetMode="External"/><Relationship Id="rId33" Type="http://schemas.openxmlformats.org/officeDocument/2006/relationships/hyperlink" Target="https://www.hud.govt.nz/stats-and-insights/the-government-housing-dashboard/transitional-housing" TargetMode="External"/><Relationship Id="rId38" Type="http://schemas.openxmlformats.org/officeDocument/2006/relationships/hyperlink" Target="https://www.hud.govt.nz/our-focus/our-maihi-approach" TargetMode="External"/><Relationship Id="rId2" Type="http://schemas.openxmlformats.org/officeDocument/2006/relationships/hyperlink" Target="https://social.desa.un.org/issues/disability/crpd/convention-on-the-rights-of-persons-with-disabilities-crpd" TargetMode="External"/><Relationship Id="rId16" Type="http://schemas.openxmlformats.org/officeDocument/2006/relationships/hyperlink" Target="https://www.msd.govt.nz/documents/about-msd-and-our-work/publications-resources/statistics/housing/monthly-housing-update/2024/monthly-housing-report-december-2024.pdf" TargetMode="External"/><Relationship Id="rId20" Type="http://schemas.openxmlformats.org/officeDocument/2006/relationships/hyperlink" Target="https://www.tpk.govt.nz/en/nga-putea-me-nga-ratonga/maori-housing-support/repairs-to-whanau-owned-homes" TargetMode="External"/><Relationship Id="rId29" Type="http://schemas.openxmlformats.org/officeDocument/2006/relationships/hyperlink" Target="https://www1.bca.gov.sg/regulatory-info/building-control/universal-design-and-friendly-buildings/universal-design-index" TargetMode="External"/><Relationship Id="rId1" Type="http://schemas.openxmlformats.org/officeDocument/2006/relationships/hyperlink" Target="https://www.un.org/en/about-us/universal-declaration-of-human-rights" TargetMode="External"/><Relationship Id="rId6" Type="http://schemas.openxmlformats.org/officeDocument/2006/relationships/hyperlink" Target="https://www.stats.govt.nz/information-releases/wellbeing-statistics-2023/" TargetMode="External"/><Relationship Id="rId11" Type="http://schemas.openxmlformats.org/officeDocument/2006/relationships/hyperlink" Target="https://rep.infometrics.co.nz/new-zealand/income-and-housing/average-rent" TargetMode="External"/><Relationship Id="rId24" Type="http://schemas.openxmlformats.org/officeDocument/2006/relationships/hyperlink" Target="https://www.lifemark.co.nz/our-design-standards/case-studies/article/case-study-housing-incentives-that-work" TargetMode="External"/><Relationship Id="rId32" Type="http://schemas.openxmlformats.org/officeDocument/2006/relationships/hyperlink" Target="https://d39d3mj7qio96p.cloudfront.net/media/documents/SR263_Lifetime_housing_-_the_value_case.pdf" TargetMode="External"/><Relationship Id="rId37" Type="http://schemas.openxmlformats.org/officeDocument/2006/relationships/hyperlink" Target="https://www.tpk.govt.nz/en/nga-putea-me-nga-ratonga/maori-housing-support/financial-capability-programmes-sorted-kainga-ora" TargetMode="External"/><Relationship Id="rId5" Type="http://schemas.openxmlformats.org/officeDocument/2006/relationships/hyperlink" Target="https://www.hud.govt.nz/stats-and-insights/system-indicators/data-available-for-whanau-maori-pacific-peoples-and-people-with-disabilities" TargetMode="External"/><Relationship Id="rId15" Type="http://schemas.openxmlformats.org/officeDocument/2006/relationships/hyperlink" Target="https://www.whaikaha.govt.nz/news/news/17-percent-of-new-zealanders-are-disabled" TargetMode="External"/><Relationship Id="rId23" Type="http://schemas.openxmlformats.org/officeDocument/2006/relationships/hyperlink" Target="https://www.tauranga.govt.nz/Portals/0/data/council/strategies/files/accessible-tauranga-aip.pdf" TargetMode="External"/><Relationship Id="rId28" Type="http://schemas.openxmlformats.org/officeDocument/2006/relationships/hyperlink" Target="https://www.hud.govt.nz/our-focus/housing-for-by-and-with-maori" TargetMode="External"/><Relationship Id="rId36" Type="http://schemas.openxmlformats.org/officeDocument/2006/relationships/hyperlink" Target="https://www.mpp.govt.nz/programmes/pacific-housing-initiative/" TargetMode="External"/><Relationship Id="rId10" Type="http://schemas.openxmlformats.org/officeDocument/2006/relationships/hyperlink" Target="https://rep.infometrics.co.nz/new-zealand/income-and-housing/housing-affordability" TargetMode="External"/><Relationship Id="rId19" Type="http://schemas.openxmlformats.org/officeDocument/2006/relationships/hyperlink" Target="https://kaingaora.govt.nz/en_NZ/about-us/accessibility-at-kainga-ora/disabled-customer-working-group/" TargetMode="External"/><Relationship Id="rId31" Type="http://schemas.openxmlformats.org/officeDocument/2006/relationships/hyperlink" Target="https://www.gov.uk/government/publications/guide-to-the-renters-rights-bill/82ffc7fb-64b0-4af5-a72e-c24701a5f12a" TargetMode="External"/><Relationship Id="rId4" Type="http://schemas.openxmlformats.org/officeDocument/2006/relationships/hyperlink" Target="https://www.hud.govt.nz/stats-and-insights/system-indicators/data-available-for-whanau-maori-pacific-peoples-and-people-with-disabilities" TargetMode="External"/><Relationship Id="rId9" Type="http://schemas.openxmlformats.org/officeDocument/2006/relationships/hyperlink" Target="https://www.whaikaha.govt.nz/news/news/labour-market-statistics-for-disabled-people-june-2024-quarter" TargetMode="External"/><Relationship Id="rId14" Type="http://schemas.openxmlformats.org/officeDocument/2006/relationships/hyperlink" Target="https://www.abuseincare.org.nz/reports/whanaketia/preliminaries/recommendations/" TargetMode="External"/><Relationship Id="rId22" Type="http://schemas.openxmlformats.org/officeDocument/2006/relationships/hyperlink" Target="https://communitylaw.org.nz/community-law-manual/test/social-housing-tenants-in-state-and-community-housing/" TargetMode="External"/><Relationship Id="rId27" Type="http://schemas.openxmlformats.org/officeDocument/2006/relationships/hyperlink" Target="https://www.lifemark.co.nz/our-design-standards" TargetMode="External"/><Relationship Id="rId30" Type="http://schemas.openxmlformats.org/officeDocument/2006/relationships/hyperlink" Target="https://www.housing.qld.gov.au/news-publications/strategies-plans/building-plan/areas-of-reform/livable-housing-design-standard" TargetMode="External"/><Relationship Id="rId35" Type="http://schemas.openxmlformats.org/officeDocument/2006/relationships/hyperlink" Target="https://www.hud.govt.nz/assets/Uploads/Documents/Rotorua-Temporary-Housing-Dashboard/2025/Rotorua-Temporary-Housing-Dashboard-February-2025-V2.pdf" TargetMode="External"/><Relationship Id="rId8" Type="http://schemas.openxmlformats.org/officeDocument/2006/relationships/hyperlink" Target="https://explore.data.stats.govt.nz/vis?tm=housing%20deprivation&amp;pg=0&amp;hc%5b2023%20Census%5d=Housing&amp;snb=5&amp;df%5bds%5d=ds-nsiws-disseminate&amp;df%5bid%5d=CEN23_HOU_102&amp;df%5bag%5d=STATSNZ&amp;df%5bvs%5d=1.0&amp;dq=2018%2B2023..00%2B01%2B999.999.99.99&amp;ly%5brw%5d=CEN23_HUD_003&amp;ly%5bcl%5d=CEN23_YEAR_001%2CCEN23_ACT_002&amp;to%5bTIME%5d=false" TargetMode="External"/><Relationship Id="rId3" Type="http://schemas.openxmlformats.org/officeDocument/2006/relationships/hyperlink" Target="https://tikatangata.org.nz/human-rights-in-aotearoa/right-to-housin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cf3d60de-ad45-4276-8b4c-0bd67e763f11">PSGID-1792574269-15478</_dlc_DocId>
    <_dlc_DocIdUrl xmlns="cf3d60de-ad45-4276-8b4c-0bd67e763f11">
      <Url>https://msdgovtnz.sharepoint.com/sites/whaikaha-ORG-Whaikaha---ODI/_layouts/15/DocIdRedir.aspx?ID=PSGID-1792574269-15478</Url>
      <Description>PSGID-1792574269-15478</Description>
    </_dlc_DocIdUrl>
    <TaxCatchAll xmlns="cf3d60de-ad45-4276-8b4c-0bd67e763f11">
      <Value>19</Value>
    </TaxCatchAll>
    <lcf76f155ced4ddcb4097134ff3c332f xmlns="6bf56950-f9e0-48ec-868e-26a1022d1140">
      <Terms xmlns="http://schemas.microsoft.com/office/infopath/2007/PartnerControls"/>
    </lcf76f155ced4ddcb4097134ff3c332f>
    <i0f84bba906045b4af568ee102a52dcb xmlns="cf3d60de-ad45-4276-8b4c-0bd67e763f11">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Youtubecode xmlns="6bf56950-f9e0-48ec-868e-26a1022d1140" xsi:nil="true"/>
    <Reviewed xmlns="6bf56950-f9e0-48ec-868e-26a1022d1140">true</Reviewed>
    <Relationto4Rs xmlns="6bf56950-f9e0-48ec-868e-26a1022d1140"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MDP Document" ma:contentTypeID="0x010100A4C634B9829F5B4CA6729CA17A9903AF00EA4A5CE51E2E484B8094BDA55C1C60E0" ma:contentTypeVersion="26" ma:contentTypeDescription="Accommodates MDP specific document metadata" ma:contentTypeScope="" ma:versionID="1d17759e4ca41417838bb83ddfdeec18">
  <xsd:schema xmlns:xsd="http://www.w3.org/2001/XMLSchema" xmlns:xs="http://www.w3.org/2001/XMLSchema" xmlns:p="http://schemas.microsoft.com/office/2006/metadata/properties" xmlns:ns1="http://schemas.microsoft.com/sharepoint/v3" xmlns:ns2="cf3d60de-ad45-4276-8b4c-0bd67e763f11" xmlns:ns3="6bf56950-f9e0-48ec-868e-26a1022d1140" targetNamespace="http://schemas.microsoft.com/office/2006/metadata/properties" ma:root="true" ma:fieldsID="502f28f78a13a742beebc04dbf7fa55f" ns1:_="" ns2:_="" ns3:_="">
    <xsd:import namespace="http://schemas.microsoft.com/sharepoint/v3"/>
    <xsd:import namespace="cf3d60de-ad45-4276-8b4c-0bd67e763f11"/>
    <xsd:import namespace="6bf56950-f9e0-48ec-868e-26a1022d114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2:SharedWithUsers" minOccurs="0"/>
                <xsd:element ref="ns2:SharedWithDetail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DateTaken" minOccurs="0"/>
                <xsd:element ref="ns3:MediaLengthInSeconds" minOccurs="0"/>
                <xsd:element ref="ns3:MediaServiceLocation" minOccurs="0"/>
                <xsd:element ref="ns3:Relationto4Rs" minOccurs="0"/>
                <xsd:element ref="ns3:Youtubecode" minOccurs="0"/>
                <xsd:element ref="ns3:Reviewed"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3d60de-ad45-4276-8b4c-0bd67e763f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81c9f13-c285-45ba-9d86-0746677c7d5d}" ma:internalName="TaxCatchAll" ma:showField="CatchAllData" ma:web="cf3d60de-ad45-4276-8b4c-0bd67e763f1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32"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bf56950-f9e0-48ec-868e-26a1022d114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Relationto4Rs" ma:index="28" nillable="true" ma:displayName="Relation to 4 Rs" ma:format="Dropdown" ma:internalName="Relationto4Rs">
      <xsd:simpleType>
        <xsd:restriction base="dms:Note">
          <xsd:maxLength value="255"/>
        </xsd:restriction>
      </xsd:simpleType>
    </xsd:element>
    <xsd:element name="Youtubecode" ma:index="29" nillable="true" ma:displayName="Youtube code" ma:format="Dropdown" ma:internalName="Youtubecode">
      <xsd:simpleType>
        <xsd:restriction base="dms:Text">
          <xsd:maxLength value="255"/>
        </xsd:restriction>
      </xsd:simpleType>
    </xsd:element>
    <xsd:element name="Reviewed" ma:index="30" nillable="true" ma:displayName="Reviewed" ma:default="1" ma:format="Dropdown" ma:internalName="Review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5D2D0E-7FFA-4B97-9543-B4B8F13C0CE5}">
  <ds:schemaRefs>
    <ds:schemaRef ds:uri="http://schemas.microsoft.com/sharepoint/v3/contenttype/forms"/>
  </ds:schemaRefs>
</ds:datastoreItem>
</file>

<file path=customXml/itemProps2.xml><?xml version="1.0" encoding="utf-8"?>
<ds:datastoreItem xmlns:ds="http://schemas.openxmlformats.org/officeDocument/2006/customXml" ds:itemID="{D0493179-9B30-4A65-9A5B-7D7392AD35F1}">
  <ds:schemaRefs>
    <ds:schemaRef ds:uri="http://schemas.microsoft.com/office/2006/metadata/properties"/>
    <ds:schemaRef ds:uri="http://schemas.microsoft.com/office/infopath/2007/PartnerControls"/>
    <ds:schemaRef ds:uri="http://schemas.microsoft.com/sharepoint/v3"/>
    <ds:schemaRef ds:uri="cf3d60de-ad45-4276-8b4c-0bd67e763f11"/>
    <ds:schemaRef ds:uri="6bf56950-f9e0-48ec-868e-26a1022d1140"/>
  </ds:schemaRefs>
</ds:datastoreItem>
</file>

<file path=customXml/itemProps3.xml><?xml version="1.0" encoding="utf-8"?>
<ds:datastoreItem xmlns:ds="http://schemas.openxmlformats.org/officeDocument/2006/customXml" ds:itemID="{C6E088E3-384F-471F-8B55-A6B89C8962CF}">
  <ds:schemaRefs>
    <ds:schemaRef ds:uri="http://schemas.microsoft.com/sharepoint/events"/>
  </ds:schemaRefs>
</ds:datastoreItem>
</file>

<file path=customXml/itemProps4.xml><?xml version="1.0" encoding="utf-8"?>
<ds:datastoreItem xmlns:ds="http://schemas.openxmlformats.org/officeDocument/2006/customXml" ds:itemID="{C399484D-2C09-48C6-ADCE-9D344F54A428}">
  <ds:schemaRefs>
    <ds:schemaRef ds:uri="http://schemas.openxmlformats.org/officeDocument/2006/bibliography"/>
  </ds:schemaRefs>
</ds:datastoreItem>
</file>

<file path=customXml/itemProps5.xml><?xml version="1.0" encoding="utf-8"?>
<ds:datastoreItem xmlns:ds="http://schemas.openxmlformats.org/officeDocument/2006/customXml" ds:itemID="{859BF68C-82DB-4EEC-9680-E5624AACE4CD}"/>
</file>

<file path=docProps/app.xml><?xml version="1.0" encoding="utf-8"?>
<Properties xmlns="http://schemas.openxmlformats.org/officeDocument/2006/extended-properties" xmlns:vt="http://schemas.openxmlformats.org/officeDocument/2006/docPropsVTypes">
  <Template>Normal.dotm</Template>
  <TotalTime>81</TotalTime>
  <Pages>69</Pages>
  <Words>11364</Words>
  <Characters>70009</Characters>
  <Application>Microsoft Office Word</Application>
  <DocSecurity>0</DocSecurity>
  <Lines>1489</Lines>
  <Paragraphs>435</Paragraphs>
  <ScaleCrop>false</ScaleCrop>
  <HeadingPairs>
    <vt:vector size="2" baseType="variant">
      <vt:variant>
        <vt:lpstr>Title</vt:lpstr>
      </vt:variant>
      <vt:variant>
        <vt:i4>1</vt:i4>
      </vt:variant>
    </vt:vector>
  </HeadingPairs>
  <TitlesOfParts>
    <vt:vector size="1" baseType="lpstr">
      <vt:lpstr>Policy - Report</vt:lpstr>
    </vt:vector>
  </TitlesOfParts>
  <Company>Ministry Of Social Development</Company>
  <LinksUpToDate>false</LinksUpToDate>
  <CharactersWithSpaces>80938</CharactersWithSpaces>
  <SharedDoc>false</SharedDoc>
  <HLinks>
    <vt:vector size="546" baseType="variant">
      <vt:variant>
        <vt:i4>7667827</vt:i4>
      </vt:variant>
      <vt:variant>
        <vt:i4>153</vt:i4>
      </vt:variant>
      <vt:variant>
        <vt:i4>0</vt:i4>
      </vt:variant>
      <vt:variant>
        <vt:i4>5</vt:i4>
      </vt:variant>
      <vt:variant>
        <vt:lpwstr>https://static1.squarespace.com/static/5bdbb75ccef37259122e59aa/t/66457cf146940b1c7408ff26/1715830085901/Pasifika+Report_Interactive_130524.pdf</vt:lpwstr>
      </vt:variant>
      <vt:variant>
        <vt:lpwstr/>
      </vt:variant>
      <vt:variant>
        <vt:i4>4325391</vt:i4>
      </vt:variant>
      <vt:variant>
        <vt:i4>150</vt:i4>
      </vt:variant>
      <vt:variant>
        <vt:i4>0</vt:i4>
      </vt:variant>
      <vt:variant>
        <vt:i4>5</vt:i4>
      </vt:variant>
      <vt:variant>
        <vt:lpwstr>https://www.un.org/en/about-us/universal-declaration-of-human-rights</vt:lpwstr>
      </vt:variant>
      <vt:variant>
        <vt:lpwstr/>
      </vt:variant>
      <vt:variant>
        <vt:i4>1638406</vt:i4>
      </vt:variant>
      <vt:variant>
        <vt:i4>147</vt:i4>
      </vt:variant>
      <vt:variant>
        <vt:i4>0</vt:i4>
      </vt:variant>
      <vt:variant>
        <vt:i4>5</vt:i4>
      </vt:variant>
      <vt:variant>
        <vt:lpwstr>https://social.desa.un.org/issues/disability/crpd/convention-on-the-rights-of-persons-with-disabilities-crpd</vt:lpwstr>
      </vt:variant>
      <vt:variant>
        <vt:lpwstr/>
      </vt:variant>
      <vt:variant>
        <vt:i4>7274605</vt:i4>
      </vt:variant>
      <vt:variant>
        <vt:i4>144</vt:i4>
      </vt:variant>
      <vt:variant>
        <vt:i4>0</vt:i4>
      </vt:variant>
      <vt:variant>
        <vt:i4>5</vt:i4>
      </vt:variant>
      <vt:variant>
        <vt:lpwstr>https://assets.publishing.service.gov.uk/media/5a7f8a82ed915d74e622b17b/BR_PDF_AD_M1_2015_with_2016_amendments_V3.pdf</vt:lpwstr>
      </vt:variant>
      <vt:variant>
        <vt:lpwstr/>
      </vt:variant>
      <vt:variant>
        <vt:i4>7405616</vt:i4>
      </vt:variant>
      <vt:variant>
        <vt:i4>141</vt:i4>
      </vt:variant>
      <vt:variant>
        <vt:i4>0</vt:i4>
      </vt:variant>
      <vt:variant>
        <vt:i4>5</vt:i4>
      </vt:variant>
      <vt:variant>
        <vt:lpwstr>https://www.tpk.govt.nz/en/nga-putea-me-nga-ratonga/maori-housing-support/what-funding-is-available</vt:lpwstr>
      </vt:variant>
      <vt:variant>
        <vt:lpwstr/>
      </vt:variant>
      <vt:variant>
        <vt:i4>5570633</vt:i4>
      </vt:variant>
      <vt:variant>
        <vt:i4>138</vt:i4>
      </vt:variant>
      <vt:variant>
        <vt:i4>0</vt:i4>
      </vt:variant>
      <vt:variant>
        <vt:i4>5</vt:i4>
      </vt:variant>
      <vt:variant>
        <vt:lpwstr>https://www.tpk.govt.nz/en/mo-te-puni-kokiri/corporate-documents/corporate-publications/annual-reports/purongoatau-annual-report-2024</vt:lpwstr>
      </vt:variant>
      <vt:variant>
        <vt:lpwstr/>
      </vt:variant>
      <vt:variant>
        <vt:i4>5439500</vt:i4>
      </vt:variant>
      <vt:variant>
        <vt:i4>135</vt:i4>
      </vt:variant>
      <vt:variant>
        <vt:i4>0</vt:i4>
      </vt:variant>
      <vt:variant>
        <vt:i4>5</vt:i4>
      </vt:variant>
      <vt:variant>
        <vt:lpwstr>https://www.stats.govt.nz/information-releases/wellbeing-statistics-2023/</vt:lpwstr>
      </vt:variant>
      <vt:variant>
        <vt:lpwstr/>
      </vt:variant>
      <vt:variant>
        <vt:i4>3604598</vt:i4>
      </vt:variant>
      <vt:variant>
        <vt:i4>132</vt:i4>
      </vt:variant>
      <vt:variant>
        <vt:i4>0</vt:i4>
      </vt:variant>
      <vt:variant>
        <vt:i4>5</vt:i4>
      </vt:variant>
      <vt:variant>
        <vt:lpwstr>https://www.stats.govt.nz/reports/measuring-inequality-for-disabled-new-zealanders-2018</vt:lpwstr>
      </vt:variant>
      <vt:variant>
        <vt:lpwstr/>
      </vt:variant>
      <vt:variant>
        <vt:i4>5177418</vt:i4>
      </vt:variant>
      <vt:variant>
        <vt:i4>129</vt:i4>
      </vt:variant>
      <vt:variant>
        <vt:i4>0</vt:i4>
      </vt:variant>
      <vt:variant>
        <vt:i4>5</vt:i4>
      </vt:variant>
      <vt:variant>
        <vt:lpwstr>https://www.stats.govt.nz/information-releases/disability-statistics-2023</vt:lpwstr>
      </vt:variant>
      <vt:variant>
        <vt:lpwstr/>
      </vt:variant>
      <vt:variant>
        <vt:i4>1769562</vt:i4>
      </vt:variant>
      <vt:variant>
        <vt:i4>126</vt:i4>
      </vt:variant>
      <vt:variant>
        <vt:i4>0</vt:i4>
      </vt:variant>
      <vt:variant>
        <vt:i4>5</vt:i4>
      </vt:variant>
      <vt:variant>
        <vt:lpwstr>https://www.stats.govt.nz/information-releases/child-poverty-statistics-year-ended-june-2024/</vt:lpwstr>
      </vt:variant>
      <vt:variant>
        <vt:lpwstr/>
      </vt:variant>
      <vt:variant>
        <vt:i4>852037</vt:i4>
      </vt:variant>
      <vt:variant>
        <vt:i4>123</vt:i4>
      </vt:variant>
      <vt:variant>
        <vt:i4>0</vt:i4>
      </vt:variant>
      <vt:variant>
        <vt:i4>5</vt:i4>
      </vt:variant>
      <vt:variant>
        <vt:lpwstr>https://www.stats.govt.nz/information-releases/2023-census-severe-housing-deprivation-homelessness-estimates/</vt:lpwstr>
      </vt:variant>
      <vt:variant>
        <vt:lpwstr/>
      </vt:variant>
      <vt:variant>
        <vt:i4>3604606</vt:i4>
      </vt:variant>
      <vt:variant>
        <vt:i4>120</vt:i4>
      </vt:variant>
      <vt:variant>
        <vt:i4>0</vt:i4>
      </vt:variant>
      <vt:variant>
        <vt:i4>5</vt:i4>
      </vt:variant>
      <vt:variant>
        <vt:lpwstr>https://cresa.co.nz/wp-content/uploads/2020/12/working-paper-2.pdf</vt:lpwstr>
      </vt:variant>
      <vt:variant>
        <vt:lpwstr/>
      </vt:variant>
      <vt:variant>
        <vt:i4>5308506</vt:i4>
      </vt:variant>
      <vt:variant>
        <vt:i4>117</vt:i4>
      </vt:variant>
      <vt:variant>
        <vt:i4>0</vt:i4>
      </vt:variant>
      <vt:variant>
        <vt:i4>5</vt:i4>
      </vt:variant>
      <vt:variant>
        <vt:lpwstr>https://www.abuseincare.org.nz/reports/whanaketia</vt:lpwstr>
      </vt:variant>
      <vt:variant>
        <vt:lpwstr/>
      </vt:variant>
      <vt:variant>
        <vt:i4>2228336</vt:i4>
      </vt:variant>
      <vt:variant>
        <vt:i4>114</vt:i4>
      </vt:variant>
      <vt:variant>
        <vt:i4>0</vt:i4>
      </vt:variant>
      <vt:variant>
        <vt:i4>5</vt:i4>
      </vt:variant>
      <vt:variant>
        <vt:lpwstr>https://pmc.ncbi.nlm.nih.gov/articles/PMC8085632/pdf/BLT.20.263285.pdf</vt:lpwstr>
      </vt:variant>
      <vt:variant>
        <vt:lpwstr/>
      </vt:variant>
      <vt:variant>
        <vt:i4>1835074</vt:i4>
      </vt:variant>
      <vt:variant>
        <vt:i4>111</vt:i4>
      </vt:variant>
      <vt:variant>
        <vt:i4>0</vt:i4>
      </vt:variant>
      <vt:variant>
        <vt:i4>5</vt:i4>
      </vt:variant>
      <vt:variant>
        <vt:lpwstr>https://www.buildmagazine.org.nz/assets/PDF/Build-172-6-Opinion-It%27s-Universal-Design%27s-Time.pdf</vt:lpwstr>
      </vt:variant>
      <vt:variant>
        <vt:lpwstr/>
      </vt:variant>
      <vt:variant>
        <vt:i4>3932189</vt:i4>
      </vt:variant>
      <vt:variant>
        <vt:i4>108</vt:i4>
      </vt:variant>
      <vt:variant>
        <vt:i4>0</vt:i4>
      </vt:variant>
      <vt:variant>
        <vt:i4>5</vt:i4>
      </vt:variant>
      <vt:variant>
        <vt:lpwstr>https://www.oecd.org/content/dam/oecd/en/publications/reports/2021/06/crisis-on-the-horizon-ensuring-affordable-accessible-housing-for-people-with-disabilities_9293d1e4/40e857a1-en.pdf</vt:lpwstr>
      </vt:variant>
      <vt:variant>
        <vt:lpwstr/>
      </vt:variant>
      <vt:variant>
        <vt:i4>3670113</vt:i4>
      </vt:variant>
      <vt:variant>
        <vt:i4>105</vt:i4>
      </vt:variant>
      <vt:variant>
        <vt:i4>0</vt:i4>
      </vt:variant>
      <vt:variant>
        <vt:i4>5</vt:i4>
      </vt:variant>
      <vt:variant>
        <vt:lpwstr>https://www.economist.com/asia/2022/02/12/new-zealands-housing-crisis-is-worsening</vt:lpwstr>
      </vt:variant>
      <vt:variant>
        <vt:lpwstr/>
      </vt:variant>
      <vt:variant>
        <vt:i4>2424873</vt:i4>
      </vt:variant>
      <vt:variant>
        <vt:i4>102</vt:i4>
      </vt:variant>
      <vt:variant>
        <vt:i4>0</vt:i4>
      </vt:variant>
      <vt:variant>
        <vt:i4>5</vt:i4>
      </vt:variant>
      <vt:variant>
        <vt:lpwstr>https://nzdsn.org.nz/wp-content/uploads/2022/11/20221109-Housing-paper.pdf</vt:lpwstr>
      </vt:variant>
      <vt:variant>
        <vt:lpwstr/>
      </vt:variant>
      <vt:variant>
        <vt:i4>4194370</vt:i4>
      </vt:variant>
      <vt:variant>
        <vt:i4>99</vt:i4>
      </vt:variant>
      <vt:variant>
        <vt:i4>0</vt:i4>
      </vt:variant>
      <vt:variant>
        <vt:i4>5</vt:i4>
      </vt:variant>
      <vt:variant>
        <vt:lpwstr>https://committees.parliament.uk/writtenevidence/124834/html/</vt:lpwstr>
      </vt:variant>
      <vt:variant>
        <vt:lpwstr/>
      </vt:variant>
      <vt:variant>
        <vt:i4>7864426</vt:i4>
      </vt:variant>
      <vt:variant>
        <vt:i4>96</vt:i4>
      </vt:variant>
      <vt:variant>
        <vt:i4>0</vt:i4>
      </vt:variant>
      <vt:variant>
        <vt:i4>5</vt:i4>
      </vt:variant>
      <vt:variant>
        <vt:lpwstr>https://www.hud.govt.nz/our-focus/housing-for-by-and-with-maori</vt:lpwstr>
      </vt:variant>
      <vt:variant>
        <vt:lpwstr/>
      </vt:variant>
      <vt:variant>
        <vt:i4>1376282</vt:i4>
      </vt:variant>
      <vt:variant>
        <vt:i4>92</vt:i4>
      </vt:variant>
      <vt:variant>
        <vt:i4>0</vt:i4>
      </vt:variant>
      <vt:variant>
        <vt:i4>5</vt:i4>
      </vt:variant>
      <vt:variant>
        <vt:lpwstr>https://www.hud.govt.nz/stats-and-insights/system-indicators/data-available-for-whanau-maori-pacific-peoples-and-people-with-disabilities</vt:lpwstr>
      </vt:variant>
      <vt:variant>
        <vt:lpwstr/>
      </vt:variant>
      <vt:variant>
        <vt:i4>3866724</vt:i4>
      </vt:variant>
      <vt:variant>
        <vt:i4>90</vt:i4>
      </vt:variant>
      <vt:variant>
        <vt:i4>0</vt:i4>
      </vt:variant>
      <vt:variant>
        <vt:i4>5</vt:i4>
      </vt:variant>
      <vt:variant>
        <vt:lpwstr>https://www.hud.govt.nz/stats-and-insights/system-indicators/data-available-for-whanau-maori-pacific-peoples-and-people-with-disabilities</vt:lpwstr>
      </vt:variant>
      <vt:variant>
        <vt:lpwstr>:~:text=57.4%25%20of%20disabled%20people%20were,in%20an%20owner%2Doccupied%20dwelling.</vt:lpwstr>
      </vt:variant>
      <vt:variant>
        <vt:i4>6422582</vt:i4>
      </vt:variant>
      <vt:variant>
        <vt:i4>87</vt:i4>
      </vt:variant>
      <vt:variant>
        <vt:i4>0</vt:i4>
      </vt:variant>
      <vt:variant>
        <vt:i4>5</vt:i4>
      </vt:variant>
      <vt:variant>
        <vt:lpwstr>https://www.whaikaha.govt.nz/assets/EMS-Service-Provider-Documents/Housing-modifications-manual.pdf</vt:lpwstr>
      </vt:variant>
      <vt:variant>
        <vt:lpwstr/>
      </vt:variant>
      <vt:variant>
        <vt:i4>5373963</vt:i4>
      </vt:variant>
      <vt:variant>
        <vt:i4>84</vt:i4>
      </vt:variant>
      <vt:variant>
        <vt:i4>0</vt:i4>
      </vt:variant>
      <vt:variant>
        <vt:i4>5</vt:i4>
      </vt:variant>
      <vt:variant>
        <vt:lpwstr>https://bmcpublichealth.biomedcentral.com/articles/10.1186/s12889-023-16844-9</vt:lpwstr>
      </vt:variant>
      <vt:variant>
        <vt:lpwstr/>
      </vt:variant>
      <vt:variant>
        <vt:i4>1769491</vt:i4>
      </vt:variant>
      <vt:variant>
        <vt:i4>81</vt:i4>
      </vt:variant>
      <vt:variant>
        <vt:i4>0</vt:i4>
      </vt:variant>
      <vt:variant>
        <vt:i4>5</vt:i4>
      </vt:variant>
      <vt:variant>
        <vt:lpwstr>https://www.lifemark.co.nz/our-design-standards/case-studies/article/case-study-housing-incentives-that-work</vt:lpwstr>
      </vt:variant>
      <vt:variant>
        <vt:lpwstr/>
      </vt:variant>
      <vt:variant>
        <vt:i4>6094860</vt:i4>
      </vt:variant>
      <vt:variant>
        <vt:i4>78</vt:i4>
      </vt:variant>
      <vt:variant>
        <vt:i4>0</vt:i4>
      </vt:variant>
      <vt:variant>
        <vt:i4>5</vt:i4>
      </vt:variant>
      <vt:variant>
        <vt:lpwstr>https://www.stuff.co.nz/home-property/360496363/upper-hutt-development-space-disabled-folks-can-call-home</vt:lpwstr>
      </vt:variant>
      <vt:variant>
        <vt:lpwstr/>
      </vt:variant>
      <vt:variant>
        <vt:i4>1638413</vt:i4>
      </vt:variant>
      <vt:variant>
        <vt:i4>75</vt:i4>
      </vt:variant>
      <vt:variant>
        <vt:i4>0</vt:i4>
      </vt:variant>
      <vt:variant>
        <vt:i4>5</vt:i4>
      </vt:variant>
      <vt:variant>
        <vt:lpwstr>https://thehub.sia.govt.nz/assets/documents/summaryreport.pdf</vt:lpwstr>
      </vt:variant>
      <vt:variant>
        <vt:lpwstr/>
      </vt:variant>
      <vt:variant>
        <vt:i4>2555961</vt:i4>
      </vt:variant>
      <vt:variant>
        <vt:i4>72</vt:i4>
      </vt:variant>
      <vt:variant>
        <vt:i4>0</vt:i4>
      </vt:variant>
      <vt:variant>
        <vt:i4>5</vt:i4>
      </vt:variant>
      <vt:variant>
        <vt:lpwstr>https://kaingaora.govt.nz/assets/Publications/Design-Guidelines/Masterplanning-for-Universal-Design.pdf</vt:lpwstr>
      </vt:variant>
      <vt:variant>
        <vt:lpwstr/>
      </vt:variant>
      <vt:variant>
        <vt:i4>2293858</vt:i4>
      </vt:variant>
      <vt:variant>
        <vt:i4>69</vt:i4>
      </vt:variant>
      <vt:variant>
        <vt:i4>0</vt:i4>
      </vt:variant>
      <vt:variant>
        <vt:i4>5</vt:i4>
      </vt:variant>
      <vt:variant>
        <vt:lpwstr>https://rep.infometrics.co.nz/new-zealand/income-and-housing/housing-affordability</vt:lpwstr>
      </vt:variant>
      <vt:variant>
        <vt:lpwstr/>
      </vt:variant>
      <vt:variant>
        <vt:i4>4259841</vt:i4>
      </vt:variant>
      <vt:variant>
        <vt:i4>66</vt:i4>
      </vt:variant>
      <vt:variant>
        <vt:i4>0</vt:i4>
      </vt:variant>
      <vt:variant>
        <vt:i4>5</vt:i4>
      </vt:variant>
      <vt:variant>
        <vt:lpwstr>https://rep.infometrics.co.nz/new-zealand/income-and-housing/average-rent</vt:lpwstr>
      </vt:variant>
      <vt:variant>
        <vt:lpwstr/>
      </vt:variant>
      <vt:variant>
        <vt:i4>2359408</vt:i4>
      </vt:variant>
      <vt:variant>
        <vt:i4>63</vt:i4>
      </vt:variant>
      <vt:variant>
        <vt:i4>0</vt:i4>
      </vt:variant>
      <vt:variant>
        <vt:i4>5</vt:i4>
      </vt:variant>
      <vt:variant>
        <vt:lpwstr>https://www.ombudsman.parliament.nz/sites/default/files/2021-11/Making Disability Rights Real 2014 to 2019.pdf</vt:lpwstr>
      </vt:variant>
      <vt:variant>
        <vt:lpwstr/>
      </vt:variant>
      <vt:variant>
        <vt:i4>8060967</vt:i4>
      </vt:variant>
      <vt:variant>
        <vt:i4>60</vt:i4>
      </vt:variant>
      <vt:variant>
        <vt:i4>0</vt:i4>
      </vt:variant>
      <vt:variant>
        <vt:i4>5</vt:i4>
      </vt:variant>
      <vt:variant>
        <vt:lpwstr>https://www.independentliving.org/files/English-Freedom-to-choose-Deinstitutionalisation-Sweden.pdf</vt:lpwstr>
      </vt:variant>
      <vt:variant>
        <vt:lpwstr/>
      </vt:variant>
      <vt:variant>
        <vt:i4>3014695</vt:i4>
      </vt:variant>
      <vt:variant>
        <vt:i4>57</vt:i4>
      </vt:variant>
      <vt:variant>
        <vt:i4>0</vt:i4>
      </vt:variant>
      <vt:variant>
        <vt:i4>5</vt:i4>
      </vt:variant>
      <vt:variant>
        <vt:lpwstr>https://tikatangata.org.nz/news/shortage-of-accessible-homes-a-human-rights-deficit</vt:lpwstr>
      </vt:variant>
      <vt:variant>
        <vt:lpwstr/>
      </vt:variant>
      <vt:variant>
        <vt:i4>5111888</vt:i4>
      </vt:variant>
      <vt:variant>
        <vt:i4>54</vt:i4>
      </vt:variant>
      <vt:variant>
        <vt:i4>0</vt:i4>
      </vt:variant>
      <vt:variant>
        <vt:i4>5</vt:i4>
      </vt:variant>
      <vt:variant>
        <vt:lpwstr>https://tikatangata.org.nz/human-rights-in-aotearoa/right-to-housing</vt:lpwstr>
      </vt:variant>
      <vt:variant>
        <vt:lpwstr/>
      </vt:variant>
      <vt:variant>
        <vt:i4>589895</vt:i4>
      </vt:variant>
      <vt:variant>
        <vt:i4>51</vt:i4>
      </vt:variant>
      <vt:variant>
        <vt:i4>0</vt:i4>
      </vt:variant>
      <vt:variant>
        <vt:i4>5</vt:i4>
      </vt:variant>
      <vt:variant>
        <vt:lpwstr>https://www.healthyhousing.org.nz/sites/default/files/2021-11/HowdenChapman_etal_Housing_Health_Wellbeing.pdf</vt:lpwstr>
      </vt:variant>
      <vt:variant>
        <vt:lpwstr/>
      </vt:variant>
      <vt:variant>
        <vt:i4>5636122</vt:i4>
      </vt:variant>
      <vt:variant>
        <vt:i4>48</vt:i4>
      </vt:variant>
      <vt:variant>
        <vt:i4>0</vt:i4>
      </vt:variant>
      <vt:variant>
        <vt:i4>5</vt:i4>
      </vt:variant>
      <vt:variant>
        <vt:lpwstr>https://committees.parliament.uk/publications/45020/documents/223326/default/</vt:lpwstr>
      </vt:variant>
      <vt:variant>
        <vt:lpwstr/>
      </vt:variant>
      <vt:variant>
        <vt:i4>1900557</vt:i4>
      </vt:variant>
      <vt:variant>
        <vt:i4>45</vt:i4>
      </vt:variant>
      <vt:variant>
        <vt:i4>0</vt:i4>
      </vt:variant>
      <vt:variant>
        <vt:i4>5</vt:i4>
      </vt:variant>
      <vt:variant>
        <vt:lpwstr>https://storage.googleapis.com/hccproduction-web-assets/public/Uploads/Documents/Plans/Disability-Action-Plan-2022-25.pdf</vt:lpwstr>
      </vt:variant>
      <vt:variant>
        <vt:lpwstr/>
      </vt:variant>
      <vt:variant>
        <vt:i4>5767183</vt:i4>
      </vt:variant>
      <vt:variant>
        <vt:i4>42</vt:i4>
      </vt:variant>
      <vt:variant>
        <vt:i4>0</vt:i4>
      </vt:variant>
      <vt:variant>
        <vt:i4>5</vt:i4>
      </vt:variant>
      <vt:variant>
        <vt:lpwstr>https://firstport.co.nz/items/celebrating-accessibility-marae</vt:lpwstr>
      </vt:variant>
      <vt:variant>
        <vt:lpwstr/>
      </vt:variant>
      <vt:variant>
        <vt:i4>3801132</vt:i4>
      </vt:variant>
      <vt:variant>
        <vt:i4>39</vt:i4>
      </vt:variant>
      <vt:variant>
        <vt:i4>0</vt:i4>
      </vt:variant>
      <vt:variant>
        <vt:i4>5</vt:i4>
      </vt:variant>
      <vt:variant>
        <vt:lpwstr>https://www.donaldbeasley.org.nz/assets/projects/UNCRPD/My-Experiences-My-Rights-A-Monitoring-Report-on-Disabled-Persons-Experience-of-Housing-in-Aotearoa-New-Zealand/My-Experiences-My-Rights-A-Monitoring-Report-on-Disabled-Persons-Experience-of-Housing-in-Aotearoa-New-Zealand.pdf</vt:lpwstr>
      </vt:variant>
      <vt:variant>
        <vt:lpwstr/>
      </vt:variant>
      <vt:variant>
        <vt:i4>7929972</vt:i4>
      </vt:variant>
      <vt:variant>
        <vt:i4>36</vt:i4>
      </vt:variant>
      <vt:variant>
        <vt:i4>0</vt:i4>
      </vt:variant>
      <vt:variant>
        <vt:i4>5</vt:i4>
      </vt:variant>
      <vt:variant>
        <vt:lpwstr>https://www.donaldbeasley.org.nz/assets/publications/uncrpd/Housing-for-Disabled-People-Family-Whanau-and-Close-Supporter-Perspectives.pdf</vt:lpwstr>
      </vt:variant>
      <vt:variant>
        <vt:lpwstr/>
      </vt:variant>
      <vt:variant>
        <vt:i4>4718681</vt:i4>
      </vt:variant>
      <vt:variant>
        <vt:i4>33</vt:i4>
      </vt:variant>
      <vt:variant>
        <vt:i4>0</vt:i4>
      </vt:variant>
      <vt:variant>
        <vt:i4>5</vt:i4>
      </vt:variant>
      <vt:variant>
        <vt:lpwstr>https://disabilityconnect.org.nz/wp-content/uploads/where-will-we-live-in-the-future.pdf</vt:lpwstr>
      </vt:variant>
      <vt:variant>
        <vt:lpwstr/>
      </vt:variant>
      <vt:variant>
        <vt:i4>7340134</vt:i4>
      </vt:variant>
      <vt:variant>
        <vt:i4>30</vt:i4>
      </vt:variant>
      <vt:variant>
        <vt:i4>0</vt:i4>
      </vt:variant>
      <vt:variant>
        <vt:i4>5</vt:i4>
      </vt:variant>
      <vt:variant>
        <vt:lpwstr>https://mspgh.unimelb.edu.au/centres-institutes/nossal-institute-for-global-health/Disability-Equity-and-Rights/transforming-lives-deinstitutionalisation-for-people-with-disabilities</vt:lpwstr>
      </vt:variant>
      <vt:variant>
        <vt:lpwstr/>
      </vt:variant>
      <vt:variant>
        <vt:i4>7209072</vt:i4>
      </vt:variant>
      <vt:variant>
        <vt:i4>27</vt:i4>
      </vt:variant>
      <vt:variant>
        <vt:i4>0</vt:i4>
      </vt:variant>
      <vt:variant>
        <vt:i4>5</vt:i4>
      </vt:variant>
      <vt:variant>
        <vt:lpwstr>https://www.sciencedirect.com/science/article/pii/S0891422224000210</vt:lpwstr>
      </vt:variant>
      <vt:variant>
        <vt:lpwstr/>
      </vt:variant>
      <vt:variant>
        <vt:i4>7995499</vt:i4>
      </vt:variant>
      <vt:variant>
        <vt:i4>24</vt:i4>
      </vt:variant>
      <vt:variant>
        <vt:i4>0</vt:i4>
      </vt:variant>
      <vt:variant>
        <vt:i4>5</vt:i4>
      </vt:variant>
      <vt:variant>
        <vt:lpwstr>https://assets.retirement.govt.nz/public/Uploads/Sorted-Kainga-Ora-Evaluation-2024.pdf</vt:lpwstr>
      </vt:variant>
      <vt:variant>
        <vt:lpwstr/>
      </vt:variant>
      <vt:variant>
        <vt:i4>4194386</vt:i4>
      </vt:variant>
      <vt:variant>
        <vt:i4>21</vt:i4>
      </vt:variant>
      <vt:variant>
        <vt:i4>0</vt:i4>
      </vt:variant>
      <vt:variant>
        <vt:i4>5</vt:i4>
      </vt:variant>
      <vt:variant>
        <vt:lpwstr>https://thehub.sia.govt.nz/assets/documents/housing-disability-commentary.pdf</vt:lpwstr>
      </vt:variant>
      <vt:variant>
        <vt:lpwstr/>
      </vt:variant>
      <vt:variant>
        <vt:i4>3801191</vt:i4>
      </vt:variant>
      <vt:variant>
        <vt:i4>18</vt:i4>
      </vt:variant>
      <vt:variant>
        <vt:i4>0</vt:i4>
      </vt:variant>
      <vt:variant>
        <vt:i4>5</vt:i4>
      </vt:variant>
      <vt:variant>
        <vt:lpwstr>https://d39d3mj7qio96p.cloudfront.net/media/documents/SR263_Lifetime_housing_-_the_value_case.pdf</vt:lpwstr>
      </vt:variant>
      <vt:variant>
        <vt:lpwstr/>
      </vt:variant>
      <vt:variant>
        <vt:i4>4718605</vt:i4>
      </vt:variant>
      <vt:variant>
        <vt:i4>15</vt:i4>
      </vt:variant>
      <vt:variant>
        <vt:i4>0</vt:i4>
      </vt:variant>
      <vt:variant>
        <vt:i4>5</vt:i4>
      </vt:variant>
      <vt:variant>
        <vt:lpwstr>https://www.buildmagazine.org.nz/assets/PDF/Build-186-84-LBP-Knowledge-Future-Proof-Buildings-Good-For-All.pdf?.</vt:lpwstr>
      </vt:variant>
      <vt:variant>
        <vt:lpwstr/>
      </vt:variant>
      <vt:variant>
        <vt:i4>4128851</vt:i4>
      </vt:variant>
      <vt:variant>
        <vt:i4>12</vt:i4>
      </vt:variant>
      <vt:variant>
        <vt:i4>0</vt:i4>
      </vt:variant>
      <vt:variant>
        <vt:i4>5</vt:i4>
      </vt:variant>
      <vt:variant>
        <vt:lpwstr>https://static1.squarespace.com/static/5bdbb75ccef37259122e59aa/t/60c018bdd8694c4b1d8b235e/1623201984335/Youth19+Brief_Rangatahi+with+a+disability+or+chronic+condition.pdf</vt:lpwstr>
      </vt:variant>
      <vt:variant>
        <vt:lpwstr/>
      </vt:variant>
      <vt:variant>
        <vt:i4>4915289</vt:i4>
      </vt:variant>
      <vt:variant>
        <vt:i4>9</vt:i4>
      </vt:variant>
      <vt:variant>
        <vt:i4>0</vt:i4>
      </vt:variant>
      <vt:variant>
        <vt:i4>5</vt:i4>
      </vt:variant>
      <vt:variant>
        <vt:lpwstr>https://www.housinglink.org/</vt:lpwstr>
      </vt:variant>
      <vt:variant>
        <vt:lpwstr/>
      </vt:variant>
      <vt:variant>
        <vt:i4>3801141</vt:i4>
      </vt:variant>
      <vt:variant>
        <vt:i4>6</vt:i4>
      </vt:variant>
      <vt:variant>
        <vt:i4>0</vt:i4>
      </vt:variant>
      <vt:variant>
        <vt:i4>5</vt:i4>
      </vt:variant>
      <vt:variant>
        <vt:lpwstr>https://www.massaccesshousingregistry.org/</vt:lpwstr>
      </vt:variant>
      <vt:variant>
        <vt:lpwstr/>
      </vt:variant>
      <vt:variant>
        <vt:i4>131079</vt:i4>
      </vt:variant>
      <vt:variant>
        <vt:i4>3</vt:i4>
      </vt:variant>
      <vt:variant>
        <vt:i4>0</vt:i4>
      </vt:variant>
      <vt:variant>
        <vt:i4>5</vt:i4>
      </vt:variant>
      <vt:variant>
        <vt:lpwstr>https://www.home2fit.org.uk/</vt:lpwstr>
      </vt:variant>
      <vt:variant>
        <vt:lpwstr/>
      </vt:variant>
      <vt:variant>
        <vt:i4>2883638</vt:i4>
      </vt:variant>
      <vt:variant>
        <vt:i4>0</vt:i4>
      </vt:variant>
      <vt:variant>
        <vt:i4>0</vt:i4>
      </vt:variant>
      <vt:variant>
        <vt:i4>5</vt:i4>
      </vt:variant>
      <vt:variant>
        <vt:lpwstr>https://byggforalle.no/</vt:lpwstr>
      </vt:variant>
      <vt:variant>
        <vt:lpwstr/>
      </vt:variant>
      <vt:variant>
        <vt:i4>4915292</vt:i4>
      </vt:variant>
      <vt:variant>
        <vt:i4>114</vt:i4>
      </vt:variant>
      <vt:variant>
        <vt:i4>0</vt:i4>
      </vt:variant>
      <vt:variant>
        <vt:i4>5</vt:i4>
      </vt:variant>
      <vt:variant>
        <vt:lpwstr>https://www.tpk.govt.nz/en/nga-putea-me-nga-ratonga/maori-housing-support/supporting-new-homes-and-papakainga</vt:lpwstr>
      </vt:variant>
      <vt:variant>
        <vt:lpwstr/>
      </vt:variant>
      <vt:variant>
        <vt:i4>5439503</vt:i4>
      </vt:variant>
      <vt:variant>
        <vt:i4>111</vt:i4>
      </vt:variant>
      <vt:variant>
        <vt:i4>0</vt:i4>
      </vt:variant>
      <vt:variant>
        <vt:i4>5</vt:i4>
      </vt:variant>
      <vt:variant>
        <vt:lpwstr>https://www.hud.govt.nz/our-focus/our-maihi-approach</vt:lpwstr>
      </vt:variant>
      <vt:variant>
        <vt:lpwstr/>
      </vt:variant>
      <vt:variant>
        <vt:i4>7208993</vt:i4>
      </vt:variant>
      <vt:variant>
        <vt:i4>108</vt:i4>
      </vt:variant>
      <vt:variant>
        <vt:i4>0</vt:i4>
      </vt:variant>
      <vt:variant>
        <vt:i4>5</vt:i4>
      </vt:variant>
      <vt:variant>
        <vt:lpwstr>https://www.tpk.govt.nz/en/nga-putea-me-nga-ratonga/maori-housing-support/financial-capability-programmes-sorted-kainga-ora</vt:lpwstr>
      </vt:variant>
      <vt:variant>
        <vt:lpwstr/>
      </vt:variant>
      <vt:variant>
        <vt:i4>6750262</vt:i4>
      </vt:variant>
      <vt:variant>
        <vt:i4>105</vt:i4>
      </vt:variant>
      <vt:variant>
        <vt:i4>0</vt:i4>
      </vt:variant>
      <vt:variant>
        <vt:i4>5</vt:i4>
      </vt:variant>
      <vt:variant>
        <vt:lpwstr>https://www.mpp.govt.nz/programmes/pacific-housing-initiative/</vt:lpwstr>
      </vt:variant>
      <vt:variant>
        <vt:lpwstr/>
      </vt:variant>
      <vt:variant>
        <vt:i4>6750270</vt:i4>
      </vt:variant>
      <vt:variant>
        <vt:i4>102</vt:i4>
      </vt:variant>
      <vt:variant>
        <vt:i4>0</vt:i4>
      </vt:variant>
      <vt:variant>
        <vt:i4>5</vt:i4>
      </vt:variant>
      <vt:variant>
        <vt:lpwstr>https://www.hud.govt.nz/assets/Uploads/Documents/Rotorua-Temporary-Housing-Dashboard/2025/Rotorua-Temporary-Housing-Dashboard-February-2025-V2.pdf</vt:lpwstr>
      </vt:variant>
      <vt:variant>
        <vt:lpwstr/>
      </vt:variant>
      <vt:variant>
        <vt:i4>4128812</vt:i4>
      </vt:variant>
      <vt:variant>
        <vt:i4>99</vt:i4>
      </vt:variant>
      <vt:variant>
        <vt:i4>0</vt:i4>
      </vt:variant>
      <vt:variant>
        <vt:i4>5</vt:i4>
      </vt:variant>
      <vt:variant>
        <vt:lpwstr>https://www.msd.govt.nz/documents/about-msd-and-our-work/publications-resources/statistics/housing/monthly-housing-update/2025/monthly-housing-report-february-2025.pdf</vt:lpwstr>
      </vt:variant>
      <vt:variant>
        <vt:lpwstr/>
      </vt:variant>
      <vt:variant>
        <vt:i4>6815784</vt:i4>
      </vt:variant>
      <vt:variant>
        <vt:i4>96</vt:i4>
      </vt:variant>
      <vt:variant>
        <vt:i4>0</vt:i4>
      </vt:variant>
      <vt:variant>
        <vt:i4>5</vt:i4>
      </vt:variant>
      <vt:variant>
        <vt:lpwstr>https://www.hud.govt.nz/stats-and-insights/the-government-housing-dashboard/transitional-housing</vt:lpwstr>
      </vt:variant>
      <vt:variant>
        <vt:lpwstr>tabset</vt:lpwstr>
      </vt:variant>
      <vt:variant>
        <vt:i4>3801191</vt:i4>
      </vt:variant>
      <vt:variant>
        <vt:i4>93</vt:i4>
      </vt:variant>
      <vt:variant>
        <vt:i4>0</vt:i4>
      </vt:variant>
      <vt:variant>
        <vt:i4>5</vt:i4>
      </vt:variant>
      <vt:variant>
        <vt:lpwstr>https://d39d3mj7qio96p.cloudfront.net/media/documents/SR263_Lifetime_housing_-_the_value_case.pdf</vt:lpwstr>
      </vt:variant>
      <vt:variant>
        <vt:lpwstr/>
      </vt:variant>
      <vt:variant>
        <vt:i4>2621547</vt:i4>
      </vt:variant>
      <vt:variant>
        <vt:i4>90</vt:i4>
      </vt:variant>
      <vt:variant>
        <vt:i4>0</vt:i4>
      </vt:variant>
      <vt:variant>
        <vt:i4>5</vt:i4>
      </vt:variant>
      <vt:variant>
        <vt:lpwstr>https://www.gov.uk/government/publications/guide-to-the-renters-rights-bill/82ffc7fb-64b0-4af5-a72e-c24701a5f12a</vt:lpwstr>
      </vt:variant>
      <vt:variant>
        <vt:lpwstr>private-rented-sector-database.</vt:lpwstr>
      </vt:variant>
      <vt:variant>
        <vt:i4>3604542</vt:i4>
      </vt:variant>
      <vt:variant>
        <vt:i4>87</vt:i4>
      </vt:variant>
      <vt:variant>
        <vt:i4>0</vt:i4>
      </vt:variant>
      <vt:variant>
        <vt:i4>5</vt:i4>
      </vt:variant>
      <vt:variant>
        <vt:lpwstr>https://www.housing.qld.gov.au/news-publications/strategies-plans/building-plan/areas-of-reform/livable-housing-design-standard</vt:lpwstr>
      </vt:variant>
      <vt:variant>
        <vt:lpwstr>:~:text=Under%20this%20standard%2C%20new%20houses,wider%20internal%20doors%20and%20corridors</vt:lpwstr>
      </vt:variant>
      <vt:variant>
        <vt:i4>6946865</vt:i4>
      </vt:variant>
      <vt:variant>
        <vt:i4>84</vt:i4>
      </vt:variant>
      <vt:variant>
        <vt:i4>0</vt:i4>
      </vt:variant>
      <vt:variant>
        <vt:i4>5</vt:i4>
      </vt:variant>
      <vt:variant>
        <vt:lpwstr>https://www1.bca.gov.sg/regulatory-info/building-control/universal-design-and-friendly-buildings/universal-design-index</vt:lpwstr>
      </vt:variant>
      <vt:variant>
        <vt:lpwstr/>
      </vt:variant>
      <vt:variant>
        <vt:i4>7864426</vt:i4>
      </vt:variant>
      <vt:variant>
        <vt:i4>81</vt:i4>
      </vt:variant>
      <vt:variant>
        <vt:i4>0</vt:i4>
      </vt:variant>
      <vt:variant>
        <vt:i4>5</vt:i4>
      </vt:variant>
      <vt:variant>
        <vt:lpwstr>https://www.hud.govt.nz/our-focus/housing-for-by-and-with-maori</vt:lpwstr>
      </vt:variant>
      <vt:variant>
        <vt:lpwstr/>
      </vt:variant>
      <vt:variant>
        <vt:i4>2490475</vt:i4>
      </vt:variant>
      <vt:variant>
        <vt:i4>78</vt:i4>
      </vt:variant>
      <vt:variant>
        <vt:i4>0</vt:i4>
      </vt:variant>
      <vt:variant>
        <vt:i4>5</vt:i4>
      </vt:variant>
      <vt:variant>
        <vt:lpwstr>https://www.lifemark.co.nz/our-design-standards</vt:lpwstr>
      </vt:variant>
      <vt:variant>
        <vt:lpwstr/>
      </vt:variant>
      <vt:variant>
        <vt:i4>5832713</vt:i4>
      </vt:variant>
      <vt:variant>
        <vt:i4>75</vt:i4>
      </vt:variant>
      <vt:variant>
        <vt:i4>0</vt:i4>
      </vt:variant>
      <vt:variant>
        <vt:i4>5</vt:i4>
      </vt:variant>
      <vt:variant>
        <vt:lpwstr>https://www.flourishingtogether.co.nz/about-the-research</vt:lpwstr>
      </vt:variant>
      <vt:variant>
        <vt:lpwstr/>
      </vt:variant>
      <vt:variant>
        <vt:i4>5308497</vt:i4>
      </vt:variant>
      <vt:variant>
        <vt:i4>72</vt:i4>
      </vt:variant>
      <vt:variant>
        <vt:i4>0</vt:i4>
      </vt:variant>
      <vt:variant>
        <vt:i4>5</vt:i4>
      </vt:variant>
      <vt:variant>
        <vt:lpwstr>https://chra.hud.govt.nz/</vt:lpwstr>
      </vt:variant>
      <vt:variant>
        <vt:lpwstr/>
      </vt:variant>
      <vt:variant>
        <vt:i4>1769491</vt:i4>
      </vt:variant>
      <vt:variant>
        <vt:i4>69</vt:i4>
      </vt:variant>
      <vt:variant>
        <vt:i4>0</vt:i4>
      </vt:variant>
      <vt:variant>
        <vt:i4>5</vt:i4>
      </vt:variant>
      <vt:variant>
        <vt:lpwstr>https://www.lifemark.co.nz/our-design-standards/case-studies/article/case-study-housing-incentives-that-work</vt:lpwstr>
      </vt:variant>
      <vt:variant>
        <vt:lpwstr/>
      </vt:variant>
      <vt:variant>
        <vt:i4>1572957</vt:i4>
      </vt:variant>
      <vt:variant>
        <vt:i4>66</vt:i4>
      </vt:variant>
      <vt:variant>
        <vt:i4>0</vt:i4>
      </vt:variant>
      <vt:variant>
        <vt:i4>5</vt:i4>
      </vt:variant>
      <vt:variant>
        <vt:lpwstr>https://www.tauranga.govt.nz/Portals/0/data/council/strategies/files/accessible-tauranga-aip.pdf</vt:lpwstr>
      </vt:variant>
      <vt:variant>
        <vt:lpwstr/>
      </vt:variant>
      <vt:variant>
        <vt:i4>4587588</vt:i4>
      </vt:variant>
      <vt:variant>
        <vt:i4>63</vt:i4>
      </vt:variant>
      <vt:variant>
        <vt:i4>0</vt:i4>
      </vt:variant>
      <vt:variant>
        <vt:i4>5</vt:i4>
      </vt:variant>
      <vt:variant>
        <vt:lpwstr>https://communitylaw.org.nz/community-law-manual/test/social-housing-tenants-in-state-and-community-housing/</vt:lpwstr>
      </vt:variant>
      <vt:variant>
        <vt:lpwstr>:~:text=Local%20councils%20operate%20their%20own,rental%20housing%20for%20older%20people.</vt:lpwstr>
      </vt:variant>
      <vt:variant>
        <vt:i4>7405616</vt:i4>
      </vt:variant>
      <vt:variant>
        <vt:i4>60</vt:i4>
      </vt:variant>
      <vt:variant>
        <vt:i4>0</vt:i4>
      </vt:variant>
      <vt:variant>
        <vt:i4>5</vt:i4>
      </vt:variant>
      <vt:variant>
        <vt:lpwstr>https://www.tpk.govt.nz/en/nga-putea-me-nga-ratonga/maori-housing-support/what-funding-is-available</vt:lpwstr>
      </vt:variant>
      <vt:variant>
        <vt:lpwstr/>
      </vt:variant>
      <vt:variant>
        <vt:i4>6684790</vt:i4>
      </vt:variant>
      <vt:variant>
        <vt:i4>57</vt:i4>
      </vt:variant>
      <vt:variant>
        <vt:i4>0</vt:i4>
      </vt:variant>
      <vt:variant>
        <vt:i4>5</vt:i4>
      </vt:variant>
      <vt:variant>
        <vt:lpwstr>https://www.tpk.govt.nz/en/nga-putea-me-nga-ratonga/maori-housing-support/repairs-to-whanau-owned-homes</vt:lpwstr>
      </vt:variant>
      <vt:variant>
        <vt:lpwstr/>
      </vt:variant>
      <vt:variant>
        <vt:i4>131130</vt:i4>
      </vt:variant>
      <vt:variant>
        <vt:i4>54</vt:i4>
      </vt:variant>
      <vt:variant>
        <vt:i4>0</vt:i4>
      </vt:variant>
      <vt:variant>
        <vt:i4>5</vt:i4>
      </vt:variant>
      <vt:variant>
        <vt:lpwstr>https://kaingaora.govt.nz/en_NZ/about-us/accessibility-at-kainga-ora/disabled-customer-working-group/</vt:lpwstr>
      </vt:variant>
      <vt:variant>
        <vt:lpwstr/>
      </vt:variant>
      <vt:variant>
        <vt:i4>1638410</vt:i4>
      </vt:variant>
      <vt:variant>
        <vt:i4>51</vt:i4>
      </vt:variant>
      <vt:variant>
        <vt:i4>0</vt:i4>
      </vt:variant>
      <vt:variant>
        <vt:i4>5</vt:i4>
      </vt:variant>
      <vt:variant>
        <vt:lpwstr>https://www.workandincome.govt.nz/map/social-housing/assessment-of-eligibility/fast-track-provision.html</vt:lpwstr>
      </vt:variant>
      <vt:variant>
        <vt:lpwstr/>
      </vt:variant>
      <vt:variant>
        <vt:i4>1769495</vt:i4>
      </vt:variant>
      <vt:variant>
        <vt:i4>48</vt:i4>
      </vt:variant>
      <vt:variant>
        <vt:i4>0</vt:i4>
      </vt:variant>
      <vt:variant>
        <vt:i4>5</vt:i4>
      </vt:variant>
      <vt:variant>
        <vt:lpwstr>https://www.workandincome.govt.nz/map/social-housing/assessment-of-eligibility/assessment-of-housing-need-01.html</vt:lpwstr>
      </vt:variant>
      <vt:variant>
        <vt:lpwstr/>
      </vt:variant>
      <vt:variant>
        <vt:i4>2162721</vt:i4>
      </vt:variant>
      <vt:variant>
        <vt:i4>45</vt:i4>
      </vt:variant>
      <vt:variant>
        <vt:i4>0</vt:i4>
      </vt:variant>
      <vt:variant>
        <vt:i4>5</vt:i4>
      </vt:variant>
      <vt:variant>
        <vt:lpwstr>https://www.msd.govt.nz/documents/about-msd-and-our-work/publications-resources/statistics/housing/monthly-housing-update/2024/monthly-housing-report-december-2024.pdf</vt:lpwstr>
      </vt:variant>
      <vt:variant>
        <vt:lpwstr/>
      </vt:variant>
      <vt:variant>
        <vt:i4>1310794</vt:i4>
      </vt:variant>
      <vt:variant>
        <vt:i4>42</vt:i4>
      </vt:variant>
      <vt:variant>
        <vt:i4>0</vt:i4>
      </vt:variant>
      <vt:variant>
        <vt:i4>5</vt:i4>
      </vt:variant>
      <vt:variant>
        <vt:lpwstr>https://www.whaikaha.govt.nz/news/news/17-percent-of-new-zealanders-are-disabled</vt:lpwstr>
      </vt:variant>
      <vt:variant>
        <vt:lpwstr/>
      </vt:variant>
      <vt:variant>
        <vt:i4>1769536</vt:i4>
      </vt:variant>
      <vt:variant>
        <vt:i4>39</vt:i4>
      </vt:variant>
      <vt:variant>
        <vt:i4>0</vt:i4>
      </vt:variant>
      <vt:variant>
        <vt:i4>5</vt:i4>
      </vt:variant>
      <vt:variant>
        <vt:lpwstr>https://www.abuseincare.org.nz/reports/whanaketia/preliminaries/recommendations/</vt:lpwstr>
      </vt:variant>
      <vt:variant>
        <vt:lpwstr/>
      </vt:variant>
      <vt:variant>
        <vt:i4>5177418</vt:i4>
      </vt:variant>
      <vt:variant>
        <vt:i4>36</vt:i4>
      </vt:variant>
      <vt:variant>
        <vt:i4>0</vt:i4>
      </vt:variant>
      <vt:variant>
        <vt:i4>5</vt:i4>
      </vt:variant>
      <vt:variant>
        <vt:lpwstr>https://www.stats.govt.nz/information-releases/disability-statistics-2023</vt:lpwstr>
      </vt:variant>
      <vt:variant>
        <vt:lpwstr/>
      </vt:variant>
      <vt:variant>
        <vt:i4>7471164</vt:i4>
      </vt:variant>
      <vt:variant>
        <vt:i4>33</vt:i4>
      </vt:variant>
      <vt:variant>
        <vt:i4>0</vt:i4>
      </vt:variant>
      <vt:variant>
        <vt:i4>5</vt:i4>
      </vt:variant>
      <vt:variant>
        <vt:lpwstr>https://www.rbnz.govt.nz/monetary-policy/about-monetary-policy/inflation-calculator</vt:lpwstr>
      </vt:variant>
      <vt:variant>
        <vt:lpwstr/>
      </vt:variant>
      <vt:variant>
        <vt:i4>4259841</vt:i4>
      </vt:variant>
      <vt:variant>
        <vt:i4>30</vt:i4>
      </vt:variant>
      <vt:variant>
        <vt:i4>0</vt:i4>
      </vt:variant>
      <vt:variant>
        <vt:i4>5</vt:i4>
      </vt:variant>
      <vt:variant>
        <vt:lpwstr>https://rep.infometrics.co.nz/new-zealand/income-and-housing/average-rent</vt:lpwstr>
      </vt:variant>
      <vt:variant>
        <vt:lpwstr/>
      </vt:variant>
      <vt:variant>
        <vt:i4>2293858</vt:i4>
      </vt:variant>
      <vt:variant>
        <vt:i4>27</vt:i4>
      </vt:variant>
      <vt:variant>
        <vt:i4>0</vt:i4>
      </vt:variant>
      <vt:variant>
        <vt:i4>5</vt:i4>
      </vt:variant>
      <vt:variant>
        <vt:lpwstr>https://rep.infometrics.co.nz/new-zealand/income-and-housing/housing-affordability</vt:lpwstr>
      </vt:variant>
      <vt:variant>
        <vt:lpwstr/>
      </vt:variant>
      <vt:variant>
        <vt:i4>393299</vt:i4>
      </vt:variant>
      <vt:variant>
        <vt:i4>24</vt:i4>
      </vt:variant>
      <vt:variant>
        <vt:i4>0</vt:i4>
      </vt:variant>
      <vt:variant>
        <vt:i4>5</vt:i4>
      </vt:variant>
      <vt:variant>
        <vt:lpwstr>https://www.whaikaha.govt.nz/news/news/labour-market-statistics-for-disabled-people-june-2024-quarter</vt:lpwstr>
      </vt:variant>
      <vt:variant>
        <vt:lpwstr/>
      </vt:variant>
      <vt:variant>
        <vt:i4>3539036</vt:i4>
      </vt:variant>
      <vt:variant>
        <vt:i4>21</vt:i4>
      </vt:variant>
      <vt:variant>
        <vt:i4>0</vt:i4>
      </vt:variant>
      <vt:variant>
        <vt:i4>5</vt:i4>
      </vt:variant>
      <vt:variant>
        <vt:lpwstr>https://explore.data.stats.govt.nz/vis?tm=housing%20deprivation&amp;pg=0&amp;hc%5b2023%20Census%5d=Housing&amp;snb=5&amp;df%5bds%5d=ds-nsiws-disseminate&amp;df%5bid%5d=CEN23_HOU_102&amp;df%5bag%5d=STATSNZ&amp;df%5bvs%5d=1.0&amp;dq=2018%2B2023..00%2B01%2B999.999.99.99&amp;ly%5brw%5d=CEN23_HUD_003&amp;ly%5bcl%5d=CEN23_YEAR_001%2CCEN23_ACT_002&amp;to%5bTIME%5d=false</vt:lpwstr>
      </vt:variant>
      <vt:variant>
        <vt:lpwstr/>
      </vt:variant>
      <vt:variant>
        <vt:i4>3604539</vt:i4>
      </vt:variant>
      <vt:variant>
        <vt:i4>18</vt:i4>
      </vt:variant>
      <vt:variant>
        <vt:i4>0</vt:i4>
      </vt:variant>
      <vt:variant>
        <vt:i4>5</vt:i4>
      </vt:variant>
      <vt:variant>
        <vt:lpwstr>https://www.stats.govt.nz/information-releases/2023-census-severe-housing-deprivation-homelessness-estimates/</vt:lpwstr>
      </vt:variant>
      <vt:variant>
        <vt:lpwstr>:~:text=As%20at%20the%202023%20Census,deprivation%20status%20for%20355%2C299%20people.</vt:lpwstr>
      </vt:variant>
      <vt:variant>
        <vt:i4>5439500</vt:i4>
      </vt:variant>
      <vt:variant>
        <vt:i4>15</vt:i4>
      </vt:variant>
      <vt:variant>
        <vt:i4>0</vt:i4>
      </vt:variant>
      <vt:variant>
        <vt:i4>5</vt:i4>
      </vt:variant>
      <vt:variant>
        <vt:lpwstr>https://www.stats.govt.nz/information-releases/wellbeing-statistics-2023/</vt:lpwstr>
      </vt:variant>
      <vt:variant>
        <vt:lpwstr/>
      </vt:variant>
      <vt:variant>
        <vt:i4>1376282</vt:i4>
      </vt:variant>
      <vt:variant>
        <vt:i4>11</vt:i4>
      </vt:variant>
      <vt:variant>
        <vt:i4>0</vt:i4>
      </vt:variant>
      <vt:variant>
        <vt:i4>5</vt:i4>
      </vt:variant>
      <vt:variant>
        <vt:lpwstr>https://www.hud.govt.nz/stats-and-insights/system-indicators/data-available-for-whanau-maori-pacific-peoples-and-people-with-disabilities</vt:lpwstr>
      </vt:variant>
      <vt:variant>
        <vt:lpwstr/>
      </vt:variant>
      <vt:variant>
        <vt:i4>3866724</vt:i4>
      </vt:variant>
      <vt:variant>
        <vt:i4>9</vt:i4>
      </vt:variant>
      <vt:variant>
        <vt:i4>0</vt:i4>
      </vt:variant>
      <vt:variant>
        <vt:i4>5</vt:i4>
      </vt:variant>
      <vt:variant>
        <vt:lpwstr>https://www.hud.govt.nz/stats-and-insights/system-indicators/data-available-for-whanau-maori-pacific-peoples-and-people-with-disabilities</vt:lpwstr>
      </vt:variant>
      <vt:variant>
        <vt:lpwstr>:~:text=57.4%25%20of%20disabled%20people%20were,in%20an%20owner%2Doccupied%20dwelling.</vt:lpwstr>
      </vt:variant>
      <vt:variant>
        <vt:i4>5111888</vt:i4>
      </vt:variant>
      <vt:variant>
        <vt:i4>6</vt:i4>
      </vt:variant>
      <vt:variant>
        <vt:i4>0</vt:i4>
      </vt:variant>
      <vt:variant>
        <vt:i4>5</vt:i4>
      </vt:variant>
      <vt:variant>
        <vt:lpwstr>https://tikatangata.org.nz/human-rights-in-aotearoa/right-to-housing</vt:lpwstr>
      </vt:variant>
      <vt:variant>
        <vt:lpwstr/>
      </vt:variant>
      <vt:variant>
        <vt:i4>1638406</vt:i4>
      </vt:variant>
      <vt:variant>
        <vt:i4>3</vt:i4>
      </vt:variant>
      <vt:variant>
        <vt:i4>0</vt:i4>
      </vt:variant>
      <vt:variant>
        <vt:i4>5</vt:i4>
      </vt:variant>
      <vt:variant>
        <vt:lpwstr>https://social.desa.un.org/issues/disability/crpd/convention-on-the-rights-of-persons-with-disabilities-crpd</vt:lpwstr>
      </vt:variant>
      <vt:variant>
        <vt:lpwstr/>
      </vt:variant>
      <vt:variant>
        <vt:i4>4325391</vt:i4>
      </vt:variant>
      <vt:variant>
        <vt:i4>0</vt:i4>
      </vt:variant>
      <vt:variant>
        <vt:i4>0</vt:i4>
      </vt:variant>
      <vt:variant>
        <vt:i4>5</vt:i4>
      </vt:variant>
      <vt:variant>
        <vt:lpwstr>https://www.un.org/en/about-us/universal-declaration-of-human-rights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 Report</dc:title>
  <dc:subject/>
  <dc:creator>Alex Lee</dc:creator>
  <cp:keywords/>
  <dc:description>Developed by Allfields Customised Solutions - Visit us at http://www.allfields.co.nz</dc:description>
  <cp:lastModifiedBy>Aftab Jahan</cp:lastModifiedBy>
  <cp:revision>28</cp:revision>
  <cp:lastPrinted>2025-03-13T16:57:00Z</cp:lastPrinted>
  <dcterms:created xsi:type="dcterms:W3CDTF">2025-04-04T00:05:00Z</dcterms:created>
  <dcterms:modified xsi:type="dcterms:W3CDTF">2026-09-23T21:42:00Z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0x010100A4C634B9829F5B4CA6729CA17A9903AF00EA4A5CE51E2E484B8094BDA55C1C60E0</vt:lpwstr>
  </property>
  <property fmtid="{D5CDD505-2E9C-101B-9397-08002B2CF9AE}" pid="3" name="_dlc_DocIdItemGuid">
    <vt:lpwstr>84424300-bc6c-407e-ab73-01f08990c449</vt:lpwstr>
  </property>
  <property fmtid="{D5CDD505-2E9C-101B-9397-08002B2CF9AE}" pid="4" name="MediaServiceImageTags">
    <vt:lpwstr/>
  </property>
  <property fmtid="{D5CDD505-2E9C-101B-9397-08002B2CF9AE}" pid="5" name="MDP-Category">
    <vt:lpwstr/>
  </property>
  <property fmtid="{D5CDD505-2E9C-101B-9397-08002B2CF9AE}" pid="6" name="ClassificationContentMarkingHeaderShapeIds">
    <vt:lpwstr>1,2,3</vt:lpwstr>
  </property>
  <property fmtid="{D5CDD505-2E9C-101B-9397-08002B2CF9AE}" pid="7" name="ClassificationContentMarkingHeaderFontProps">
    <vt:lpwstr>#000000,10,Calibri</vt:lpwstr>
  </property>
  <property fmtid="{D5CDD505-2E9C-101B-9397-08002B2CF9AE}" pid="8" name="ClassificationContentMarkingHeaderText">
    <vt:lpwstr>IN-CONFIDENCE</vt:lpwstr>
  </property>
  <property fmtid="{D5CDD505-2E9C-101B-9397-08002B2CF9AE}" pid="9" name="MSIP_Label_f43e46a9-9901-46e9-bfae-bb6189d4cb66_Enabled">
    <vt:lpwstr>true</vt:lpwstr>
  </property>
  <property fmtid="{D5CDD505-2E9C-101B-9397-08002B2CF9AE}" pid="10" name="MSIP_Label_f43e46a9-9901-46e9-bfae-bb6189d4cb66_SetDate">
    <vt:lpwstr>2023-10-31T01:04:05Z</vt:lpwstr>
  </property>
  <property fmtid="{D5CDD505-2E9C-101B-9397-08002B2CF9AE}" pid="11" name="MSIP_Label_f43e46a9-9901-46e9-bfae-bb6189d4cb66_Method">
    <vt:lpwstr>Standard</vt:lpwstr>
  </property>
  <property fmtid="{D5CDD505-2E9C-101B-9397-08002B2CF9AE}" pid="12" name="MSIP_Label_f43e46a9-9901-46e9-bfae-bb6189d4cb66_Name">
    <vt:lpwstr>In-confidence</vt:lpwstr>
  </property>
  <property fmtid="{D5CDD505-2E9C-101B-9397-08002B2CF9AE}" pid="13" name="MSIP_Label_f43e46a9-9901-46e9-bfae-bb6189d4cb66_SiteId">
    <vt:lpwstr>e40c4f52-99bd-4d4f-bf7e-d001a2ca6556</vt:lpwstr>
  </property>
  <property fmtid="{D5CDD505-2E9C-101B-9397-08002B2CF9AE}" pid="14" name="MSIP_Label_f43e46a9-9901-46e9-bfae-bb6189d4cb66_ActionId">
    <vt:lpwstr>ccbc37d5-0a8d-4992-89e8-07f16e4fff17</vt:lpwstr>
  </property>
  <property fmtid="{D5CDD505-2E9C-101B-9397-08002B2CF9AE}" pid="15" name="MSIP_Label_f43e46a9-9901-46e9-bfae-bb6189d4cb66_ContentBits">
    <vt:lpwstr>1</vt:lpwstr>
  </property>
  <property fmtid="{D5CDD505-2E9C-101B-9397-08002B2CF9AE}" pid="16" name="RevIMBCS">
    <vt:lpwstr>19;#BUSINESS UNIT MANAGEMENT|78593d4a-e474-4f8c-9c40-8861e4397df9</vt:lpwstr>
  </property>
  <property fmtid="{D5CDD505-2E9C-101B-9397-08002B2CF9AE}" pid="17" name="docLang">
    <vt:lpwstr>en</vt:lpwstr>
  </property>
</Properties>
</file>