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3216" w:rsidR="00A706F1" w:rsidP="648054FF" w:rsidRDefault="1203FE73" w14:paraId="47ED217A" w14:textId="37FB51E4">
      <w:pPr>
        <w:pStyle w:val="Title"/>
        <w:rPr>
          <w:rFonts w:ascii="Verdana" w:hAnsi="Verdana"/>
          <w:b/>
          <w:bCs/>
          <w:sz w:val="48"/>
          <w:szCs w:val="48"/>
        </w:rPr>
      </w:pPr>
      <w:bookmarkStart w:name="_Toc215217214" w:id="0"/>
      <w:bookmarkStart w:name="_Toc232071263" w:id="1"/>
      <w:r w:rsidRPr="00F83216">
        <w:rPr>
          <w:rFonts w:ascii="Verdana" w:hAnsi="Verdana"/>
          <w:b/>
          <w:bCs/>
          <w:sz w:val="48"/>
          <w:szCs w:val="48"/>
        </w:rPr>
        <w:t>New Zealand Disability</w:t>
      </w:r>
      <w:r w:rsidRPr="00F83216" w:rsidR="2159EB16">
        <w:rPr>
          <w:rFonts w:ascii="Verdana" w:hAnsi="Verdana"/>
          <w:b/>
          <w:bCs/>
          <w:sz w:val="48"/>
          <w:szCs w:val="48"/>
        </w:rPr>
        <w:t xml:space="preserve"> </w:t>
      </w:r>
      <w:r w:rsidRPr="00F83216">
        <w:rPr>
          <w:rFonts w:ascii="Verdana" w:hAnsi="Verdana"/>
          <w:b/>
          <w:bCs/>
          <w:sz w:val="48"/>
          <w:szCs w:val="48"/>
        </w:rPr>
        <w:t>Strategy</w:t>
      </w:r>
      <w:bookmarkEnd w:id="0"/>
      <w:r w:rsidRPr="00F83216" w:rsidR="33A78E65">
        <w:rPr>
          <w:rFonts w:ascii="Verdana" w:hAnsi="Verdana"/>
          <w:b/>
          <w:bCs/>
          <w:sz w:val="48"/>
          <w:szCs w:val="48"/>
        </w:rPr>
        <w:t xml:space="preserve"> </w:t>
      </w:r>
      <w:r w:rsidRPr="00F83216" w:rsidR="5972A86C">
        <w:rPr>
          <w:rFonts w:ascii="Verdana" w:hAnsi="Verdana"/>
          <w:b/>
          <w:bCs/>
          <w:sz w:val="48"/>
          <w:szCs w:val="48"/>
        </w:rPr>
        <w:t>2026–2030</w:t>
      </w:r>
    </w:p>
    <w:p w:rsidRPr="00F83216" w:rsidR="00A706F1" w:rsidP="648054FF" w:rsidRDefault="00A706F1" w14:paraId="47D59B8E" w14:textId="70C8893B">
      <w:pPr>
        <w:pStyle w:val="Title"/>
        <w:rPr>
          <w:rFonts w:ascii="Verdana" w:hAnsi="Verdana"/>
          <w:b/>
          <w:bCs/>
          <w:sz w:val="48"/>
          <w:szCs w:val="48"/>
        </w:rPr>
      </w:pPr>
    </w:p>
    <w:p w:rsidRPr="00F83216" w:rsidR="00F83216" w:rsidP="648054FF" w:rsidRDefault="33A78E65" w14:paraId="62DCF706" w14:textId="5A3A0978">
      <w:pPr>
        <w:rPr>
          <w:rFonts w:ascii="Verdana" w:hAnsi="Verdana"/>
          <w:b/>
          <w:bCs/>
          <w:sz w:val="48"/>
          <w:szCs w:val="48"/>
        </w:rPr>
      </w:pPr>
      <w:r w:rsidRPr="00F83216">
        <w:rPr>
          <w:rFonts w:ascii="Verdana" w:hAnsi="Verdana"/>
          <w:b/>
          <w:bCs/>
          <w:sz w:val="48"/>
          <w:szCs w:val="48"/>
        </w:rPr>
        <w:t>Outcomes M</w:t>
      </w:r>
      <w:r w:rsidRPr="00F83216" w:rsidR="50F722BC">
        <w:rPr>
          <w:rFonts w:ascii="Verdana" w:hAnsi="Verdana"/>
          <w:b/>
          <w:bCs/>
          <w:sz w:val="48"/>
          <w:szCs w:val="48"/>
        </w:rPr>
        <w:t>onitoring Dashboard</w:t>
      </w:r>
      <w:bookmarkEnd w:id="1"/>
    </w:p>
    <w:p w:rsidRPr="00892239" w:rsidR="00892239" w:rsidP="00892239" w:rsidRDefault="00892239" w14:paraId="6AAA23D1" w14:textId="61FFB646"/>
    <w:p w:rsidRPr="00E316C3" w:rsidR="00A706F1" w:rsidP="00181DB4" w:rsidRDefault="00A706F1" w14:paraId="068767EC" w14:textId="77777777">
      <w:pPr>
        <w:spacing w:line="360" w:lineRule="auto"/>
        <w:rPr>
          <w:rStyle w:val="normaltextrun"/>
          <w:rFonts w:eastAsiaTheme="majorEastAsia"/>
          <w:b/>
          <w:bCs/>
        </w:rPr>
      </w:pPr>
    </w:p>
    <w:p w:rsidRPr="00E316C3" w:rsidR="00A706F1" w:rsidP="00181DB4" w:rsidRDefault="00A706F1" w14:paraId="13AA6C07" w14:textId="77777777">
      <w:pPr>
        <w:spacing w:line="360" w:lineRule="auto"/>
        <w:rPr>
          <w:rStyle w:val="normaltextrun"/>
          <w:rFonts w:eastAsiaTheme="majorEastAsia"/>
          <w:b/>
          <w:bCs/>
        </w:rPr>
      </w:pPr>
    </w:p>
    <w:p w:rsidRPr="00E316C3" w:rsidR="00A706F1" w:rsidP="00181DB4" w:rsidRDefault="00A706F1" w14:paraId="0BFF113A" w14:textId="77777777">
      <w:pPr>
        <w:spacing w:line="360" w:lineRule="auto"/>
        <w:rPr>
          <w:rStyle w:val="normaltextrun"/>
          <w:rFonts w:eastAsiaTheme="majorEastAsia"/>
          <w:b/>
          <w:bCs/>
        </w:rPr>
      </w:pPr>
    </w:p>
    <w:p w:rsidRPr="00E316C3" w:rsidR="00A706F1" w:rsidP="00181DB4" w:rsidRDefault="00A706F1" w14:paraId="534498E3" w14:textId="77777777">
      <w:pPr>
        <w:spacing w:line="360" w:lineRule="auto"/>
        <w:rPr>
          <w:rStyle w:val="normaltextrun"/>
          <w:rFonts w:eastAsiaTheme="majorEastAsia"/>
          <w:b/>
          <w:bCs/>
        </w:rPr>
      </w:pPr>
    </w:p>
    <w:p w:rsidRPr="00E316C3" w:rsidR="00A706F1" w:rsidP="00181DB4" w:rsidRDefault="00A706F1" w14:paraId="09AA2CDC" w14:textId="77777777">
      <w:pPr>
        <w:tabs>
          <w:tab w:val="left" w:pos="3382"/>
        </w:tabs>
        <w:spacing w:line="360" w:lineRule="auto"/>
        <w:rPr>
          <w:rStyle w:val="normaltextrun"/>
          <w:rFonts w:eastAsiaTheme="majorEastAsia"/>
          <w:b/>
          <w:bCs/>
        </w:rPr>
      </w:pPr>
      <w:r>
        <w:rPr>
          <w:rStyle w:val="normaltextrun"/>
          <w:rFonts w:eastAsiaTheme="majorEastAsia"/>
          <w:b/>
          <w:bCs/>
        </w:rPr>
        <w:tab/>
      </w:r>
    </w:p>
    <w:p w:rsidRPr="00E316C3" w:rsidR="00A706F1" w:rsidP="00181DB4" w:rsidRDefault="00A706F1" w14:paraId="6087B914" w14:textId="77777777">
      <w:pPr>
        <w:spacing w:line="360" w:lineRule="auto"/>
        <w:rPr>
          <w:rStyle w:val="normaltextrun"/>
          <w:rFonts w:eastAsiaTheme="majorEastAsia"/>
          <w:b/>
          <w:bCs/>
        </w:rPr>
      </w:pPr>
    </w:p>
    <w:p w:rsidRPr="00E316C3" w:rsidR="00A706F1" w:rsidP="00181DB4" w:rsidRDefault="00A706F1" w14:paraId="51D42734" w14:textId="77777777">
      <w:pPr>
        <w:spacing w:line="360" w:lineRule="auto"/>
        <w:rPr>
          <w:rStyle w:val="normaltextrun"/>
          <w:rFonts w:eastAsiaTheme="majorEastAsia"/>
          <w:b/>
          <w:bCs/>
        </w:rPr>
      </w:pPr>
    </w:p>
    <w:p w:rsidRPr="00E316C3" w:rsidR="00A706F1" w:rsidP="00181DB4" w:rsidRDefault="00A706F1" w14:paraId="52F0E828" w14:textId="77777777">
      <w:pPr>
        <w:spacing w:line="360" w:lineRule="auto"/>
        <w:rPr>
          <w:rStyle w:val="normaltextrun"/>
          <w:rFonts w:eastAsiaTheme="majorEastAsia"/>
          <w:b/>
          <w:bCs/>
        </w:rPr>
      </w:pPr>
    </w:p>
    <w:p w:rsidRPr="00E316C3" w:rsidR="00A706F1" w:rsidP="00181DB4" w:rsidRDefault="00A706F1" w14:paraId="7F072071" w14:textId="77777777">
      <w:pPr>
        <w:spacing w:line="360" w:lineRule="auto"/>
        <w:rPr>
          <w:rStyle w:val="normaltextrun"/>
          <w:rFonts w:eastAsiaTheme="majorEastAsia"/>
          <w:b/>
          <w:bCs/>
        </w:rPr>
      </w:pPr>
    </w:p>
    <w:p w:rsidR="00A706F1" w:rsidP="00181DB4" w:rsidRDefault="00A706F1" w14:paraId="4F748E0E" w14:textId="77777777">
      <w:pPr>
        <w:spacing w:line="360" w:lineRule="auto"/>
        <w:rPr>
          <w:rStyle w:val="normaltextrun"/>
          <w:rFonts w:eastAsiaTheme="majorEastAsia"/>
          <w:b/>
          <w:bCs/>
        </w:rPr>
      </w:pPr>
    </w:p>
    <w:p w:rsidR="00A706F1" w:rsidP="1967C145" w:rsidRDefault="00A706F1" w14:paraId="457A846E" w14:textId="2FC8911E">
      <w:pPr>
        <w:spacing w:line="360" w:lineRule="auto"/>
        <w:rPr>
          <w:rStyle w:val="normaltextrun"/>
          <w:rFonts w:eastAsiaTheme="majorEastAsia"/>
          <w:b/>
          <w:bCs/>
        </w:rPr>
      </w:pPr>
    </w:p>
    <w:p w:rsidR="00041817" w:rsidP="5742BD96" w:rsidRDefault="00F83216" w14:paraId="70FCABA2" w14:textId="4A466FA3">
      <w:pPr>
        <w:spacing w:line="360" w:lineRule="auto"/>
        <w:jc w:val="right"/>
        <w:rPr>
          <w:rFonts w:ascii="Verdana" w:hAnsi="Verdana" w:eastAsia="Verdana" w:cs="Verdana"/>
          <w:b/>
          <w:bCs/>
          <w:color w:val="000000" w:themeColor="text1"/>
        </w:rPr>
      </w:pPr>
      <w:r>
        <w:rPr>
          <w:rFonts w:ascii="Verdana" w:hAnsi="Verdana"/>
          <w:b/>
          <w:bCs/>
        </w:rPr>
        <w:t xml:space="preserve">Baseline report - </w:t>
      </w:r>
      <w:r w:rsidRPr="648054FF" w:rsidR="6D180890">
        <w:rPr>
          <w:rFonts w:ascii="Verdana" w:hAnsi="Verdana"/>
          <w:b/>
          <w:bCs/>
        </w:rPr>
        <w:t>June 2026</w:t>
      </w:r>
      <w:r w:rsidRPr="648054FF" w:rsidR="004D6858">
        <w:rPr>
          <w:rFonts w:ascii="Verdana" w:hAnsi="Verdana" w:eastAsia="Verdana" w:cs="Verdana"/>
          <w:b/>
          <w:bCs/>
          <w:color w:val="000000" w:themeColor="text1"/>
        </w:rPr>
        <w:br w:type="page"/>
      </w:r>
    </w:p>
    <w:sdt>
      <w:sdtPr>
        <w:id w:val="-1406523414"/>
        <w:docPartObj>
          <w:docPartGallery w:val="Table of Contents"/>
          <w:docPartUnique/>
        </w:docPartObj>
        <w:rPr>
          <w:rFonts w:ascii="Roboto" w:hAnsi="Roboto" w:eastAsia="" w:cs="" w:asciiTheme="minorAscii" w:hAnsiTheme="minorAscii" w:eastAsiaTheme="minorEastAsia" w:cstheme="minorBidi"/>
          <w:color w:val="auto"/>
          <w:sz w:val="24"/>
          <w:szCs w:val="24"/>
          <w:lang w:eastAsia="ja-JP"/>
        </w:rPr>
      </w:sdtPr>
      <w:sdtEndPr>
        <w:rPr>
          <w:rFonts w:ascii="Roboto" w:hAnsi="Roboto" w:eastAsia="" w:cs="" w:asciiTheme="minorAscii" w:hAnsiTheme="minorAscii" w:eastAsiaTheme="minorEastAsia" w:cstheme="minorBidi"/>
          <w:b w:val="1"/>
          <w:bCs w:val="1"/>
          <w:noProof/>
          <w:color w:val="auto"/>
          <w:sz w:val="24"/>
          <w:szCs w:val="24"/>
          <w:lang w:eastAsia="ja-JP"/>
        </w:rPr>
      </w:sdtEndPr>
      <w:sdtContent>
        <w:p w:rsidR="00FE5D94" w:rsidRDefault="00FE5D94" w14:paraId="098602DE" w14:textId="33476C61">
          <w:pPr>
            <w:pStyle w:val="TOCHeading"/>
          </w:pPr>
          <w:r>
            <w:t>Contents</w:t>
          </w:r>
        </w:p>
        <w:p w:rsidR="00FE5D94" w:rsidRDefault="00FE5D94" w14:paraId="4A733BDA" w14:textId="2207AF42">
          <w:pPr>
            <w:pStyle w:val="TOC1"/>
            <w:tabs>
              <w:tab w:val="right" w:leader="dot" w:pos="9350"/>
            </w:tabs>
            <w:rPr>
              <w:noProof/>
              <w:kern w:val="2"/>
              <w:lang w:val="en-NZ" w:eastAsia="en-NZ"/>
              <w14:ligatures w14:val="standardContextual"/>
            </w:rPr>
          </w:pPr>
          <w:r>
            <w:fldChar w:fldCharType="begin"/>
          </w:r>
          <w:r>
            <w:instrText xml:space="preserve"> TOC \o "1-3" \h \z \u </w:instrText>
          </w:r>
          <w:r>
            <w:fldChar w:fldCharType="separate"/>
          </w:r>
          <w:hyperlink w:history="1" w:anchor="_Toc232071265">
            <w:r w:rsidRPr="003417EB">
              <w:rPr>
                <w:rStyle w:val="Hyperlink"/>
                <w:noProof/>
              </w:rPr>
              <w:t>Welcome to the New Zealand Disability Strategy 2026 - 2030 outcomes monitoring dashboard</w:t>
            </w:r>
            <w:r>
              <w:rPr>
                <w:noProof/>
                <w:webHidden/>
              </w:rPr>
              <w:tab/>
            </w:r>
            <w:r>
              <w:rPr>
                <w:noProof/>
                <w:webHidden/>
              </w:rPr>
              <w:fldChar w:fldCharType="begin"/>
            </w:r>
            <w:r>
              <w:rPr>
                <w:noProof/>
                <w:webHidden/>
              </w:rPr>
              <w:instrText xml:space="preserve"> PAGEREF _Toc232071265 \h </w:instrText>
            </w:r>
            <w:r>
              <w:rPr>
                <w:noProof/>
                <w:webHidden/>
              </w:rPr>
            </w:r>
            <w:r>
              <w:rPr>
                <w:noProof/>
                <w:webHidden/>
              </w:rPr>
              <w:fldChar w:fldCharType="separate"/>
            </w:r>
            <w:r>
              <w:rPr>
                <w:noProof/>
                <w:webHidden/>
              </w:rPr>
              <w:t>4</w:t>
            </w:r>
            <w:r>
              <w:rPr>
                <w:noProof/>
                <w:webHidden/>
              </w:rPr>
              <w:fldChar w:fldCharType="end"/>
            </w:r>
          </w:hyperlink>
        </w:p>
        <w:p w:rsidR="00FE5D94" w:rsidRDefault="00FE5D94" w14:paraId="41CBE619" w14:textId="4F936694">
          <w:pPr>
            <w:pStyle w:val="TOC1"/>
            <w:tabs>
              <w:tab w:val="right" w:leader="dot" w:pos="9350"/>
            </w:tabs>
            <w:rPr>
              <w:noProof/>
              <w:kern w:val="2"/>
              <w:lang w:val="en-NZ" w:eastAsia="en-NZ"/>
              <w14:ligatures w14:val="standardContextual"/>
            </w:rPr>
          </w:pPr>
          <w:hyperlink w:history="1" w:anchor="_Toc232071266">
            <w:r w:rsidRPr="003417EB">
              <w:rPr>
                <w:rStyle w:val="Hyperlink"/>
                <w:noProof/>
              </w:rPr>
              <w:t>Vision and Principles</w:t>
            </w:r>
            <w:r>
              <w:rPr>
                <w:noProof/>
                <w:webHidden/>
              </w:rPr>
              <w:tab/>
            </w:r>
            <w:r>
              <w:rPr>
                <w:noProof/>
                <w:webHidden/>
              </w:rPr>
              <w:fldChar w:fldCharType="begin"/>
            </w:r>
            <w:r>
              <w:rPr>
                <w:noProof/>
                <w:webHidden/>
              </w:rPr>
              <w:instrText xml:space="preserve"> PAGEREF _Toc232071266 \h </w:instrText>
            </w:r>
            <w:r>
              <w:rPr>
                <w:noProof/>
                <w:webHidden/>
              </w:rPr>
            </w:r>
            <w:r>
              <w:rPr>
                <w:noProof/>
                <w:webHidden/>
              </w:rPr>
              <w:fldChar w:fldCharType="separate"/>
            </w:r>
            <w:r>
              <w:rPr>
                <w:noProof/>
                <w:webHidden/>
              </w:rPr>
              <w:t>4</w:t>
            </w:r>
            <w:r>
              <w:rPr>
                <w:noProof/>
                <w:webHidden/>
              </w:rPr>
              <w:fldChar w:fldCharType="end"/>
            </w:r>
          </w:hyperlink>
        </w:p>
        <w:p w:rsidR="00FE5D94" w:rsidRDefault="00FE5D94" w14:paraId="464726FF" w14:textId="13EA6AB6">
          <w:pPr>
            <w:pStyle w:val="TOC2"/>
            <w:tabs>
              <w:tab w:val="right" w:leader="dot" w:pos="9350"/>
            </w:tabs>
            <w:rPr>
              <w:noProof/>
              <w:kern w:val="2"/>
              <w:lang w:val="en-NZ" w:eastAsia="en-NZ"/>
              <w14:ligatures w14:val="standardContextual"/>
            </w:rPr>
          </w:pPr>
          <w:hyperlink w:history="1" w:anchor="_Toc232071267">
            <w:r w:rsidRPr="003417EB">
              <w:rPr>
                <w:rStyle w:val="Hyperlink"/>
                <w:noProof/>
              </w:rPr>
              <w:t>Primary measures</w:t>
            </w:r>
            <w:r>
              <w:rPr>
                <w:noProof/>
                <w:webHidden/>
              </w:rPr>
              <w:tab/>
            </w:r>
            <w:r>
              <w:rPr>
                <w:noProof/>
                <w:webHidden/>
              </w:rPr>
              <w:fldChar w:fldCharType="begin"/>
            </w:r>
            <w:r>
              <w:rPr>
                <w:noProof/>
                <w:webHidden/>
              </w:rPr>
              <w:instrText xml:space="preserve"> PAGEREF _Toc232071267 \h </w:instrText>
            </w:r>
            <w:r>
              <w:rPr>
                <w:noProof/>
                <w:webHidden/>
              </w:rPr>
            </w:r>
            <w:r>
              <w:rPr>
                <w:noProof/>
                <w:webHidden/>
              </w:rPr>
              <w:fldChar w:fldCharType="separate"/>
            </w:r>
            <w:r>
              <w:rPr>
                <w:noProof/>
                <w:webHidden/>
              </w:rPr>
              <w:t>4</w:t>
            </w:r>
            <w:r>
              <w:rPr>
                <w:noProof/>
                <w:webHidden/>
              </w:rPr>
              <w:fldChar w:fldCharType="end"/>
            </w:r>
          </w:hyperlink>
        </w:p>
        <w:p w:rsidR="00FE5D94" w:rsidRDefault="00FE5D94" w14:paraId="32AFDD47" w14:textId="33EDC55D">
          <w:pPr>
            <w:pStyle w:val="TOC2"/>
            <w:tabs>
              <w:tab w:val="right" w:leader="dot" w:pos="9350"/>
            </w:tabs>
            <w:rPr>
              <w:noProof/>
              <w:kern w:val="2"/>
              <w:lang w:val="en-NZ" w:eastAsia="en-NZ"/>
              <w14:ligatures w14:val="standardContextual"/>
            </w:rPr>
          </w:pPr>
          <w:hyperlink w:history="1" w:anchor="_Toc232071268">
            <w:r w:rsidRPr="003417EB">
              <w:rPr>
                <w:rStyle w:val="Hyperlink"/>
                <w:noProof/>
              </w:rPr>
              <w:t>Supporting measures</w:t>
            </w:r>
            <w:r>
              <w:rPr>
                <w:noProof/>
                <w:webHidden/>
              </w:rPr>
              <w:tab/>
            </w:r>
            <w:r>
              <w:rPr>
                <w:noProof/>
                <w:webHidden/>
              </w:rPr>
              <w:fldChar w:fldCharType="begin"/>
            </w:r>
            <w:r>
              <w:rPr>
                <w:noProof/>
                <w:webHidden/>
              </w:rPr>
              <w:instrText xml:space="preserve"> PAGEREF _Toc232071268 \h </w:instrText>
            </w:r>
            <w:r>
              <w:rPr>
                <w:noProof/>
                <w:webHidden/>
              </w:rPr>
            </w:r>
            <w:r>
              <w:rPr>
                <w:noProof/>
                <w:webHidden/>
              </w:rPr>
              <w:fldChar w:fldCharType="separate"/>
            </w:r>
            <w:r>
              <w:rPr>
                <w:noProof/>
                <w:webHidden/>
              </w:rPr>
              <w:t>5</w:t>
            </w:r>
            <w:r>
              <w:rPr>
                <w:noProof/>
                <w:webHidden/>
              </w:rPr>
              <w:fldChar w:fldCharType="end"/>
            </w:r>
          </w:hyperlink>
        </w:p>
        <w:p w:rsidR="00FE5D94" w:rsidRDefault="00FE5D94" w14:paraId="1FC8C210" w14:textId="34DA0BB5">
          <w:pPr>
            <w:pStyle w:val="TOC1"/>
            <w:tabs>
              <w:tab w:val="right" w:leader="dot" w:pos="9350"/>
            </w:tabs>
            <w:rPr>
              <w:noProof/>
              <w:kern w:val="2"/>
              <w:lang w:val="en-NZ" w:eastAsia="en-NZ"/>
              <w14:ligatures w14:val="standardContextual"/>
            </w:rPr>
          </w:pPr>
          <w:hyperlink w:history="1" w:anchor="_Toc232071269">
            <w:r w:rsidRPr="003417EB">
              <w:rPr>
                <w:rStyle w:val="Hyperlink"/>
                <w:noProof/>
              </w:rPr>
              <w:t>Education</w:t>
            </w:r>
            <w:r>
              <w:rPr>
                <w:noProof/>
                <w:webHidden/>
              </w:rPr>
              <w:tab/>
            </w:r>
            <w:r>
              <w:rPr>
                <w:noProof/>
                <w:webHidden/>
              </w:rPr>
              <w:fldChar w:fldCharType="begin"/>
            </w:r>
            <w:r>
              <w:rPr>
                <w:noProof/>
                <w:webHidden/>
              </w:rPr>
              <w:instrText xml:space="preserve"> PAGEREF _Toc232071269 \h </w:instrText>
            </w:r>
            <w:r>
              <w:rPr>
                <w:noProof/>
                <w:webHidden/>
              </w:rPr>
            </w:r>
            <w:r>
              <w:rPr>
                <w:noProof/>
                <w:webHidden/>
              </w:rPr>
              <w:fldChar w:fldCharType="separate"/>
            </w:r>
            <w:r>
              <w:rPr>
                <w:noProof/>
                <w:webHidden/>
              </w:rPr>
              <w:t>6</w:t>
            </w:r>
            <w:r>
              <w:rPr>
                <w:noProof/>
                <w:webHidden/>
              </w:rPr>
              <w:fldChar w:fldCharType="end"/>
            </w:r>
          </w:hyperlink>
        </w:p>
        <w:p w:rsidR="00FE5D94" w:rsidRDefault="00FE5D94" w14:paraId="73C9AE69" w14:textId="16A5C8BF">
          <w:pPr>
            <w:pStyle w:val="TOC2"/>
            <w:tabs>
              <w:tab w:val="right" w:leader="dot" w:pos="9350"/>
            </w:tabs>
            <w:rPr>
              <w:noProof/>
              <w:kern w:val="2"/>
              <w:lang w:val="en-NZ" w:eastAsia="en-NZ"/>
              <w14:ligatures w14:val="standardContextual"/>
            </w:rPr>
          </w:pPr>
          <w:hyperlink w:history="1" w:anchor="_Toc232071270">
            <w:r w:rsidRPr="003417EB">
              <w:rPr>
                <w:rStyle w:val="Hyperlink"/>
                <w:noProof/>
              </w:rPr>
              <w:t>Goal</w:t>
            </w:r>
            <w:r>
              <w:rPr>
                <w:noProof/>
                <w:webHidden/>
              </w:rPr>
              <w:tab/>
            </w:r>
            <w:r>
              <w:rPr>
                <w:noProof/>
                <w:webHidden/>
              </w:rPr>
              <w:fldChar w:fldCharType="begin"/>
            </w:r>
            <w:r>
              <w:rPr>
                <w:noProof/>
                <w:webHidden/>
              </w:rPr>
              <w:instrText xml:space="preserve"> PAGEREF _Toc232071270 \h </w:instrText>
            </w:r>
            <w:r>
              <w:rPr>
                <w:noProof/>
                <w:webHidden/>
              </w:rPr>
            </w:r>
            <w:r>
              <w:rPr>
                <w:noProof/>
                <w:webHidden/>
              </w:rPr>
              <w:fldChar w:fldCharType="separate"/>
            </w:r>
            <w:r>
              <w:rPr>
                <w:noProof/>
                <w:webHidden/>
              </w:rPr>
              <w:t>6</w:t>
            </w:r>
            <w:r>
              <w:rPr>
                <w:noProof/>
                <w:webHidden/>
              </w:rPr>
              <w:fldChar w:fldCharType="end"/>
            </w:r>
          </w:hyperlink>
        </w:p>
        <w:p w:rsidR="00FE5D94" w:rsidRDefault="00FE5D94" w14:paraId="1B34E0BE" w14:textId="01739359">
          <w:pPr>
            <w:pStyle w:val="TOC2"/>
            <w:tabs>
              <w:tab w:val="right" w:leader="dot" w:pos="9350"/>
            </w:tabs>
            <w:rPr>
              <w:noProof/>
              <w:kern w:val="2"/>
              <w:lang w:val="en-NZ" w:eastAsia="en-NZ"/>
              <w14:ligatures w14:val="standardContextual"/>
            </w:rPr>
          </w:pPr>
          <w:hyperlink w:history="1" w:anchor="_Toc232071271">
            <w:r w:rsidRPr="003417EB">
              <w:rPr>
                <w:rStyle w:val="Hyperlink"/>
                <w:noProof/>
              </w:rPr>
              <w:t>Primary measures</w:t>
            </w:r>
            <w:r>
              <w:rPr>
                <w:noProof/>
                <w:webHidden/>
              </w:rPr>
              <w:tab/>
            </w:r>
            <w:r>
              <w:rPr>
                <w:noProof/>
                <w:webHidden/>
              </w:rPr>
              <w:fldChar w:fldCharType="begin"/>
            </w:r>
            <w:r>
              <w:rPr>
                <w:noProof/>
                <w:webHidden/>
              </w:rPr>
              <w:instrText xml:space="preserve"> PAGEREF _Toc232071271 \h </w:instrText>
            </w:r>
            <w:r>
              <w:rPr>
                <w:noProof/>
                <w:webHidden/>
              </w:rPr>
            </w:r>
            <w:r>
              <w:rPr>
                <w:noProof/>
                <w:webHidden/>
              </w:rPr>
              <w:fldChar w:fldCharType="separate"/>
            </w:r>
            <w:r>
              <w:rPr>
                <w:noProof/>
                <w:webHidden/>
              </w:rPr>
              <w:t>6</w:t>
            </w:r>
            <w:r>
              <w:rPr>
                <w:noProof/>
                <w:webHidden/>
              </w:rPr>
              <w:fldChar w:fldCharType="end"/>
            </w:r>
          </w:hyperlink>
        </w:p>
        <w:p w:rsidR="00FE5D94" w:rsidRDefault="00FE5D94" w14:paraId="569E9065" w14:textId="746210B3">
          <w:pPr>
            <w:pStyle w:val="TOC2"/>
            <w:tabs>
              <w:tab w:val="right" w:leader="dot" w:pos="9350"/>
            </w:tabs>
            <w:rPr>
              <w:noProof/>
              <w:kern w:val="2"/>
              <w:lang w:val="en-NZ" w:eastAsia="en-NZ"/>
              <w14:ligatures w14:val="standardContextual"/>
            </w:rPr>
          </w:pPr>
          <w:hyperlink w:history="1" w:anchor="_Toc232071272">
            <w:r w:rsidRPr="003417EB">
              <w:rPr>
                <w:rStyle w:val="Hyperlink"/>
                <w:noProof/>
              </w:rPr>
              <w:t>Supporting measures</w:t>
            </w:r>
            <w:r>
              <w:rPr>
                <w:noProof/>
                <w:webHidden/>
              </w:rPr>
              <w:tab/>
            </w:r>
            <w:r>
              <w:rPr>
                <w:noProof/>
                <w:webHidden/>
              </w:rPr>
              <w:fldChar w:fldCharType="begin"/>
            </w:r>
            <w:r>
              <w:rPr>
                <w:noProof/>
                <w:webHidden/>
              </w:rPr>
              <w:instrText xml:space="preserve"> PAGEREF _Toc232071272 \h </w:instrText>
            </w:r>
            <w:r>
              <w:rPr>
                <w:noProof/>
                <w:webHidden/>
              </w:rPr>
            </w:r>
            <w:r>
              <w:rPr>
                <w:noProof/>
                <w:webHidden/>
              </w:rPr>
              <w:fldChar w:fldCharType="separate"/>
            </w:r>
            <w:r>
              <w:rPr>
                <w:noProof/>
                <w:webHidden/>
              </w:rPr>
              <w:t>7</w:t>
            </w:r>
            <w:r>
              <w:rPr>
                <w:noProof/>
                <w:webHidden/>
              </w:rPr>
              <w:fldChar w:fldCharType="end"/>
            </w:r>
          </w:hyperlink>
        </w:p>
        <w:p w:rsidR="00FE5D94" w:rsidRDefault="00FE5D94" w14:paraId="1C165573" w14:textId="15862499">
          <w:pPr>
            <w:pStyle w:val="TOC1"/>
            <w:tabs>
              <w:tab w:val="right" w:leader="dot" w:pos="9350"/>
            </w:tabs>
            <w:rPr>
              <w:noProof/>
              <w:kern w:val="2"/>
              <w:lang w:val="en-NZ" w:eastAsia="en-NZ"/>
              <w14:ligatures w14:val="standardContextual"/>
            </w:rPr>
          </w:pPr>
          <w:hyperlink w:history="1" w:anchor="_Toc232071273">
            <w:r w:rsidRPr="003417EB">
              <w:rPr>
                <w:rStyle w:val="Hyperlink"/>
                <w:noProof/>
              </w:rPr>
              <w:t>Employment</w:t>
            </w:r>
            <w:r>
              <w:rPr>
                <w:noProof/>
                <w:webHidden/>
              </w:rPr>
              <w:tab/>
            </w:r>
            <w:r>
              <w:rPr>
                <w:noProof/>
                <w:webHidden/>
              </w:rPr>
              <w:fldChar w:fldCharType="begin"/>
            </w:r>
            <w:r>
              <w:rPr>
                <w:noProof/>
                <w:webHidden/>
              </w:rPr>
              <w:instrText xml:space="preserve"> PAGEREF _Toc232071273 \h </w:instrText>
            </w:r>
            <w:r>
              <w:rPr>
                <w:noProof/>
                <w:webHidden/>
              </w:rPr>
            </w:r>
            <w:r>
              <w:rPr>
                <w:noProof/>
                <w:webHidden/>
              </w:rPr>
              <w:fldChar w:fldCharType="separate"/>
            </w:r>
            <w:r>
              <w:rPr>
                <w:noProof/>
                <w:webHidden/>
              </w:rPr>
              <w:t>7</w:t>
            </w:r>
            <w:r>
              <w:rPr>
                <w:noProof/>
                <w:webHidden/>
              </w:rPr>
              <w:fldChar w:fldCharType="end"/>
            </w:r>
          </w:hyperlink>
        </w:p>
        <w:p w:rsidR="00FE5D94" w:rsidRDefault="00FE5D94" w14:paraId="1FD8DFB1" w14:textId="0EE62E6E">
          <w:pPr>
            <w:pStyle w:val="TOC2"/>
            <w:tabs>
              <w:tab w:val="right" w:leader="dot" w:pos="9350"/>
            </w:tabs>
            <w:rPr>
              <w:noProof/>
              <w:kern w:val="2"/>
              <w:lang w:val="en-NZ" w:eastAsia="en-NZ"/>
              <w14:ligatures w14:val="standardContextual"/>
            </w:rPr>
          </w:pPr>
          <w:hyperlink w:history="1" w:anchor="_Toc232071274">
            <w:r w:rsidRPr="003417EB">
              <w:rPr>
                <w:rStyle w:val="Hyperlink"/>
                <w:noProof/>
              </w:rPr>
              <w:t>Goal</w:t>
            </w:r>
            <w:r>
              <w:rPr>
                <w:noProof/>
                <w:webHidden/>
              </w:rPr>
              <w:tab/>
            </w:r>
            <w:r>
              <w:rPr>
                <w:noProof/>
                <w:webHidden/>
              </w:rPr>
              <w:fldChar w:fldCharType="begin"/>
            </w:r>
            <w:r>
              <w:rPr>
                <w:noProof/>
                <w:webHidden/>
              </w:rPr>
              <w:instrText xml:space="preserve"> PAGEREF _Toc232071274 \h </w:instrText>
            </w:r>
            <w:r>
              <w:rPr>
                <w:noProof/>
                <w:webHidden/>
              </w:rPr>
            </w:r>
            <w:r>
              <w:rPr>
                <w:noProof/>
                <w:webHidden/>
              </w:rPr>
              <w:fldChar w:fldCharType="separate"/>
            </w:r>
            <w:r>
              <w:rPr>
                <w:noProof/>
                <w:webHidden/>
              </w:rPr>
              <w:t>7</w:t>
            </w:r>
            <w:r>
              <w:rPr>
                <w:noProof/>
                <w:webHidden/>
              </w:rPr>
              <w:fldChar w:fldCharType="end"/>
            </w:r>
          </w:hyperlink>
        </w:p>
        <w:p w:rsidR="00FE5D94" w:rsidRDefault="00FE5D94" w14:paraId="5E0A44A4" w14:textId="4055F4DB">
          <w:pPr>
            <w:pStyle w:val="TOC2"/>
            <w:tabs>
              <w:tab w:val="right" w:leader="dot" w:pos="9350"/>
            </w:tabs>
            <w:rPr>
              <w:noProof/>
              <w:kern w:val="2"/>
              <w:lang w:val="en-NZ" w:eastAsia="en-NZ"/>
              <w14:ligatures w14:val="standardContextual"/>
            </w:rPr>
          </w:pPr>
          <w:hyperlink w:history="1" w:anchor="_Toc232071275">
            <w:r w:rsidRPr="003417EB">
              <w:rPr>
                <w:rStyle w:val="Hyperlink"/>
                <w:noProof/>
              </w:rPr>
              <w:t>Primary measures</w:t>
            </w:r>
            <w:r>
              <w:rPr>
                <w:noProof/>
                <w:webHidden/>
              </w:rPr>
              <w:tab/>
            </w:r>
            <w:r>
              <w:rPr>
                <w:noProof/>
                <w:webHidden/>
              </w:rPr>
              <w:fldChar w:fldCharType="begin"/>
            </w:r>
            <w:r>
              <w:rPr>
                <w:noProof/>
                <w:webHidden/>
              </w:rPr>
              <w:instrText xml:space="preserve"> PAGEREF _Toc232071275 \h </w:instrText>
            </w:r>
            <w:r>
              <w:rPr>
                <w:noProof/>
                <w:webHidden/>
              </w:rPr>
            </w:r>
            <w:r>
              <w:rPr>
                <w:noProof/>
                <w:webHidden/>
              </w:rPr>
              <w:fldChar w:fldCharType="separate"/>
            </w:r>
            <w:r>
              <w:rPr>
                <w:noProof/>
                <w:webHidden/>
              </w:rPr>
              <w:t>7</w:t>
            </w:r>
            <w:r>
              <w:rPr>
                <w:noProof/>
                <w:webHidden/>
              </w:rPr>
              <w:fldChar w:fldCharType="end"/>
            </w:r>
          </w:hyperlink>
        </w:p>
        <w:p w:rsidR="00FE5D94" w:rsidRDefault="00FE5D94" w14:paraId="4AF84263" w14:textId="486ABA12">
          <w:pPr>
            <w:pStyle w:val="TOC2"/>
            <w:tabs>
              <w:tab w:val="right" w:leader="dot" w:pos="9350"/>
            </w:tabs>
            <w:rPr>
              <w:noProof/>
              <w:kern w:val="2"/>
              <w:lang w:val="en-NZ" w:eastAsia="en-NZ"/>
              <w14:ligatures w14:val="standardContextual"/>
            </w:rPr>
          </w:pPr>
          <w:hyperlink w:history="1" w:anchor="_Toc232071276">
            <w:r w:rsidRPr="003417EB">
              <w:rPr>
                <w:rStyle w:val="Hyperlink"/>
                <w:noProof/>
              </w:rPr>
              <w:t>Supporting measures</w:t>
            </w:r>
            <w:r>
              <w:rPr>
                <w:noProof/>
                <w:webHidden/>
              </w:rPr>
              <w:tab/>
            </w:r>
            <w:r>
              <w:rPr>
                <w:noProof/>
                <w:webHidden/>
              </w:rPr>
              <w:fldChar w:fldCharType="begin"/>
            </w:r>
            <w:r>
              <w:rPr>
                <w:noProof/>
                <w:webHidden/>
              </w:rPr>
              <w:instrText xml:space="preserve"> PAGEREF _Toc232071276 \h </w:instrText>
            </w:r>
            <w:r>
              <w:rPr>
                <w:noProof/>
                <w:webHidden/>
              </w:rPr>
            </w:r>
            <w:r>
              <w:rPr>
                <w:noProof/>
                <w:webHidden/>
              </w:rPr>
              <w:fldChar w:fldCharType="separate"/>
            </w:r>
            <w:r>
              <w:rPr>
                <w:noProof/>
                <w:webHidden/>
              </w:rPr>
              <w:t>8</w:t>
            </w:r>
            <w:r>
              <w:rPr>
                <w:noProof/>
                <w:webHidden/>
              </w:rPr>
              <w:fldChar w:fldCharType="end"/>
            </w:r>
          </w:hyperlink>
        </w:p>
        <w:p w:rsidR="00FE5D94" w:rsidRDefault="00FE5D94" w14:paraId="31179EA4" w14:textId="29B3176A">
          <w:pPr>
            <w:pStyle w:val="TOC1"/>
            <w:tabs>
              <w:tab w:val="right" w:leader="dot" w:pos="9350"/>
            </w:tabs>
            <w:rPr>
              <w:noProof/>
              <w:kern w:val="2"/>
              <w:lang w:val="en-NZ" w:eastAsia="en-NZ"/>
              <w14:ligatures w14:val="standardContextual"/>
            </w:rPr>
          </w:pPr>
          <w:hyperlink w:history="1" w:anchor="_Toc232071277">
            <w:r w:rsidRPr="003417EB">
              <w:rPr>
                <w:rStyle w:val="Hyperlink"/>
                <w:noProof/>
              </w:rPr>
              <w:t>Health</w:t>
            </w:r>
            <w:r>
              <w:rPr>
                <w:noProof/>
                <w:webHidden/>
              </w:rPr>
              <w:tab/>
            </w:r>
            <w:r>
              <w:rPr>
                <w:noProof/>
                <w:webHidden/>
              </w:rPr>
              <w:fldChar w:fldCharType="begin"/>
            </w:r>
            <w:r>
              <w:rPr>
                <w:noProof/>
                <w:webHidden/>
              </w:rPr>
              <w:instrText xml:space="preserve"> PAGEREF _Toc232071277 \h </w:instrText>
            </w:r>
            <w:r>
              <w:rPr>
                <w:noProof/>
                <w:webHidden/>
              </w:rPr>
            </w:r>
            <w:r>
              <w:rPr>
                <w:noProof/>
                <w:webHidden/>
              </w:rPr>
              <w:fldChar w:fldCharType="separate"/>
            </w:r>
            <w:r>
              <w:rPr>
                <w:noProof/>
                <w:webHidden/>
              </w:rPr>
              <w:t>9</w:t>
            </w:r>
            <w:r>
              <w:rPr>
                <w:noProof/>
                <w:webHidden/>
              </w:rPr>
              <w:fldChar w:fldCharType="end"/>
            </w:r>
          </w:hyperlink>
        </w:p>
        <w:p w:rsidR="00FE5D94" w:rsidRDefault="00FE5D94" w14:paraId="722DC8C6" w14:textId="55331836">
          <w:pPr>
            <w:pStyle w:val="TOC2"/>
            <w:tabs>
              <w:tab w:val="right" w:leader="dot" w:pos="9350"/>
            </w:tabs>
            <w:rPr>
              <w:noProof/>
              <w:kern w:val="2"/>
              <w:lang w:val="en-NZ" w:eastAsia="en-NZ"/>
              <w14:ligatures w14:val="standardContextual"/>
            </w:rPr>
          </w:pPr>
          <w:hyperlink w:history="1" w:anchor="_Toc232071278">
            <w:r w:rsidRPr="003417EB">
              <w:rPr>
                <w:rStyle w:val="Hyperlink"/>
                <w:noProof/>
              </w:rPr>
              <w:t>Goal</w:t>
            </w:r>
            <w:r>
              <w:rPr>
                <w:noProof/>
                <w:webHidden/>
              </w:rPr>
              <w:tab/>
            </w:r>
            <w:r>
              <w:rPr>
                <w:noProof/>
                <w:webHidden/>
              </w:rPr>
              <w:fldChar w:fldCharType="begin"/>
            </w:r>
            <w:r>
              <w:rPr>
                <w:noProof/>
                <w:webHidden/>
              </w:rPr>
              <w:instrText xml:space="preserve"> PAGEREF _Toc232071278 \h </w:instrText>
            </w:r>
            <w:r>
              <w:rPr>
                <w:noProof/>
                <w:webHidden/>
              </w:rPr>
            </w:r>
            <w:r>
              <w:rPr>
                <w:noProof/>
                <w:webHidden/>
              </w:rPr>
              <w:fldChar w:fldCharType="separate"/>
            </w:r>
            <w:r>
              <w:rPr>
                <w:noProof/>
                <w:webHidden/>
              </w:rPr>
              <w:t>9</w:t>
            </w:r>
            <w:r>
              <w:rPr>
                <w:noProof/>
                <w:webHidden/>
              </w:rPr>
              <w:fldChar w:fldCharType="end"/>
            </w:r>
          </w:hyperlink>
        </w:p>
        <w:p w:rsidR="00FE5D94" w:rsidRDefault="00FE5D94" w14:paraId="617C53E8" w14:textId="16D0D716">
          <w:pPr>
            <w:pStyle w:val="TOC2"/>
            <w:tabs>
              <w:tab w:val="right" w:leader="dot" w:pos="9350"/>
            </w:tabs>
            <w:rPr>
              <w:noProof/>
              <w:kern w:val="2"/>
              <w:lang w:val="en-NZ" w:eastAsia="en-NZ"/>
              <w14:ligatures w14:val="standardContextual"/>
            </w:rPr>
          </w:pPr>
          <w:hyperlink w:history="1" w:anchor="_Toc232071279">
            <w:r w:rsidRPr="003417EB">
              <w:rPr>
                <w:rStyle w:val="Hyperlink"/>
                <w:noProof/>
              </w:rPr>
              <w:t>Primary measures</w:t>
            </w:r>
            <w:r>
              <w:rPr>
                <w:noProof/>
                <w:webHidden/>
              </w:rPr>
              <w:tab/>
            </w:r>
            <w:r>
              <w:rPr>
                <w:noProof/>
                <w:webHidden/>
              </w:rPr>
              <w:fldChar w:fldCharType="begin"/>
            </w:r>
            <w:r>
              <w:rPr>
                <w:noProof/>
                <w:webHidden/>
              </w:rPr>
              <w:instrText xml:space="preserve"> PAGEREF _Toc232071279 \h </w:instrText>
            </w:r>
            <w:r>
              <w:rPr>
                <w:noProof/>
                <w:webHidden/>
              </w:rPr>
            </w:r>
            <w:r>
              <w:rPr>
                <w:noProof/>
                <w:webHidden/>
              </w:rPr>
              <w:fldChar w:fldCharType="separate"/>
            </w:r>
            <w:r>
              <w:rPr>
                <w:noProof/>
                <w:webHidden/>
              </w:rPr>
              <w:t>9</w:t>
            </w:r>
            <w:r>
              <w:rPr>
                <w:noProof/>
                <w:webHidden/>
              </w:rPr>
              <w:fldChar w:fldCharType="end"/>
            </w:r>
          </w:hyperlink>
        </w:p>
        <w:p w:rsidR="00FE5D94" w:rsidRDefault="00FE5D94" w14:paraId="79ABCE68" w14:textId="557011BE">
          <w:pPr>
            <w:pStyle w:val="TOC2"/>
            <w:tabs>
              <w:tab w:val="right" w:leader="dot" w:pos="9350"/>
            </w:tabs>
            <w:rPr>
              <w:noProof/>
              <w:kern w:val="2"/>
              <w:lang w:val="en-NZ" w:eastAsia="en-NZ"/>
              <w14:ligatures w14:val="standardContextual"/>
            </w:rPr>
          </w:pPr>
          <w:hyperlink w:history="1" w:anchor="_Toc232071280">
            <w:r w:rsidRPr="003417EB">
              <w:rPr>
                <w:rStyle w:val="Hyperlink"/>
                <w:noProof/>
              </w:rPr>
              <w:t>Supporting measures</w:t>
            </w:r>
            <w:r>
              <w:rPr>
                <w:noProof/>
                <w:webHidden/>
              </w:rPr>
              <w:tab/>
            </w:r>
            <w:r>
              <w:rPr>
                <w:noProof/>
                <w:webHidden/>
              </w:rPr>
              <w:fldChar w:fldCharType="begin"/>
            </w:r>
            <w:r>
              <w:rPr>
                <w:noProof/>
                <w:webHidden/>
              </w:rPr>
              <w:instrText xml:space="preserve"> PAGEREF _Toc232071280 \h </w:instrText>
            </w:r>
            <w:r>
              <w:rPr>
                <w:noProof/>
                <w:webHidden/>
              </w:rPr>
            </w:r>
            <w:r>
              <w:rPr>
                <w:noProof/>
                <w:webHidden/>
              </w:rPr>
              <w:fldChar w:fldCharType="separate"/>
            </w:r>
            <w:r>
              <w:rPr>
                <w:noProof/>
                <w:webHidden/>
              </w:rPr>
              <w:t>10</w:t>
            </w:r>
            <w:r>
              <w:rPr>
                <w:noProof/>
                <w:webHidden/>
              </w:rPr>
              <w:fldChar w:fldCharType="end"/>
            </w:r>
          </w:hyperlink>
        </w:p>
        <w:p w:rsidR="00FE5D94" w:rsidRDefault="00FE5D94" w14:paraId="4F1A77E6" w14:textId="1CE9C752">
          <w:pPr>
            <w:pStyle w:val="TOC1"/>
            <w:tabs>
              <w:tab w:val="right" w:leader="dot" w:pos="9350"/>
            </w:tabs>
            <w:rPr>
              <w:noProof/>
              <w:kern w:val="2"/>
              <w:lang w:val="en-NZ" w:eastAsia="en-NZ"/>
              <w14:ligatures w14:val="standardContextual"/>
            </w:rPr>
          </w:pPr>
          <w:hyperlink w:history="1" w:anchor="_Toc232071281">
            <w:r w:rsidRPr="003417EB">
              <w:rPr>
                <w:rStyle w:val="Hyperlink"/>
                <w:noProof/>
              </w:rPr>
              <w:t>Housing</w:t>
            </w:r>
            <w:r>
              <w:rPr>
                <w:noProof/>
                <w:webHidden/>
              </w:rPr>
              <w:tab/>
            </w:r>
            <w:r>
              <w:rPr>
                <w:noProof/>
                <w:webHidden/>
              </w:rPr>
              <w:fldChar w:fldCharType="begin"/>
            </w:r>
            <w:r>
              <w:rPr>
                <w:noProof/>
                <w:webHidden/>
              </w:rPr>
              <w:instrText xml:space="preserve"> PAGEREF _Toc232071281 \h </w:instrText>
            </w:r>
            <w:r>
              <w:rPr>
                <w:noProof/>
                <w:webHidden/>
              </w:rPr>
            </w:r>
            <w:r>
              <w:rPr>
                <w:noProof/>
                <w:webHidden/>
              </w:rPr>
              <w:fldChar w:fldCharType="separate"/>
            </w:r>
            <w:r>
              <w:rPr>
                <w:noProof/>
                <w:webHidden/>
              </w:rPr>
              <w:t>10</w:t>
            </w:r>
            <w:r>
              <w:rPr>
                <w:noProof/>
                <w:webHidden/>
              </w:rPr>
              <w:fldChar w:fldCharType="end"/>
            </w:r>
          </w:hyperlink>
        </w:p>
        <w:p w:rsidR="00FE5D94" w:rsidRDefault="00FE5D94" w14:paraId="45767FCE" w14:textId="6F08952A">
          <w:pPr>
            <w:pStyle w:val="TOC2"/>
            <w:tabs>
              <w:tab w:val="right" w:leader="dot" w:pos="9350"/>
            </w:tabs>
            <w:rPr>
              <w:noProof/>
              <w:kern w:val="2"/>
              <w:lang w:val="en-NZ" w:eastAsia="en-NZ"/>
              <w14:ligatures w14:val="standardContextual"/>
            </w:rPr>
          </w:pPr>
          <w:hyperlink w:history="1" w:anchor="_Toc232071282">
            <w:r w:rsidRPr="003417EB">
              <w:rPr>
                <w:rStyle w:val="Hyperlink"/>
                <w:noProof/>
              </w:rPr>
              <w:t>Goal</w:t>
            </w:r>
            <w:r>
              <w:rPr>
                <w:noProof/>
                <w:webHidden/>
              </w:rPr>
              <w:tab/>
            </w:r>
            <w:r>
              <w:rPr>
                <w:noProof/>
                <w:webHidden/>
              </w:rPr>
              <w:fldChar w:fldCharType="begin"/>
            </w:r>
            <w:r>
              <w:rPr>
                <w:noProof/>
                <w:webHidden/>
              </w:rPr>
              <w:instrText xml:space="preserve"> PAGEREF _Toc232071282 \h </w:instrText>
            </w:r>
            <w:r>
              <w:rPr>
                <w:noProof/>
                <w:webHidden/>
              </w:rPr>
            </w:r>
            <w:r>
              <w:rPr>
                <w:noProof/>
                <w:webHidden/>
              </w:rPr>
              <w:fldChar w:fldCharType="separate"/>
            </w:r>
            <w:r>
              <w:rPr>
                <w:noProof/>
                <w:webHidden/>
              </w:rPr>
              <w:t>10</w:t>
            </w:r>
            <w:r>
              <w:rPr>
                <w:noProof/>
                <w:webHidden/>
              </w:rPr>
              <w:fldChar w:fldCharType="end"/>
            </w:r>
          </w:hyperlink>
        </w:p>
        <w:p w:rsidR="00FE5D94" w:rsidRDefault="00FE5D94" w14:paraId="6E11E616" w14:textId="79632641">
          <w:pPr>
            <w:pStyle w:val="TOC2"/>
            <w:tabs>
              <w:tab w:val="right" w:leader="dot" w:pos="9350"/>
            </w:tabs>
            <w:rPr>
              <w:noProof/>
              <w:kern w:val="2"/>
              <w:lang w:val="en-NZ" w:eastAsia="en-NZ"/>
              <w14:ligatures w14:val="standardContextual"/>
            </w:rPr>
          </w:pPr>
          <w:hyperlink w:history="1" w:anchor="_Toc232071283">
            <w:r w:rsidRPr="003417EB">
              <w:rPr>
                <w:rStyle w:val="Hyperlink"/>
                <w:noProof/>
              </w:rPr>
              <w:t>Primary measures</w:t>
            </w:r>
            <w:r>
              <w:rPr>
                <w:noProof/>
                <w:webHidden/>
              </w:rPr>
              <w:tab/>
            </w:r>
            <w:r>
              <w:rPr>
                <w:noProof/>
                <w:webHidden/>
              </w:rPr>
              <w:fldChar w:fldCharType="begin"/>
            </w:r>
            <w:r>
              <w:rPr>
                <w:noProof/>
                <w:webHidden/>
              </w:rPr>
              <w:instrText xml:space="preserve"> PAGEREF _Toc232071283 \h </w:instrText>
            </w:r>
            <w:r>
              <w:rPr>
                <w:noProof/>
                <w:webHidden/>
              </w:rPr>
            </w:r>
            <w:r>
              <w:rPr>
                <w:noProof/>
                <w:webHidden/>
              </w:rPr>
              <w:fldChar w:fldCharType="separate"/>
            </w:r>
            <w:r>
              <w:rPr>
                <w:noProof/>
                <w:webHidden/>
              </w:rPr>
              <w:t>10</w:t>
            </w:r>
            <w:r>
              <w:rPr>
                <w:noProof/>
                <w:webHidden/>
              </w:rPr>
              <w:fldChar w:fldCharType="end"/>
            </w:r>
          </w:hyperlink>
        </w:p>
        <w:p w:rsidR="00FE5D94" w:rsidRDefault="00FE5D94" w14:paraId="3FB4DB8B" w14:textId="2D021282">
          <w:pPr>
            <w:pStyle w:val="TOC2"/>
            <w:tabs>
              <w:tab w:val="right" w:leader="dot" w:pos="9350"/>
            </w:tabs>
            <w:rPr>
              <w:noProof/>
              <w:kern w:val="2"/>
              <w:lang w:val="en-NZ" w:eastAsia="en-NZ"/>
              <w14:ligatures w14:val="standardContextual"/>
            </w:rPr>
          </w:pPr>
          <w:hyperlink w:history="1" w:anchor="_Toc232071284">
            <w:r w:rsidRPr="003417EB">
              <w:rPr>
                <w:rStyle w:val="Hyperlink"/>
                <w:noProof/>
              </w:rPr>
              <w:t>Supporting measures</w:t>
            </w:r>
            <w:r>
              <w:rPr>
                <w:noProof/>
                <w:webHidden/>
              </w:rPr>
              <w:tab/>
            </w:r>
            <w:r>
              <w:rPr>
                <w:noProof/>
                <w:webHidden/>
              </w:rPr>
              <w:fldChar w:fldCharType="begin"/>
            </w:r>
            <w:r>
              <w:rPr>
                <w:noProof/>
                <w:webHidden/>
              </w:rPr>
              <w:instrText xml:space="preserve"> PAGEREF _Toc232071284 \h </w:instrText>
            </w:r>
            <w:r>
              <w:rPr>
                <w:noProof/>
                <w:webHidden/>
              </w:rPr>
            </w:r>
            <w:r>
              <w:rPr>
                <w:noProof/>
                <w:webHidden/>
              </w:rPr>
              <w:fldChar w:fldCharType="separate"/>
            </w:r>
            <w:r>
              <w:rPr>
                <w:noProof/>
                <w:webHidden/>
              </w:rPr>
              <w:t>11</w:t>
            </w:r>
            <w:r>
              <w:rPr>
                <w:noProof/>
                <w:webHidden/>
              </w:rPr>
              <w:fldChar w:fldCharType="end"/>
            </w:r>
          </w:hyperlink>
        </w:p>
        <w:p w:rsidR="00FE5D94" w:rsidRDefault="00FE5D94" w14:paraId="18573F96" w14:textId="09C1959E">
          <w:pPr>
            <w:pStyle w:val="TOC1"/>
            <w:tabs>
              <w:tab w:val="right" w:leader="dot" w:pos="9350"/>
            </w:tabs>
            <w:rPr>
              <w:noProof/>
              <w:kern w:val="2"/>
              <w:lang w:val="en-NZ" w:eastAsia="en-NZ"/>
              <w14:ligatures w14:val="standardContextual"/>
            </w:rPr>
          </w:pPr>
          <w:hyperlink w:history="1" w:anchor="_Toc232071285">
            <w:r w:rsidRPr="003417EB">
              <w:rPr>
                <w:rStyle w:val="Hyperlink"/>
                <w:noProof/>
              </w:rPr>
              <w:t>Justice</w:t>
            </w:r>
            <w:r>
              <w:rPr>
                <w:noProof/>
                <w:webHidden/>
              </w:rPr>
              <w:tab/>
            </w:r>
            <w:r>
              <w:rPr>
                <w:noProof/>
                <w:webHidden/>
              </w:rPr>
              <w:fldChar w:fldCharType="begin"/>
            </w:r>
            <w:r>
              <w:rPr>
                <w:noProof/>
                <w:webHidden/>
              </w:rPr>
              <w:instrText xml:space="preserve"> PAGEREF _Toc232071285 \h </w:instrText>
            </w:r>
            <w:r>
              <w:rPr>
                <w:noProof/>
                <w:webHidden/>
              </w:rPr>
            </w:r>
            <w:r>
              <w:rPr>
                <w:noProof/>
                <w:webHidden/>
              </w:rPr>
              <w:fldChar w:fldCharType="separate"/>
            </w:r>
            <w:r>
              <w:rPr>
                <w:noProof/>
                <w:webHidden/>
              </w:rPr>
              <w:t>12</w:t>
            </w:r>
            <w:r>
              <w:rPr>
                <w:noProof/>
                <w:webHidden/>
              </w:rPr>
              <w:fldChar w:fldCharType="end"/>
            </w:r>
          </w:hyperlink>
        </w:p>
        <w:p w:rsidR="00FE5D94" w:rsidRDefault="00FE5D94" w14:paraId="662F1A08" w14:textId="1B960C35">
          <w:pPr>
            <w:pStyle w:val="TOC2"/>
            <w:tabs>
              <w:tab w:val="right" w:leader="dot" w:pos="9350"/>
            </w:tabs>
            <w:rPr>
              <w:noProof/>
              <w:kern w:val="2"/>
              <w:lang w:val="en-NZ" w:eastAsia="en-NZ"/>
              <w14:ligatures w14:val="standardContextual"/>
            </w:rPr>
          </w:pPr>
          <w:hyperlink w:history="1" w:anchor="_Toc232071286">
            <w:r w:rsidRPr="003417EB">
              <w:rPr>
                <w:rStyle w:val="Hyperlink"/>
                <w:noProof/>
              </w:rPr>
              <w:t>Goal</w:t>
            </w:r>
            <w:r>
              <w:rPr>
                <w:noProof/>
                <w:webHidden/>
              </w:rPr>
              <w:tab/>
            </w:r>
            <w:r>
              <w:rPr>
                <w:noProof/>
                <w:webHidden/>
              </w:rPr>
              <w:fldChar w:fldCharType="begin"/>
            </w:r>
            <w:r>
              <w:rPr>
                <w:noProof/>
                <w:webHidden/>
              </w:rPr>
              <w:instrText xml:space="preserve"> PAGEREF _Toc232071286 \h </w:instrText>
            </w:r>
            <w:r>
              <w:rPr>
                <w:noProof/>
                <w:webHidden/>
              </w:rPr>
            </w:r>
            <w:r>
              <w:rPr>
                <w:noProof/>
                <w:webHidden/>
              </w:rPr>
              <w:fldChar w:fldCharType="separate"/>
            </w:r>
            <w:r>
              <w:rPr>
                <w:noProof/>
                <w:webHidden/>
              </w:rPr>
              <w:t>12</w:t>
            </w:r>
            <w:r>
              <w:rPr>
                <w:noProof/>
                <w:webHidden/>
              </w:rPr>
              <w:fldChar w:fldCharType="end"/>
            </w:r>
          </w:hyperlink>
        </w:p>
        <w:p w:rsidR="00FE5D94" w:rsidRDefault="00FE5D94" w14:paraId="38069C1E" w14:textId="662A51EA">
          <w:pPr>
            <w:pStyle w:val="TOC2"/>
            <w:tabs>
              <w:tab w:val="right" w:leader="dot" w:pos="9350"/>
            </w:tabs>
            <w:rPr>
              <w:noProof/>
              <w:kern w:val="2"/>
              <w:lang w:val="en-NZ" w:eastAsia="en-NZ"/>
              <w14:ligatures w14:val="standardContextual"/>
            </w:rPr>
          </w:pPr>
          <w:hyperlink w:history="1" w:anchor="_Toc232071287">
            <w:r w:rsidRPr="003417EB">
              <w:rPr>
                <w:rStyle w:val="Hyperlink"/>
                <w:noProof/>
              </w:rPr>
              <w:t>Primary measures</w:t>
            </w:r>
            <w:r>
              <w:rPr>
                <w:noProof/>
                <w:webHidden/>
              </w:rPr>
              <w:tab/>
            </w:r>
            <w:r>
              <w:rPr>
                <w:noProof/>
                <w:webHidden/>
              </w:rPr>
              <w:fldChar w:fldCharType="begin"/>
            </w:r>
            <w:r>
              <w:rPr>
                <w:noProof/>
                <w:webHidden/>
              </w:rPr>
              <w:instrText xml:space="preserve"> PAGEREF _Toc232071287 \h </w:instrText>
            </w:r>
            <w:r>
              <w:rPr>
                <w:noProof/>
                <w:webHidden/>
              </w:rPr>
            </w:r>
            <w:r>
              <w:rPr>
                <w:noProof/>
                <w:webHidden/>
              </w:rPr>
              <w:fldChar w:fldCharType="separate"/>
            </w:r>
            <w:r>
              <w:rPr>
                <w:noProof/>
                <w:webHidden/>
              </w:rPr>
              <w:t>12</w:t>
            </w:r>
            <w:r>
              <w:rPr>
                <w:noProof/>
                <w:webHidden/>
              </w:rPr>
              <w:fldChar w:fldCharType="end"/>
            </w:r>
          </w:hyperlink>
        </w:p>
        <w:p w:rsidR="00FE5D94" w:rsidRDefault="00FE5D94" w14:paraId="70A0045C" w14:textId="7DD9202C">
          <w:pPr>
            <w:pStyle w:val="TOC2"/>
            <w:tabs>
              <w:tab w:val="right" w:leader="dot" w:pos="9350"/>
            </w:tabs>
            <w:rPr>
              <w:noProof/>
              <w:kern w:val="2"/>
              <w:lang w:val="en-NZ" w:eastAsia="en-NZ"/>
              <w14:ligatures w14:val="standardContextual"/>
            </w:rPr>
          </w:pPr>
          <w:hyperlink w:history="1" w:anchor="_Toc232071288">
            <w:r w:rsidRPr="003417EB">
              <w:rPr>
                <w:rStyle w:val="Hyperlink"/>
                <w:noProof/>
              </w:rPr>
              <w:t>Supporting measures</w:t>
            </w:r>
            <w:r>
              <w:rPr>
                <w:noProof/>
                <w:webHidden/>
              </w:rPr>
              <w:tab/>
            </w:r>
            <w:r>
              <w:rPr>
                <w:noProof/>
                <w:webHidden/>
              </w:rPr>
              <w:fldChar w:fldCharType="begin"/>
            </w:r>
            <w:r>
              <w:rPr>
                <w:noProof/>
                <w:webHidden/>
              </w:rPr>
              <w:instrText xml:space="preserve"> PAGEREF _Toc232071288 \h </w:instrText>
            </w:r>
            <w:r>
              <w:rPr>
                <w:noProof/>
                <w:webHidden/>
              </w:rPr>
            </w:r>
            <w:r>
              <w:rPr>
                <w:noProof/>
                <w:webHidden/>
              </w:rPr>
              <w:fldChar w:fldCharType="separate"/>
            </w:r>
            <w:r>
              <w:rPr>
                <w:noProof/>
                <w:webHidden/>
              </w:rPr>
              <w:t>12</w:t>
            </w:r>
            <w:r>
              <w:rPr>
                <w:noProof/>
                <w:webHidden/>
              </w:rPr>
              <w:fldChar w:fldCharType="end"/>
            </w:r>
          </w:hyperlink>
        </w:p>
        <w:p w:rsidR="00FE5D94" w:rsidRDefault="00FE5D94" w14:paraId="45D438FB" w14:textId="5386819F">
          <w:pPr>
            <w:pStyle w:val="TOC1"/>
            <w:tabs>
              <w:tab w:val="right" w:leader="dot" w:pos="9350"/>
            </w:tabs>
            <w:rPr>
              <w:noProof/>
              <w:kern w:val="2"/>
              <w:lang w:val="en-NZ" w:eastAsia="en-NZ"/>
              <w14:ligatures w14:val="standardContextual"/>
            </w:rPr>
          </w:pPr>
          <w:hyperlink w:history="1" w:anchor="_Toc232071289">
            <w:r w:rsidRPr="003417EB">
              <w:rPr>
                <w:rStyle w:val="Hyperlink"/>
                <w:noProof/>
              </w:rPr>
              <w:t>About the data</w:t>
            </w:r>
            <w:r>
              <w:rPr>
                <w:noProof/>
                <w:webHidden/>
              </w:rPr>
              <w:tab/>
            </w:r>
            <w:r>
              <w:rPr>
                <w:noProof/>
                <w:webHidden/>
              </w:rPr>
              <w:fldChar w:fldCharType="begin"/>
            </w:r>
            <w:r>
              <w:rPr>
                <w:noProof/>
                <w:webHidden/>
              </w:rPr>
              <w:instrText xml:space="preserve"> PAGEREF _Toc232071289 \h </w:instrText>
            </w:r>
            <w:r>
              <w:rPr>
                <w:noProof/>
                <w:webHidden/>
              </w:rPr>
            </w:r>
            <w:r>
              <w:rPr>
                <w:noProof/>
                <w:webHidden/>
              </w:rPr>
              <w:fldChar w:fldCharType="separate"/>
            </w:r>
            <w:r>
              <w:rPr>
                <w:noProof/>
                <w:webHidden/>
              </w:rPr>
              <w:t>13</w:t>
            </w:r>
            <w:r>
              <w:rPr>
                <w:noProof/>
                <w:webHidden/>
              </w:rPr>
              <w:fldChar w:fldCharType="end"/>
            </w:r>
          </w:hyperlink>
        </w:p>
        <w:p w:rsidR="00FE5D94" w:rsidRDefault="00FE5D94" w14:paraId="799ABCE3" w14:textId="0CC8C76B">
          <w:pPr>
            <w:pStyle w:val="TOC1"/>
            <w:tabs>
              <w:tab w:val="right" w:leader="dot" w:pos="9350"/>
            </w:tabs>
            <w:rPr>
              <w:noProof/>
              <w:kern w:val="2"/>
              <w:lang w:val="en-NZ" w:eastAsia="en-NZ"/>
              <w14:ligatures w14:val="standardContextual"/>
            </w:rPr>
          </w:pPr>
          <w:hyperlink w:history="1" w:anchor="_Toc232071290">
            <w:r w:rsidRPr="003417EB">
              <w:rPr>
                <w:rStyle w:val="Hyperlink"/>
                <w:noProof/>
              </w:rPr>
              <w:t>Interpreting the data</w:t>
            </w:r>
            <w:r>
              <w:rPr>
                <w:noProof/>
                <w:webHidden/>
              </w:rPr>
              <w:tab/>
            </w:r>
            <w:r>
              <w:rPr>
                <w:noProof/>
                <w:webHidden/>
              </w:rPr>
              <w:fldChar w:fldCharType="begin"/>
            </w:r>
            <w:r>
              <w:rPr>
                <w:noProof/>
                <w:webHidden/>
              </w:rPr>
              <w:instrText xml:space="preserve"> PAGEREF _Toc232071290 \h </w:instrText>
            </w:r>
            <w:r>
              <w:rPr>
                <w:noProof/>
                <w:webHidden/>
              </w:rPr>
            </w:r>
            <w:r>
              <w:rPr>
                <w:noProof/>
                <w:webHidden/>
              </w:rPr>
              <w:fldChar w:fldCharType="separate"/>
            </w:r>
            <w:r>
              <w:rPr>
                <w:noProof/>
                <w:webHidden/>
              </w:rPr>
              <w:t>13</w:t>
            </w:r>
            <w:r>
              <w:rPr>
                <w:noProof/>
                <w:webHidden/>
              </w:rPr>
              <w:fldChar w:fldCharType="end"/>
            </w:r>
          </w:hyperlink>
        </w:p>
        <w:p w:rsidR="00FE5D94" w:rsidRDefault="00FE5D94" w14:paraId="404D4A26" w14:textId="77634318">
          <w:pPr>
            <w:pStyle w:val="TOC2"/>
            <w:tabs>
              <w:tab w:val="right" w:leader="dot" w:pos="9350"/>
            </w:tabs>
            <w:rPr>
              <w:noProof/>
              <w:kern w:val="2"/>
              <w:lang w:val="en-NZ" w:eastAsia="en-NZ"/>
              <w14:ligatures w14:val="standardContextual"/>
            </w:rPr>
          </w:pPr>
          <w:hyperlink w:history="1" w:anchor="_Toc232071291">
            <w:r w:rsidRPr="003417EB">
              <w:rPr>
                <w:rStyle w:val="Hyperlink"/>
                <w:noProof/>
              </w:rPr>
              <w:t>Confidence intervals</w:t>
            </w:r>
            <w:r>
              <w:rPr>
                <w:noProof/>
                <w:webHidden/>
              </w:rPr>
              <w:tab/>
            </w:r>
            <w:r>
              <w:rPr>
                <w:noProof/>
                <w:webHidden/>
              </w:rPr>
              <w:fldChar w:fldCharType="begin"/>
            </w:r>
            <w:r>
              <w:rPr>
                <w:noProof/>
                <w:webHidden/>
              </w:rPr>
              <w:instrText xml:space="preserve"> PAGEREF _Toc232071291 \h </w:instrText>
            </w:r>
            <w:r>
              <w:rPr>
                <w:noProof/>
                <w:webHidden/>
              </w:rPr>
            </w:r>
            <w:r>
              <w:rPr>
                <w:noProof/>
                <w:webHidden/>
              </w:rPr>
              <w:fldChar w:fldCharType="separate"/>
            </w:r>
            <w:r>
              <w:rPr>
                <w:noProof/>
                <w:webHidden/>
              </w:rPr>
              <w:t>13</w:t>
            </w:r>
            <w:r>
              <w:rPr>
                <w:noProof/>
                <w:webHidden/>
              </w:rPr>
              <w:fldChar w:fldCharType="end"/>
            </w:r>
          </w:hyperlink>
        </w:p>
        <w:p w:rsidR="00FE5D94" w:rsidRDefault="00FE5D94" w14:paraId="70226D0B" w14:textId="67E37147">
          <w:pPr>
            <w:pStyle w:val="TOC2"/>
            <w:tabs>
              <w:tab w:val="right" w:leader="dot" w:pos="9350"/>
            </w:tabs>
            <w:rPr>
              <w:noProof/>
              <w:kern w:val="2"/>
              <w:lang w:val="en-NZ" w:eastAsia="en-NZ"/>
              <w14:ligatures w14:val="standardContextual"/>
            </w:rPr>
          </w:pPr>
          <w:hyperlink w:history="1" w:anchor="_Toc232071292">
            <w:r w:rsidRPr="003417EB">
              <w:rPr>
                <w:rStyle w:val="Hyperlink"/>
                <w:noProof/>
              </w:rPr>
              <w:t>Pooled data and suppression</w:t>
            </w:r>
            <w:r>
              <w:rPr>
                <w:noProof/>
                <w:webHidden/>
              </w:rPr>
              <w:tab/>
            </w:r>
            <w:r>
              <w:rPr>
                <w:noProof/>
                <w:webHidden/>
              </w:rPr>
              <w:fldChar w:fldCharType="begin"/>
            </w:r>
            <w:r>
              <w:rPr>
                <w:noProof/>
                <w:webHidden/>
              </w:rPr>
              <w:instrText xml:space="preserve"> PAGEREF _Toc232071292 \h </w:instrText>
            </w:r>
            <w:r>
              <w:rPr>
                <w:noProof/>
                <w:webHidden/>
              </w:rPr>
            </w:r>
            <w:r>
              <w:rPr>
                <w:noProof/>
                <w:webHidden/>
              </w:rPr>
              <w:fldChar w:fldCharType="separate"/>
            </w:r>
            <w:r>
              <w:rPr>
                <w:noProof/>
                <w:webHidden/>
              </w:rPr>
              <w:t>14</w:t>
            </w:r>
            <w:r>
              <w:rPr>
                <w:noProof/>
                <w:webHidden/>
              </w:rPr>
              <w:fldChar w:fldCharType="end"/>
            </w:r>
          </w:hyperlink>
        </w:p>
        <w:p w:rsidR="00FE5D94" w:rsidRDefault="00FE5D94" w14:paraId="73BE25A5" w14:textId="3C3343E4">
          <w:pPr>
            <w:pStyle w:val="TOC2"/>
            <w:tabs>
              <w:tab w:val="right" w:leader="dot" w:pos="9350"/>
            </w:tabs>
            <w:rPr>
              <w:noProof/>
              <w:kern w:val="2"/>
              <w:lang w:val="en-NZ" w:eastAsia="en-NZ"/>
              <w14:ligatures w14:val="standardContextual"/>
            </w:rPr>
          </w:pPr>
          <w:hyperlink w:history="1" w:anchor="_Toc232071293">
            <w:r w:rsidRPr="003417EB">
              <w:rPr>
                <w:rStyle w:val="Hyperlink"/>
                <w:noProof/>
              </w:rPr>
              <w:t>Disclaimer</w:t>
            </w:r>
            <w:r>
              <w:rPr>
                <w:noProof/>
                <w:webHidden/>
              </w:rPr>
              <w:tab/>
            </w:r>
            <w:r>
              <w:rPr>
                <w:noProof/>
                <w:webHidden/>
              </w:rPr>
              <w:fldChar w:fldCharType="begin"/>
            </w:r>
            <w:r>
              <w:rPr>
                <w:noProof/>
                <w:webHidden/>
              </w:rPr>
              <w:instrText xml:space="preserve"> PAGEREF _Toc232071293 \h </w:instrText>
            </w:r>
            <w:r>
              <w:rPr>
                <w:noProof/>
                <w:webHidden/>
              </w:rPr>
            </w:r>
            <w:r>
              <w:rPr>
                <w:noProof/>
                <w:webHidden/>
              </w:rPr>
              <w:fldChar w:fldCharType="separate"/>
            </w:r>
            <w:r>
              <w:rPr>
                <w:noProof/>
                <w:webHidden/>
              </w:rPr>
              <w:t>14</w:t>
            </w:r>
            <w:r>
              <w:rPr>
                <w:noProof/>
                <w:webHidden/>
              </w:rPr>
              <w:fldChar w:fldCharType="end"/>
            </w:r>
          </w:hyperlink>
        </w:p>
        <w:p w:rsidR="00FE5D94" w:rsidRDefault="00FE5D94" w14:paraId="60B72573" w14:textId="10A05440">
          <w:pPr>
            <w:pStyle w:val="TOC1"/>
            <w:tabs>
              <w:tab w:val="right" w:leader="dot" w:pos="9350"/>
            </w:tabs>
            <w:rPr>
              <w:noProof/>
              <w:kern w:val="2"/>
              <w:lang w:val="en-NZ" w:eastAsia="en-NZ"/>
              <w14:ligatures w14:val="standardContextual"/>
            </w:rPr>
          </w:pPr>
          <w:hyperlink w:history="1" w:anchor="_Toc232071294">
            <w:r w:rsidRPr="003417EB">
              <w:rPr>
                <w:rStyle w:val="Hyperlink"/>
                <w:noProof/>
              </w:rPr>
              <w:t>How disabled people were identified</w:t>
            </w:r>
            <w:r>
              <w:rPr>
                <w:noProof/>
                <w:webHidden/>
              </w:rPr>
              <w:tab/>
            </w:r>
            <w:r>
              <w:rPr>
                <w:noProof/>
                <w:webHidden/>
              </w:rPr>
              <w:fldChar w:fldCharType="begin"/>
            </w:r>
            <w:r>
              <w:rPr>
                <w:noProof/>
                <w:webHidden/>
              </w:rPr>
              <w:instrText xml:space="preserve"> PAGEREF _Toc232071294 \h </w:instrText>
            </w:r>
            <w:r>
              <w:rPr>
                <w:noProof/>
                <w:webHidden/>
              </w:rPr>
            </w:r>
            <w:r>
              <w:rPr>
                <w:noProof/>
                <w:webHidden/>
              </w:rPr>
              <w:fldChar w:fldCharType="separate"/>
            </w:r>
            <w:r>
              <w:rPr>
                <w:noProof/>
                <w:webHidden/>
              </w:rPr>
              <w:t>15</w:t>
            </w:r>
            <w:r>
              <w:rPr>
                <w:noProof/>
                <w:webHidden/>
              </w:rPr>
              <w:fldChar w:fldCharType="end"/>
            </w:r>
          </w:hyperlink>
        </w:p>
        <w:p w:rsidR="00FE5D94" w:rsidRDefault="00FE5D94" w14:paraId="6D248604" w14:textId="5C68019B">
          <w:pPr>
            <w:pStyle w:val="TOC2"/>
            <w:tabs>
              <w:tab w:val="right" w:leader="dot" w:pos="9350"/>
            </w:tabs>
            <w:rPr>
              <w:noProof/>
              <w:kern w:val="2"/>
              <w:lang w:val="en-NZ" w:eastAsia="en-NZ"/>
              <w14:ligatures w14:val="standardContextual"/>
            </w:rPr>
          </w:pPr>
          <w:hyperlink w:history="1" w:anchor="_Toc232071295">
            <w:r w:rsidRPr="003417EB">
              <w:rPr>
                <w:rStyle w:val="Hyperlink"/>
                <w:noProof/>
              </w:rPr>
              <w:t>Washington Group Short Set (WGSS)</w:t>
            </w:r>
            <w:r>
              <w:rPr>
                <w:noProof/>
                <w:webHidden/>
              </w:rPr>
              <w:tab/>
            </w:r>
            <w:r>
              <w:rPr>
                <w:noProof/>
                <w:webHidden/>
              </w:rPr>
              <w:fldChar w:fldCharType="begin"/>
            </w:r>
            <w:r>
              <w:rPr>
                <w:noProof/>
                <w:webHidden/>
              </w:rPr>
              <w:instrText xml:space="preserve"> PAGEREF _Toc232071295 \h </w:instrText>
            </w:r>
            <w:r>
              <w:rPr>
                <w:noProof/>
                <w:webHidden/>
              </w:rPr>
            </w:r>
            <w:r>
              <w:rPr>
                <w:noProof/>
                <w:webHidden/>
              </w:rPr>
              <w:fldChar w:fldCharType="separate"/>
            </w:r>
            <w:r>
              <w:rPr>
                <w:noProof/>
                <w:webHidden/>
              </w:rPr>
              <w:t>15</w:t>
            </w:r>
            <w:r>
              <w:rPr>
                <w:noProof/>
                <w:webHidden/>
              </w:rPr>
              <w:fldChar w:fldCharType="end"/>
            </w:r>
          </w:hyperlink>
        </w:p>
        <w:p w:rsidR="00FE5D94" w:rsidRDefault="00FE5D94" w14:paraId="2D362E1B" w14:textId="6BBEA01B">
          <w:pPr>
            <w:pStyle w:val="TOC2"/>
            <w:tabs>
              <w:tab w:val="right" w:leader="dot" w:pos="9350"/>
            </w:tabs>
            <w:rPr>
              <w:noProof/>
              <w:kern w:val="2"/>
              <w:lang w:val="en-NZ" w:eastAsia="en-NZ"/>
              <w14:ligatures w14:val="standardContextual"/>
            </w:rPr>
          </w:pPr>
          <w:hyperlink w:history="1" w:anchor="_Toc232071296">
            <w:r w:rsidRPr="003417EB">
              <w:rPr>
                <w:rStyle w:val="Hyperlink"/>
                <w:noProof/>
              </w:rPr>
              <w:t>Washington Group Short Set Enhanced (WGSS-E)</w:t>
            </w:r>
            <w:r>
              <w:rPr>
                <w:noProof/>
                <w:webHidden/>
              </w:rPr>
              <w:tab/>
            </w:r>
            <w:r>
              <w:rPr>
                <w:noProof/>
                <w:webHidden/>
              </w:rPr>
              <w:fldChar w:fldCharType="begin"/>
            </w:r>
            <w:r>
              <w:rPr>
                <w:noProof/>
                <w:webHidden/>
              </w:rPr>
              <w:instrText xml:space="preserve"> PAGEREF _Toc232071296 \h </w:instrText>
            </w:r>
            <w:r>
              <w:rPr>
                <w:noProof/>
                <w:webHidden/>
              </w:rPr>
            </w:r>
            <w:r>
              <w:rPr>
                <w:noProof/>
                <w:webHidden/>
              </w:rPr>
              <w:fldChar w:fldCharType="separate"/>
            </w:r>
            <w:r>
              <w:rPr>
                <w:noProof/>
                <w:webHidden/>
              </w:rPr>
              <w:t>15</w:t>
            </w:r>
            <w:r>
              <w:rPr>
                <w:noProof/>
                <w:webHidden/>
              </w:rPr>
              <w:fldChar w:fldCharType="end"/>
            </w:r>
          </w:hyperlink>
        </w:p>
        <w:p w:rsidR="00FE5D94" w:rsidRDefault="00FE5D94" w14:paraId="129395F5" w14:textId="2BBE4D41">
          <w:pPr>
            <w:pStyle w:val="TOC2"/>
            <w:tabs>
              <w:tab w:val="right" w:leader="dot" w:pos="9350"/>
            </w:tabs>
            <w:rPr>
              <w:noProof/>
              <w:kern w:val="2"/>
              <w:lang w:val="en-NZ" w:eastAsia="en-NZ"/>
              <w14:ligatures w14:val="standardContextual"/>
            </w:rPr>
          </w:pPr>
          <w:hyperlink w:history="1" w:anchor="_Toc232071297">
            <w:r w:rsidRPr="003417EB">
              <w:rPr>
                <w:rStyle w:val="Hyperlink"/>
                <w:noProof/>
              </w:rPr>
              <w:t>Washington Group/UNICEF Child Functioning Module (WG-CFM)</w:t>
            </w:r>
            <w:r>
              <w:rPr>
                <w:noProof/>
                <w:webHidden/>
              </w:rPr>
              <w:tab/>
            </w:r>
            <w:r>
              <w:rPr>
                <w:noProof/>
                <w:webHidden/>
              </w:rPr>
              <w:fldChar w:fldCharType="begin"/>
            </w:r>
            <w:r>
              <w:rPr>
                <w:noProof/>
                <w:webHidden/>
              </w:rPr>
              <w:instrText xml:space="preserve"> PAGEREF _Toc232071297 \h </w:instrText>
            </w:r>
            <w:r>
              <w:rPr>
                <w:noProof/>
                <w:webHidden/>
              </w:rPr>
            </w:r>
            <w:r>
              <w:rPr>
                <w:noProof/>
                <w:webHidden/>
              </w:rPr>
              <w:fldChar w:fldCharType="separate"/>
            </w:r>
            <w:r>
              <w:rPr>
                <w:noProof/>
                <w:webHidden/>
              </w:rPr>
              <w:t>16</w:t>
            </w:r>
            <w:r>
              <w:rPr>
                <w:noProof/>
                <w:webHidden/>
              </w:rPr>
              <w:fldChar w:fldCharType="end"/>
            </w:r>
          </w:hyperlink>
        </w:p>
        <w:p w:rsidR="00FE5D94" w:rsidRDefault="00FE5D94" w14:paraId="42EC8ACE" w14:textId="1406C616">
          <w:pPr>
            <w:pStyle w:val="TOC1"/>
            <w:tabs>
              <w:tab w:val="right" w:leader="dot" w:pos="9350"/>
            </w:tabs>
            <w:rPr>
              <w:noProof/>
              <w:kern w:val="2"/>
              <w:lang w:val="en-NZ" w:eastAsia="en-NZ"/>
              <w14:ligatures w14:val="standardContextual"/>
            </w:rPr>
          </w:pPr>
          <w:hyperlink w:history="1" w:anchor="_Toc232071298">
            <w:r w:rsidRPr="003417EB">
              <w:rPr>
                <w:rStyle w:val="Hyperlink"/>
                <w:noProof/>
              </w:rPr>
              <w:t>About the data sources</w:t>
            </w:r>
            <w:r>
              <w:rPr>
                <w:noProof/>
                <w:webHidden/>
              </w:rPr>
              <w:tab/>
            </w:r>
            <w:r>
              <w:rPr>
                <w:noProof/>
                <w:webHidden/>
              </w:rPr>
              <w:fldChar w:fldCharType="begin"/>
            </w:r>
            <w:r>
              <w:rPr>
                <w:noProof/>
                <w:webHidden/>
              </w:rPr>
              <w:instrText xml:space="preserve"> PAGEREF _Toc232071298 \h </w:instrText>
            </w:r>
            <w:r>
              <w:rPr>
                <w:noProof/>
                <w:webHidden/>
              </w:rPr>
            </w:r>
            <w:r>
              <w:rPr>
                <w:noProof/>
                <w:webHidden/>
              </w:rPr>
              <w:fldChar w:fldCharType="separate"/>
            </w:r>
            <w:r>
              <w:rPr>
                <w:noProof/>
                <w:webHidden/>
              </w:rPr>
              <w:t>17</w:t>
            </w:r>
            <w:r>
              <w:rPr>
                <w:noProof/>
                <w:webHidden/>
              </w:rPr>
              <w:fldChar w:fldCharType="end"/>
            </w:r>
          </w:hyperlink>
        </w:p>
        <w:p w:rsidR="00FE5D94" w:rsidRDefault="00FE5D94" w14:paraId="0795E086" w14:textId="45E5A822">
          <w:pPr>
            <w:pStyle w:val="TOC2"/>
            <w:tabs>
              <w:tab w:val="right" w:leader="dot" w:pos="9350"/>
            </w:tabs>
            <w:rPr>
              <w:noProof/>
              <w:kern w:val="2"/>
              <w:lang w:val="en-NZ" w:eastAsia="en-NZ"/>
              <w14:ligatures w14:val="standardContextual"/>
            </w:rPr>
          </w:pPr>
          <w:hyperlink w:history="1" w:anchor="_Toc232071299">
            <w:r w:rsidRPr="003417EB">
              <w:rPr>
                <w:rStyle w:val="Hyperlink"/>
                <w:noProof/>
              </w:rPr>
              <w:t>Census | Stats NZ</w:t>
            </w:r>
            <w:r>
              <w:rPr>
                <w:noProof/>
                <w:webHidden/>
              </w:rPr>
              <w:tab/>
            </w:r>
            <w:r>
              <w:rPr>
                <w:noProof/>
                <w:webHidden/>
              </w:rPr>
              <w:fldChar w:fldCharType="begin"/>
            </w:r>
            <w:r>
              <w:rPr>
                <w:noProof/>
                <w:webHidden/>
              </w:rPr>
              <w:instrText xml:space="preserve"> PAGEREF _Toc232071299 \h </w:instrText>
            </w:r>
            <w:r>
              <w:rPr>
                <w:noProof/>
                <w:webHidden/>
              </w:rPr>
            </w:r>
            <w:r>
              <w:rPr>
                <w:noProof/>
                <w:webHidden/>
              </w:rPr>
              <w:fldChar w:fldCharType="separate"/>
            </w:r>
            <w:r>
              <w:rPr>
                <w:noProof/>
                <w:webHidden/>
              </w:rPr>
              <w:t>17</w:t>
            </w:r>
            <w:r>
              <w:rPr>
                <w:noProof/>
                <w:webHidden/>
              </w:rPr>
              <w:fldChar w:fldCharType="end"/>
            </w:r>
          </w:hyperlink>
        </w:p>
        <w:p w:rsidR="00FE5D94" w:rsidRDefault="00FE5D94" w14:paraId="1BD3266F" w14:textId="60A19E30">
          <w:pPr>
            <w:pStyle w:val="TOC2"/>
            <w:tabs>
              <w:tab w:val="right" w:leader="dot" w:pos="9350"/>
            </w:tabs>
            <w:rPr>
              <w:noProof/>
              <w:kern w:val="2"/>
              <w:lang w:val="en-NZ" w:eastAsia="en-NZ"/>
              <w14:ligatures w14:val="standardContextual"/>
            </w:rPr>
          </w:pPr>
          <w:hyperlink w:history="1" w:anchor="_Toc232071300">
            <w:r w:rsidRPr="003417EB">
              <w:rPr>
                <w:rStyle w:val="Hyperlink"/>
                <w:noProof/>
              </w:rPr>
              <w:t>General Social Survey (GSS) | Stats NZ</w:t>
            </w:r>
            <w:r>
              <w:rPr>
                <w:noProof/>
                <w:webHidden/>
              </w:rPr>
              <w:tab/>
            </w:r>
            <w:r>
              <w:rPr>
                <w:noProof/>
                <w:webHidden/>
              </w:rPr>
              <w:fldChar w:fldCharType="begin"/>
            </w:r>
            <w:r>
              <w:rPr>
                <w:noProof/>
                <w:webHidden/>
              </w:rPr>
              <w:instrText xml:space="preserve"> PAGEREF _Toc232071300 \h </w:instrText>
            </w:r>
            <w:r>
              <w:rPr>
                <w:noProof/>
                <w:webHidden/>
              </w:rPr>
            </w:r>
            <w:r>
              <w:rPr>
                <w:noProof/>
                <w:webHidden/>
              </w:rPr>
              <w:fldChar w:fldCharType="separate"/>
            </w:r>
            <w:r>
              <w:rPr>
                <w:noProof/>
                <w:webHidden/>
              </w:rPr>
              <w:t>18</w:t>
            </w:r>
            <w:r>
              <w:rPr>
                <w:noProof/>
                <w:webHidden/>
              </w:rPr>
              <w:fldChar w:fldCharType="end"/>
            </w:r>
          </w:hyperlink>
        </w:p>
        <w:p w:rsidR="00FE5D94" w:rsidRDefault="00FE5D94" w14:paraId="0E763B2E" w14:textId="7EF3D24C">
          <w:pPr>
            <w:pStyle w:val="TOC2"/>
            <w:tabs>
              <w:tab w:val="right" w:leader="dot" w:pos="9350"/>
            </w:tabs>
            <w:rPr>
              <w:noProof/>
              <w:kern w:val="2"/>
              <w:lang w:val="en-NZ" w:eastAsia="en-NZ"/>
              <w14:ligatures w14:val="standardContextual"/>
            </w:rPr>
          </w:pPr>
          <w:hyperlink w:history="1" w:anchor="_Toc232071301">
            <w:r w:rsidRPr="003417EB">
              <w:rPr>
                <w:rStyle w:val="Hyperlink"/>
                <w:noProof/>
              </w:rPr>
              <w:t>Household Income and Living Survey | Stats NZ</w:t>
            </w:r>
            <w:r>
              <w:rPr>
                <w:noProof/>
                <w:webHidden/>
              </w:rPr>
              <w:tab/>
            </w:r>
            <w:r>
              <w:rPr>
                <w:noProof/>
                <w:webHidden/>
              </w:rPr>
              <w:fldChar w:fldCharType="begin"/>
            </w:r>
            <w:r>
              <w:rPr>
                <w:noProof/>
                <w:webHidden/>
              </w:rPr>
              <w:instrText xml:space="preserve"> PAGEREF _Toc232071301 \h </w:instrText>
            </w:r>
            <w:r>
              <w:rPr>
                <w:noProof/>
                <w:webHidden/>
              </w:rPr>
            </w:r>
            <w:r>
              <w:rPr>
                <w:noProof/>
                <w:webHidden/>
              </w:rPr>
              <w:fldChar w:fldCharType="separate"/>
            </w:r>
            <w:r>
              <w:rPr>
                <w:noProof/>
                <w:webHidden/>
              </w:rPr>
              <w:t>18</w:t>
            </w:r>
            <w:r>
              <w:rPr>
                <w:noProof/>
                <w:webHidden/>
              </w:rPr>
              <w:fldChar w:fldCharType="end"/>
            </w:r>
          </w:hyperlink>
        </w:p>
        <w:p w:rsidR="00FE5D94" w:rsidRDefault="00FE5D94" w14:paraId="68C918CB" w14:textId="6CAD137B">
          <w:pPr>
            <w:pStyle w:val="TOC2"/>
            <w:tabs>
              <w:tab w:val="right" w:leader="dot" w:pos="9350"/>
            </w:tabs>
            <w:rPr>
              <w:noProof/>
              <w:kern w:val="2"/>
              <w:lang w:val="en-NZ" w:eastAsia="en-NZ"/>
              <w14:ligatures w14:val="standardContextual"/>
            </w:rPr>
          </w:pPr>
          <w:hyperlink w:history="1" w:anchor="_Toc232071302">
            <w:r w:rsidRPr="003417EB">
              <w:rPr>
                <w:rStyle w:val="Hyperlink"/>
                <w:noProof/>
              </w:rPr>
              <w:t>Household Economic Survey (HES) | Stats NZ</w:t>
            </w:r>
            <w:r>
              <w:rPr>
                <w:noProof/>
                <w:webHidden/>
              </w:rPr>
              <w:tab/>
            </w:r>
            <w:r>
              <w:rPr>
                <w:noProof/>
                <w:webHidden/>
              </w:rPr>
              <w:fldChar w:fldCharType="begin"/>
            </w:r>
            <w:r>
              <w:rPr>
                <w:noProof/>
                <w:webHidden/>
              </w:rPr>
              <w:instrText xml:space="preserve"> PAGEREF _Toc232071302 \h </w:instrText>
            </w:r>
            <w:r>
              <w:rPr>
                <w:noProof/>
                <w:webHidden/>
              </w:rPr>
            </w:r>
            <w:r>
              <w:rPr>
                <w:noProof/>
                <w:webHidden/>
              </w:rPr>
              <w:fldChar w:fldCharType="separate"/>
            </w:r>
            <w:r>
              <w:rPr>
                <w:noProof/>
                <w:webHidden/>
              </w:rPr>
              <w:t>19</w:t>
            </w:r>
            <w:r>
              <w:rPr>
                <w:noProof/>
                <w:webHidden/>
              </w:rPr>
              <w:fldChar w:fldCharType="end"/>
            </w:r>
          </w:hyperlink>
        </w:p>
        <w:p w:rsidR="00FE5D94" w:rsidRDefault="00FE5D94" w14:paraId="05C90FB9" w14:textId="651B56C4">
          <w:pPr>
            <w:pStyle w:val="TOC2"/>
            <w:tabs>
              <w:tab w:val="right" w:leader="dot" w:pos="9350"/>
            </w:tabs>
            <w:rPr>
              <w:noProof/>
              <w:kern w:val="2"/>
              <w:lang w:val="en-NZ" w:eastAsia="en-NZ"/>
              <w14:ligatures w14:val="standardContextual"/>
            </w:rPr>
          </w:pPr>
          <w:hyperlink w:history="1" w:anchor="_Toc232071303">
            <w:r w:rsidRPr="003417EB">
              <w:rPr>
                <w:rStyle w:val="Hyperlink"/>
                <w:noProof/>
              </w:rPr>
              <w:t>Household Labour Force Survey (HLFS) | Stats NZ</w:t>
            </w:r>
            <w:r>
              <w:rPr>
                <w:noProof/>
                <w:webHidden/>
              </w:rPr>
              <w:tab/>
            </w:r>
            <w:r>
              <w:rPr>
                <w:noProof/>
                <w:webHidden/>
              </w:rPr>
              <w:fldChar w:fldCharType="begin"/>
            </w:r>
            <w:r>
              <w:rPr>
                <w:noProof/>
                <w:webHidden/>
              </w:rPr>
              <w:instrText xml:space="preserve"> PAGEREF _Toc232071303 \h </w:instrText>
            </w:r>
            <w:r>
              <w:rPr>
                <w:noProof/>
                <w:webHidden/>
              </w:rPr>
            </w:r>
            <w:r>
              <w:rPr>
                <w:noProof/>
                <w:webHidden/>
              </w:rPr>
              <w:fldChar w:fldCharType="separate"/>
            </w:r>
            <w:r>
              <w:rPr>
                <w:noProof/>
                <w:webHidden/>
              </w:rPr>
              <w:t>19</w:t>
            </w:r>
            <w:r>
              <w:rPr>
                <w:noProof/>
                <w:webHidden/>
              </w:rPr>
              <w:fldChar w:fldCharType="end"/>
            </w:r>
          </w:hyperlink>
        </w:p>
        <w:p w:rsidR="00FE5D94" w:rsidRDefault="00FE5D94" w14:paraId="0D6CD5DF" w14:textId="7B003972">
          <w:pPr>
            <w:pStyle w:val="TOC2"/>
            <w:tabs>
              <w:tab w:val="right" w:leader="dot" w:pos="9350"/>
            </w:tabs>
            <w:rPr>
              <w:noProof/>
              <w:kern w:val="2"/>
              <w:lang w:val="en-NZ" w:eastAsia="en-NZ"/>
              <w14:ligatures w14:val="standardContextual"/>
            </w:rPr>
          </w:pPr>
          <w:hyperlink w:history="1" w:anchor="_Toc232071304">
            <w:r w:rsidRPr="003417EB">
              <w:rPr>
                <w:rStyle w:val="Hyperlink"/>
                <w:noProof/>
              </w:rPr>
              <w:t>Patient experience surveys | Health Quality &amp; Safety Commission Te Tāhū Hauora</w:t>
            </w:r>
            <w:r>
              <w:rPr>
                <w:noProof/>
                <w:webHidden/>
              </w:rPr>
              <w:tab/>
            </w:r>
            <w:r>
              <w:rPr>
                <w:noProof/>
                <w:webHidden/>
              </w:rPr>
              <w:fldChar w:fldCharType="begin"/>
            </w:r>
            <w:r>
              <w:rPr>
                <w:noProof/>
                <w:webHidden/>
              </w:rPr>
              <w:instrText xml:space="preserve"> PAGEREF _Toc232071304 \h </w:instrText>
            </w:r>
            <w:r>
              <w:rPr>
                <w:noProof/>
                <w:webHidden/>
              </w:rPr>
            </w:r>
            <w:r>
              <w:rPr>
                <w:noProof/>
                <w:webHidden/>
              </w:rPr>
              <w:fldChar w:fldCharType="separate"/>
            </w:r>
            <w:r>
              <w:rPr>
                <w:noProof/>
                <w:webHidden/>
              </w:rPr>
              <w:t>19</w:t>
            </w:r>
            <w:r>
              <w:rPr>
                <w:noProof/>
                <w:webHidden/>
              </w:rPr>
              <w:fldChar w:fldCharType="end"/>
            </w:r>
          </w:hyperlink>
        </w:p>
        <w:p w:rsidR="00FE5D94" w:rsidRDefault="00FE5D94" w14:paraId="23557F31" w14:textId="30AE3E5B">
          <w:pPr>
            <w:pStyle w:val="TOC3"/>
            <w:tabs>
              <w:tab w:val="right" w:leader="dot" w:pos="9350"/>
            </w:tabs>
            <w:rPr>
              <w:noProof/>
              <w:kern w:val="2"/>
              <w:lang w:val="en-NZ" w:eastAsia="en-NZ"/>
              <w14:ligatures w14:val="standardContextual"/>
            </w:rPr>
          </w:pPr>
          <w:hyperlink w:history="1" w:anchor="_Toc232071305">
            <w:r w:rsidRPr="003417EB">
              <w:rPr>
                <w:rStyle w:val="Hyperlink"/>
                <w:noProof/>
              </w:rPr>
              <w:t>Adult primary care patient experience survey</w:t>
            </w:r>
            <w:r>
              <w:rPr>
                <w:noProof/>
                <w:webHidden/>
              </w:rPr>
              <w:tab/>
            </w:r>
            <w:r>
              <w:rPr>
                <w:noProof/>
                <w:webHidden/>
              </w:rPr>
              <w:fldChar w:fldCharType="begin"/>
            </w:r>
            <w:r>
              <w:rPr>
                <w:noProof/>
                <w:webHidden/>
              </w:rPr>
              <w:instrText xml:space="preserve"> PAGEREF _Toc232071305 \h </w:instrText>
            </w:r>
            <w:r>
              <w:rPr>
                <w:noProof/>
                <w:webHidden/>
              </w:rPr>
            </w:r>
            <w:r>
              <w:rPr>
                <w:noProof/>
                <w:webHidden/>
              </w:rPr>
              <w:fldChar w:fldCharType="separate"/>
            </w:r>
            <w:r>
              <w:rPr>
                <w:noProof/>
                <w:webHidden/>
              </w:rPr>
              <w:t>20</w:t>
            </w:r>
            <w:r>
              <w:rPr>
                <w:noProof/>
                <w:webHidden/>
              </w:rPr>
              <w:fldChar w:fldCharType="end"/>
            </w:r>
          </w:hyperlink>
        </w:p>
        <w:p w:rsidR="00FE5D94" w:rsidRDefault="00FE5D94" w14:paraId="21FD309A" w14:textId="7F4134F1">
          <w:pPr>
            <w:pStyle w:val="TOC3"/>
            <w:tabs>
              <w:tab w:val="right" w:leader="dot" w:pos="9350"/>
            </w:tabs>
            <w:rPr>
              <w:noProof/>
              <w:kern w:val="2"/>
              <w:lang w:val="en-NZ" w:eastAsia="en-NZ"/>
              <w14:ligatures w14:val="standardContextual"/>
            </w:rPr>
          </w:pPr>
          <w:hyperlink w:history="1" w:anchor="_Toc232071306">
            <w:r w:rsidRPr="003417EB">
              <w:rPr>
                <w:rStyle w:val="Hyperlink"/>
                <w:noProof/>
              </w:rPr>
              <w:t>Adult hospital inpatient experience survey</w:t>
            </w:r>
            <w:r>
              <w:rPr>
                <w:noProof/>
                <w:webHidden/>
              </w:rPr>
              <w:tab/>
            </w:r>
            <w:r>
              <w:rPr>
                <w:noProof/>
                <w:webHidden/>
              </w:rPr>
              <w:fldChar w:fldCharType="begin"/>
            </w:r>
            <w:r>
              <w:rPr>
                <w:noProof/>
                <w:webHidden/>
              </w:rPr>
              <w:instrText xml:space="preserve"> PAGEREF _Toc232071306 \h </w:instrText>
            </w:r>
            <w:r>
              <w:rPr>
                <w:noProof/>
                <w:webHidden/>
              </w:rPr>
            </w:r>
            <w:r>
              <w:rPr>
                <w:noProof/>
                <w:webHidden/>
              </w:rPr>
              <w:fldChar w:fldCharType="separate"/>
            </w:r>
            <w:r>
              <w:rPr>
                <w:noProof/>
                <w:webHidden/>
              </w:rPr>
              <w:t>20</w:t>
            </w:r>
            <w:r>
              <w:rPr>
                <w:noProof/>
                <w:webHidden/>
              </w:rPr>
              <w:fldChar w:fldCharType="end"/>
            </w:r>
          </w:hyperlink>
        </w:p>
        <w:p w:rsidR="00FE5D94" w:rsidRDefault="00FE5D94" w14:paraId="093E4776" w14:textId="1E330E51">
          <w:pPr>
            <w:pStyle w:val="TOC3"/>
            <w:tabs>
              <w:tab w:val="right" w:leader="dot" w:pos="9350"/>
            </w:tabs>
            <w:rPr>
              <w:noProof/>
              <w:kern w:val="2"/>
              <w:lang w:val="en-NZ" w:eastAsia="en-NZ"/>
              <w14:ligatures w14:val="standardContextual"/>
            </w:rPr>
          </w:pPr>
          <w:hyperlink w:history="1" w:anchor="_Toc232071307">
            <w:r w:rsidRPr="003417EB">
              <w:rPr>
                <w:rStyle w:val="Hyperlink"/>
                <w:noProof/>
              </w:rPr>
              <w:t>Adult hospital outpatient experience survey</w:t>
            </w:r>
            <w:r>
              <w:rPr>
                <w:noProof/>
                <w:webHidden/>
              </w:rPr>
              <w:tab/>
            </w:r>
            <w:r>
              <w:rPr>
                <w:noProof/>
                <w:webHidden/>
              </w:rPr>
              <w:fldChar w:fldCharType="begin"/>
            </w:r>
            <w:r>
              <w:rPr>
                <w:noProof/>
                <w:webHidden/>
              </w:rPr>
              <w:instrText xml:space="preserve"> PAGEREF _Toc232071307 \h </w:instrText>
            </w:r>
            <w:r>
              <w:rPr>
                <w:noProof/>
                <w:webHidden/>
              </w:rPr>
            </w:r>
            <w:r>
              <w:rPr>
                <w:noProof/>
                <w:webHidden/>
              </w:rPr>
              <w:fldChar w:fldCharType="separate"/>
            </w:r>
            <w:r>
              <w:rPr>
                <w:noProof/>
                <w:webHidden/>
              </w:rPr>
              <w:t>20</w:t>
            </w:r>
            <w:r>
              <w:rPr>
                <w:noProof/>
                <w:webHidden/>
              </w:rPr>
              <w:fldChar w:fldCharType="end"/>
            </w:r>
          </w:hyperlink>
        </w:p>
        <w:p w:rsidR="00FE5D94" w:rsidRDefault="00FE5D94" w14:paraId="3548203B" w14:textId="7D98BDC0">
          <w:pPr>
            <w:pStyle w:val="TOC2"/>
            <w:tabs>
              <w:tab w:val="right" w:leader="dot" w:pos="9350"/>
            </w:tabs>
            <w:rPr>
              <w:noProof/>
              <w:kern w:val="2"/>
              <w:lang w:val="en-NZ" w:eastAsia="en-NZ"/>
              <w14:ligatures w14:val="standardContextual"/>
            </w:rPr>
          </w:pPr>
          <w:hyperlink w:history="1" w:anchor="_Toc232071308">
            <w:r w:rsidRPr="003417EB">
              <w:rPr>
                <w:rStyle w:val="Hyperlink"/>
                <w:noProof/>
              </w:rPr>
              <w:t>Public Housing Registers | Ministry of Social Development</w:t>
            </w:r>
            <w:r>
              <w:rPr>
                <w:noProof/>
                <w:webHidden/>
              </w:rPr>
              <w:tab/>
            </w:r>
            <w:r>
              <w:rPr>
                <w:noProof/>
                <w:webHidden/>
              </w:rPr>
              <w:fldChar w:fldCharType="begin"/>
            </w:r>
            <w:r>
              <w:rPr>
                <w:noProof/>
                <w:webHidden/>
              </w:rPr>
              <w:instrText xml:space="preserve"> PAGEREF _Toc232071308 \h </w:instrText>
            </w:r>
            <w:r>
              <w:rPr>
                <w:noProof/>
                <w:webHidden/>
              </w:rPr>
            </w:r>
            <w:r>
              <w:rPr>
                <w:noProof/>
                <w:webHidden/>
              </w:rPr>
              <w:fldChar w:fldCharType="separate"/>
            </w:r>
            <w:r>
              <w:rPr>
                <w:noProof/>
                <w:webHidden/>
              </w:rPr>
              <w:t>21</w:t>
            </w:r>
            <w:r>
              <w:rPr>
                <w:noProof/>
                <w:webHidden/>
              </w:rPr>
              <w:fldChar w:fldCharType="end"/>
            </w:r>
          </w:hyperlink>
        </w:p>
        <w:p w:rsidR="00FE5D94" w:rsidRDefault="00FE5D94" w14:paraId="2B095146" w14:textId="0D28D9D0">
          <w:pPr>
            <w:pStyle w:val="TOC3"/>
            <w:tabs>
              <w:tab w:val="right" w:leader="dot" w:pos="9350"/>
            </w:tabs>
            <w:rPr>
              <w:noProof/>
              <w:kern w:val="2"/>
              <w:lang w:val="en-NZ" w:eastAsia="en-NZ"/>
              <w14:ligatures w14:val="standardContextual"/>
            </w:rPr>
          </w:pPr>
          <w:hyperlink w:history="1" w:anchor="_Toc232071309">
            <w:r w:rsidRPr="003417EB">
              <w:rPr>
                <w:rStyle w:val="Hyperlink"/>
                <w:noProof/>
              </w:rPr>
              <w:t>Housing Register</w:t>
            </w:r>
            <w:r>
              <w:rPr>
                <w:noProof/>
                <w:webHidden/>
              </w:rPr>
              <w:tab/>
            </w:r>
            <w:r>
              <w:rPr>
                <w:noProof/>
                <w:webHidden/>
              </w:rPr>
              <w:fldChar w:fldCharType="begin"/>
            </w:r>
            <w:r>
              <w:rPr>
                <w:noProof/>
                <w:webHidden/>
              </w:rPr>
              <w:instrText xml:space="preserve"> PAGEREF _Toc232071309 \h </w:instrText>
            </w:r>
            <w:r>
              <w:rPr>
                <w:noProof/>
                <w:webHidden/>
              </w:rPr>
            </w:r>
            <w:r>
              <w:rPr>
                <w:noProof/>
                <w:webHidden/>
              </w:rPr>
              <w:fldChar w:fldCharType="separate"/>
            </w:r>
            <w:r>
              <w:rPr>
                <w:noProof/>
                <w:webHidden/>
              </w:rPr>
              <w:t>21</w:t>
            </w:r>
            <w:r>
              <w:rPr>
                <w:noProof/>
                <w:webHidden/>
              </w:rPr>
              <w:fldChar w:fldCharType="end"/>
            </w:r>
          </w:hyperlink>
        </w:p>
        <w:p w:rsidR="00FE5D94" w:rsidRDefault="00FE5D94" w14:paraId="1F7FBC1B" w14:textId="6048E1D9">
          <w:pPr>
            <w:pStyle w:val="TOC3"/>
            <w:tabs>
              <w:tab w:val="right" w:leader="dot" w:pos="9350"/>
            </w:tabs>
            <w:rPr>
              <w:noProof/>
              <w:kern w:val="2"/>
              <w:lang w:val="en-NZ" w:eastAsia="en-NZ"/>
              <w14:ligatures w14:val="standardContextual"/>
            </w:rPr>
          </w:pPr>
          <w:hyperlink w:history="1" w:anchor="_Toc232071310">
            <w:r w:rsidRPr="003417EB">
              <w:rPr>
                <w:rStyle w:val="Hyperlink"/>
                <w:noProof/>
              </w:rPr>
              <w:t>Transfer Register</w:t>
            </w:r>
            <w:r>
              <w:rPr>
                <w:noProof/>
                <w:webHidden/>
              </w:rPr>
              <w:tab/>
            </w:r>
            <w:r>
              <w:rPr>
                <w:noProof/>
                <w:webHidden/>
              </w:rPr>
              <w:fldChar w:fldCharType="begin"/>
            </w:r>
            <w:r>
              <w:rPr>
                <w:noProof/>
                <w:webHidden/>
              </w:rPr>
              <w:instrText xml:space="preserve"> PAGEREF _Toc232071310 \h </w:instrText>
            </w:r>
            <w:r>
              <w:rPr>
                <w:noProof/>
                <w:webHidden/>
              </w:rPr>
            </w:r>
            <w:r>
              <w:rPr>
                <w:noProof/>
                <w:webHidden/>
              </w:rPr>
              <w:fldChar w:fldCharType="separate"/>
            </w:r>
            <w:r>
              <w:rPr>
                <w:noProof/>
                <w:webHidden/>
              </w:rPr>
              <w:t>21</w:t>
            </w:r>
            <w:r>
              <w:rPr>
                <w:noProof/>
                <w:webHidden/>
              </w:rPr>
              <w:fldChar w:fldCharType="end"/>
            </w:r>
          </w:hyperlink>
        </w:p>
        <w:p w:rsidR="00FE5D94" w:rsidRDefault="00FE5D94" w14:paraId="02600AD7" w14:textId="7F470BFF">
          <w:pPr>
            <w:pStyle w:val="TOC2"/>
            <w:tabs>
              <w:tab w:val="right" w:leader="dot" w:pos="9350"/>
            </w:tabs>
            <w:rPr>
              <w:noProof/>
              <w:kern w:val="2"/>
              <w:lang w:val="en-NZ" w:eastAsia="en-NZ"/>
              <w14:ligatures w14:val="standardContextual"/>
            </w:rPr>
          </w:pPr>
          <w:hyperlink w:history="1" w:anchor="_Toc232071311">
            <w:r w:rsidRPr="003417EB">
              <w:rPr>
                <w:rStyle w:val="Hyperlink"/>
                <w:noProof/>
              </w:rPr>
              <w:t>New Zealand Crime and Victims Survey (NZCVS) | Ministry of Justice</w:t>
            </w:r>
            <w:r>
              <w:rPr>
                <w:noProof/>
                <w:webHidden/>
              </w:rPr>
              <w:tab/>
            </w:r>
            <w:r>
              <w:rPr>
                <w:noProof/>
                <w:webHidden/>
              </w:rPr>
              <w:fldChar w:fldCharType="begin"/>
            </w:r>
            <w:r>
              <w:rPr>
                <w:noProof/>
                <w:webHidden/>
              </w:rPr>
              <w:instrText xml:space="preserve"> PAGEREF _Toc232071311 \h </w:instrText>
            </w:r>
            <w:r>
              <w:rPr>
                <w:noProof/>
                <w:webHidden/>
              </w:rPr>
            </w:r>
            <w:r>
              <w:rPr>
                <w:noProof/>
                <w:webHidden/>
              </w:rPr>
              <w:fldChar w:fldCharType="separate"/>
            </w:r>
            <w:r>
              <w:rPr>
                <w:noProof/>
                <w:webHidden/>
              </w:rPr>
              <w:t>21</w:t>
            </w:r>
            <w:r>
              <w:rPr>
                <w:noProof/>
                <w:webHidden/>
              </w:rPr>
              <w:fldChar w:fldCharType="end"/>
            </w:r>
          </w:hyperlink>
        </w:p>
        <w:p w:rsidR="00FE5D94" w:rsidRDefault="00FE5D94" w14:paraId="398C81F8" w14:textId="2A6AF09E">
          <w:pPr>
            <w:pStyle w:val="TOC2"/>
            <w:tabs>
              <w:tab w:val="right" w:leader="dot" w:pos="9350"/>
            </w:tabs>
            <w:rPr>
              <w:noProof/>
              <w:kern w:val="2"/>
              <w:lang w:val="en-NZ" w:eastAsia="en-NZ"/>
              <w14:ligatures w14:val="standardContextual"/>
            </w:rPr>
          </w:pPr>
          <w:hyperlink w:history="1" w:anchor="_Toc232071312">
            <w:r w:rsidRPr="003417EB">
              <w:rPr>
                <w:rStyle w:val="Hyperlink"/>
                <w:noProof/>
              </w:rPr>
              <w:t>New Zealand Health Survey (NZHS) | Ministry of Health</w:t>
            </w:r>
            <w:r>
              <w:rPr>
                <w:noProof/>
                <w:webHidden/>
              </w:rPr>
              <w:tab/>
            </w:r>
            <w:r>
              <w:rPr>
                <w:noProof/>
                <w:webHidden/>
              </w:rPr>
              <w:fldChar w:fldCharType="begin"/>
            </w:r>
            <w:r>
              <w:rPr>
                <w:noProof/>
                <w:webHidden/>
              </w:rPr>
              <w:instrText xml:space="preserve"> PAGEREF _Toc232071312 \h </w:instrText>
            </w:r>
            <w:r>
              <w:rPr>
                <w:noProof/>
                <w:webHidden/>
              </w:rPr>
            </w:r>
            <w:r>
              <w:rPr>
                <w:noProof/>
                <w:webHidden/>
              </w:rPr>
              <w:fldChar w:fldCharType="separate"/>
            </w:r>
            <w:r>
              <w:rPr>
                <w:noProof/>
                <w:webHidden/>
              </w:rPr>
              <w:t>22</w:t>
            </w:r>
            <w:r>
              <w:rPr>
                <w:noProof/>
                <w:webHidden/>
              </w:rPr>
              <w:fldChar w:fldCharType="end"/>
            </w:r>
          </w:hyperlink>
        </w:p>
        <w:p w:rsidR="00FE5D94" w:rsidRDefault="00FE5D94" w14:paraId="5E62D2D9" w14:textId="31E22F7C">
          <w:pPr>
            <w:pStyle w:val="TOC2"/>
            <w:tabs>
              <w:tab w:val="right" w:leader="dot" w:pos="9350"/>
            </w:tabs>
            <w:rPr>
              <w:noProof/>
              <w:kern w:val="2"/>
              <w:lang w:val="en-NZ" w:eastAsia="en-NZ"/>
              <w14:ligatures w14:val="standardContextual"/>
            </w:rPr>
          </w:pPr>
          <w:hyperlink w:history="1" w:anchor="_Toc232071313">
            <w:r w:rsidRPr="003417EB">
              <w:rPr>
                <w:rStyle w:val="Hyperlink"/>
                <w:noProof/>
              </w:rPr>
              <w:t>Youth Health and Wellbeing Survey (YHWS) | Ministry of Social Development</w:t>
            </w:r>
            <w:r>
              <w:rPr>
                <w:noProof/>
                <w:webHidden/>
              </w:rPr>
              <w:tab/>
            </w:r>
            <w:r>
              <w:rPr>
                <w:noProof/>
                <w:webHidden/>
              </w:rPr>
              <w:fldChar w:fldCharType="begin"/>
            </w:r>
            <w:r>
              <w:rPr>
                <w:noProof/>
                <w:webHidden/>
              </w:rPr>
              <w:instrText xml:space="preserve"> PAGEREF _Toc232071313 \h </w:instrText>
            </w:r>
            <w:r>
              <w:rPr>
                <w:noProof/>
                <w:webHidden/>
              </w:rPr>
            </w:r>
            <w:r>
              <w:rPr>
                <w:noProof/>
                <w:webHidden/>
              </w:rPr>
              <w:fldChar w:fldCharType="separate"/>
            </w:r>
            <w:r>
              <w:rPr>
                <w:noProof/>
                <w:webHidden/>
              </w:rPr>
              <w:t>22</w:t>
            </w:r>
            <w:r>
              <w:rPr>
                <w:noProof/>
                <w:webHidden/>
              </w:rPr>
              <w:fldChar w:fldCharType="end"/>
            </w:r>
          </w:hyperlink>
        </w:p>
        <w:p w:rsidR="00FE5D94" w:rsidRDefault="00FE5D94" w14:paraId="7528BCE9" w14:textId="103FB1D1">
          <w:r>
            <w:rPr>
              <w:b/>
              <w:bCs/>
              <w:noProof/>
            </w:rPr>
            <w:fldChar w:fldCharType="end"/>
          </w:r>
        </w:p>
      </w:sdtContent>
    </w:sdt>
    <w:p w:rsidR="00FE5D94" w:rsidRDefault="00FE5D94" w14:paraId="066588C4" w14:textId="77777777">
      <w:pPr>
        <w:rPr>
          <w:rFonts w:asciiTheme="majorHAnsi" w:hAnsiTheme="majorHAnsi" w:eastAsiaTheme="majorEastAsia" w:cstheme="majorBidi"/>
          <w:color w:val="39215B" w:themeColor="accent1" w:themeShade="BF"/>
          <w:sz w:val="32"/>
          <w:szCs w:val="32"/>
        </w:rPr>
      </w:pPr>
      <w:r>
        <w:br w:type="page"/>
      </w:r>
    </w:p>
    <w:p w:rsidRPr="004B446A" w:rsidR="419CB0A5" w:rsidP="00181DB4" w:rsidRDefault="001F100E" w14:paraId="119AABF4" w14:textId="4075E882">
      <w:pPr>
        <w:pStyle w:val="Heading1"/>
        <w:spacing w:line="360" w:lineRule="auto"/>
      </w:pPr>
      <w:bookmarkStart w:name="_Toc232071265" w:id="2"/>
      <w:r w:rsidRPr="004B446A">
        <w:t xml:space="preserve">Welcome to the </w:t>
      </w:r>
      <w:r w:rsidRPr="004B446A" w:rsidR="419CB0A5">
        <w:t>New Zealand Disability Strategy 2026 - 2030 outcomes monitoring dashboard</w:t>
      </w:r>
      <w:bookmarkEnd w:id="2"/>
    </w:p>
    <w:p w:rsidRPr="00A365BF" w:rsidR="419CB0A5" w:rsidP="00181DB4" w:rsidRDefault="419CB0A5" w14:paraId="4E784A69" w14:textId="51FF6874">
      <w:pPr>
        <w:spacing w:line="360" w:lineRule="auto"/>
        <w:rPr>
          <w:rFonts w:ascii="Verdana" w:hAnsi="Verdana" w:eastAsia="Verdana" w:cs="Verdana"/>
        </w:rPr>
      </w:pPr>
      <w:r w:rsidRPr="00A365BF">
        <w:rPr>
          <w:rFonts w:ascii="Verdana" w:hAnsi="Verdana" w:eastAsia="Verdana" w:cs="Verdana"/>
        </w:rPr>
        <w:t xml:space="preserve">The indicators in this dashboard will be used to </w:t>
      </w:r>
      <w:r w:rsidRPr="00A365BF">
        <w:rPr>
          <w:rFonts w:ascii="Verdana" w:hAnsi="Verdana" w:eastAsia="Verdana" w:cs="Verdana"/>
          <w:b/>
          <w:bCs/>
        </w:rPr>
        <w:t xml:space="preserve">monitor the impact </w:t>
      </w:r>
      <w:r w:rsidRPr="00A365BF">
        <w:rPr>
          <w:rFonts w:ascii="Verdana" w:hAnsi="Verdana" w:eastAsia="Verdana" w:cs="Verdana"/>
        </w:rPr>
        <w:t xml:space="preserve">of the strategy at a system level.  </w:t>
      </w:r>
    </w:p>
    <w:p w:rsidRPr="00A365BF" w:rsidR="419CB0A5" w:rsidP="00181DB4" w:rsidRDefault="419CB0A5" w14:paraId="3E1EDAD5" w14:textId="131CF4E0">
      <w:pPr>
        <w:spacing w:line="360" w:lineRule="auto"/>
        <w:rPr>
          <w:rFonts w:ascii="Verdana" w:hAnsi="Verdana" w:eastAsia="Verdana" w:cs="Verdana"/>
        </w:rPr>
      </w:pPr>
      <w:r w:rsidRPr="00A365BF">
        <w:rPr>
          <w:rFonts w:ascii="Verdana" w:hAnsi="Verdana" w:eastAsia="Verdana" w:cs="Verdana"/>
        </w:rPr>
        <w:t>For each</w:t>
      </w:r>
      <w:r w:rsidRPr="00A365BF">
        <w:rPr>
          <w:rFonts w:ascii="Verdana" w:hAnsi="Verdana" w:eastAsia="Verdana" w:cs="Verdana"/>
          <w:b/>
          <w:bCs/>
        </w:rPr>
        <w:t xml:space="preserve"> priority outcome area </w:t>
      </w:r>
      <w:r w:rsidRPr="00A365BF">
        <w:rPr>
          <w:rFonts w:ascii="Verdana" w:hAnsi="Verdana" w:eastAsia="Verdana" w:cs="Verdana"/>
        </w:rPr>
        <w:t>(</w:t>
      </w:r>
      <w:r w:rsidRPr="00A365BF">
        <w:rPr>
          <w:rFonts w:ascii="Verdana" w:hAnsi="Verdana" w:eastAsia="Verdana" w:cs="Verdana"/>
          <w:b/>
          <w:bCs/>
        </w:rPr>
        <w:t>education, employment, health, housing, justice</w:t>
      </w:r>
      <w:r w:rsidRPr="00A365BF">
        <w:rPr>
          <w:rFonts w:ascii="Verdana" w:hAnsi="Verdana" w:eastAsia="Verdana" w:cs="Verdana"/>
        </w:rPr>
        <w:t xml:space="preserve">) the dashboard includes 4-5 </w:t>
      </w:r>
      <w:r w:rsidRPr="00A365BF">
        <w:rPr>
          <w:rFonts w:ascii="Verdana" w:hAnsi="Verdana" w:eastAsia="Verdana" w:cs="Verdana"/>
          <w:b/>
          <w:bCs/>
        </w:rPr>
        <w:t>primary measures</w:t>
      </w:r>
      <w:r w:rsidRPr="00A365BF">
        <w:rPr>
          <w:rFonts w:ascii="Verdana" w:hAnsi="Verdana" w:eastAsia="Verdana" w:cs="Verdana"/>
        </w:rPr>
        <w:t xml:space="preserve"> to measure progress towards the </w:t>
      </w:r>
      <w:r w:rsidRPr="00A365BF">
        <w:rPr>
          <w:rFonts w:ascii="Verdana" w:hAnsi="Verdana" w:eastAsia="Verdana" w:cs="Verdana"/>
          <w:b/>
          <w:bCs/>
        </w:rPr>
        <w:t>goal</w:t>
      </w:r>
      <w:r w:rsidRPr="00A365BF">
        <w:rPr>
          <w:rFonts w:ascii="Verdana" w:hAnsi="Verdana" w:eastAsia="Verdana" w:cs="Verdana"/>
        </w:rPr>
        <w:t xml:space="preserve">, along with </w:t>
      </w:r>
      <w:r w:rsidRPr="00A365BF">
        <w:rPr>
          <w:rFonts w:ascii="Verdana" w:hAnsi="Verdana" w:eastAsia="Verdana" w:cs="Verdana"/>
          <w:b/>
          <w:bCs/>
        </w:rPr>
        <w:t xml:space="preserve">supporting measures </w:t>
      </w:r>
      <w:r w:rsidRPr="00A365BF">
        <w:rPr>
          <w:rFonts w:ascii="Verdana" w:hAnsi="Verdana" w:eastAsia="Verdana" w:cs="Verdana"/>
        </w:rPr>
        <w:t xml:space="preserve">that measure progress towards the goals and outcomes of the strategy in more detail. Additional primary and supporting measures monitor progress towards the overall </w:t>
      </w:r>
      <w:r w:rsidRPr="00A365BF">
        <w:rPr>
          <w:rFonts w:ascii="Verdana" w:hAnsi="Verdana" w:eastAsia="Verdana" w:cs="Verdana"/>
          <w:b/>
          <w:bCs/>
        </w:rPr>
        <w:t>vision and principles</w:t>
      </w:r>
      <w:r w:rsidRPr="00A365BF">
        <w:rPr>
          <w:rFonts w:ascii="Verdana" w:hAnsi="Verdana" w:eastAsia="Verdana" w:cs="Verdana"/>
        </w:rPr>
        <w:t xml:space="preserve"> set out in the strategy. </w:t>
      </w:r>
    </w:p>
    <w:p w:rsidRPr="00A365BF" w:rsidR="419CB0A5" w:rsidP="00181DB4" w:rsidRDefault="419CB0A5" w14:paraId="2A8B1B11" w14:textId="498E9EC6">
      <w:pPr>
        <w:spacing w:line="360" w:lineRule="auto"/>
        <w:rPr>
          <w:rFonts w:ascii="Verdana" w:hAnsi="Verdana" w:eastAsia="Verdana" w:cs="Verdana"/>
        </w:rPr>
      </w:pPr>
      <w:r w:rsidRPr="00A365BF">
        <w:rPr>
          <w:rFonts w:ascii="Verdana" w:hAnsi="Verdana" w:eastAsia="Verdana" w:cs="Verdana"/>
        </w:rPr>
        <w:t xml:space="preserve">This dashboard provides baseline data, as available at </w:t>
      </w:r>
      <w:r w:rsidRPr="00A365BF">
        <w:rPr>
          <w:rFonts w:ascii="Verdana" w:hAnsi="Verdana" w:eastAsia="Verdana" w:cs="Verdana"/>
          <w:b/>
          <w:bCs/>
        </w:rPr>
        <w:t>December 2025</w:t>
      </w:r>
      <w:r w:rsidRPr="00A365BF">
        <w:rPr>
          <w:rFonts w:ascii="Verdana" w:hAnsi="Verdana" w:eastAsia="Verdana" w:cs="Verdana"/>
        </w:rPr>
        <w:t xml:space="preserve"> when the strategy was launched. For a few measures we have used more recent data to ensure comparability across the course of the strategy.</w:t>
      </w:r>
    </w:p>
    <w:p w:rsidRPr="00A365BF" w:rsidR="3B471AA4" w:rsidP="00181DB4" w:rsidRDefault="419CB0A5" w14:paraId="7D977A07" w14:textId="51F76CCC">
      <w:pPr>
        <w:spacing w:line="360" w:lineRule="auto"/>
        <w:rPr>
          <w:rFonts w:ascii="Verdana" w:hAnsi="Verdana" w:eastAsia="Verdana" w:cs="Verdana"/>
        </w:rPr>
      </w:pPr>
      <w:r w:rsidRPr="00A365BF">
        <w:rPr>
          <w:rFonts w:ascii="Verdana" w:hAnsi="Verdana" w:eastAsia="Verdana" w:cs="Verdana"/>
        </w:rPr>
        <w:t>The dashboard will be updated at least annually, until the end of the strategy in 2030.</w:t>
      </w:r>
    </w:p>
    <w:p w:rsidRPr="001D5C79" w:rsidR="00F43262" w:rsidP="00181DB4" w:rsidRDefault="00F43262" w14:paraId="06C6CA82" w14:textId="1AE4F2EC">
      <w:pPr>
        <w:pStyle w:val="Heading1"/>
        <w:spacing w:line="360" w:lineRule="auto"/>
      </w:pPr>
      <w:bookmarkStart w:name="_Toc232071266" w:id="3"/>
      <w:r w:rsidRPr="001D5C79">
        <w:t>Vision and Principles</w:t>
      </w:r>
      <w:bookmarkEnd w:id="3"/>
    </w:p>
    <w:p w:rsidRPr="00A365BF" w:rsidR="00F43262" w:rsidP="00181DB4" w:rsidRDefault="00F43262" w14:paraId="13539653" w14:textId="77777777">
      <w:pPr>
        <w:spacing w:line="360" w:lineRule="auto"/>
        <w:rPr>
          <w:rFonts w:ascii="Verdana" w:hAnsi="Verdana" w:eastAsia="Verdana" w:cs="Verdana"/>
        </w:rPr>
      </w:pPr>
      <w:r w:rsidRPr="00A365BF">
        <w:rPr>
          <w:rFonts w:ascii="Verdana" w:hAnsi="Verdana" w:eastAsia="Verdana" w:cs="Verdana"/>
        </w:rPr>
        <w:t>Vision – New Zealand is an equitable and accessible place for all disabled people and their whānau, where disabled people thrive, contribute, and choose the lives they want to lead.</w:t>
      </w:r>
    </w:p>
    <w:p w:rsidRPr="00A365BF" w:rsidR="00F43262" w:rsidP="00181DB4" w:rsidRDefault="00F43262" w14:paraId="08BAB15E" w14:textId="77777777">
      <w:pPr>
        <w:spacing w:line="360" w:lineRule="auto"/>
        <w:rPr>
          <w:rFonts w:ascii="Verdana" w:hAnsi="Verdana" w:eastAsia="Verdana" w:cs="Verdana"/>
        </w:rPr>
      </w:pPr>
      <w:r w:rsidRPr="00A365BF">
        <w:rPr>
          <w:rFonts w:ascii="Verdana" w:hAnsi="Verdana" w:eastAsia="Verdana" w:cs="Verdana"/>
        </w:rPr>
        <w:t>Principles – Accessibility; Self-determination; Upholding equity, culture and identity; Participation and inclusion; Respect and dignity.</w:t>
      </w:r>
    </w:p>
    <w:p w:rsidRPr="005A2CC9" w:rsidR="002A799A" w:rsidP="00181DB4" w:rsidRDefault="002A799A" w14:paraId="3940F4EE" w14:textId="56B0FBF3">
      <w:pPr>
        <w:pStyle w:val="Heading2"/>
        <w:spacing w:line="360" w:lineRule="auto"/>
      </w:pPr>
      <w:bookmarkStart w:name="_Toc232071267" w:id="4"/>
      <w:r w:rsidRPr="005A2CC9">
        <w:t>Primary measures</w:t>
      </w:r>
      <w:bookmarkEnd w:id="4"/>
    </w:p>
    <w:p w:rsidRPr="00A365BF" w:rsidR="0015387E" w:rsidP="00181DB4" w:rsidRDefault="0015387E" w14:paraId="29530A7A" w14:textId="42EF3C56">
      <w:pPr>
        <w:spacing w:line="360" w:lineRule="auto"/>
        <w:rPr>
          <w:rFonts w:ascii="Verdana" w:hAnsi="Verdana" w:eastAsia="Verdana" w:cs="Verdana"/>
        </w:rPr>
      </w:pPr>
      <w:r w:rsidRPr="00A365BF">
        <w:rPr>
          <w:rFonts w:ascii="Verdana" w:hAnsi="Verdana" w:eastAsia="Verdana" w:cs="Verdana"/>
        </w:rPr>
        <w:t>These are the key indicators to monitor progress towards the vision and principles.</w:t>
      </w:r>
    </w:p>
    <w:p w:rsidRPr="00A365BF" w:rsidR="0015387E" w:rsidP="00181DB4" w:rsidRDefault="0015387E" w14:paraId="3455166D" w14:textId="1EA33DA3">
      <w:pPr>
        <w:spacing w:line="360" w:lineRule="auto"/>
        <w:rPr>
          <w:rFonts w:ascii="Verdana" w:hAnsi="Verdana" w:eastAsia="Verdana" w:cs="Verdana"/>
        </w:rPr>
      </w:pPr>
      <w:r w:rsidRPr="00A365BF">
        <w:rPr>
          <w:rFonts w:ascii="Verdana" w:hAnsi="Verdana" w:eastAsia="Verdana" w:cs="Verdana"/>
        </w:rPr>
        <w:t xml:space="preserve">High life satisfaction – </w:t>
      </w:r>
      <w:r w:rsidRPr="00A365BF" w:rsidR="00C121C5">
        <w:rPr>
          <w:rFonts w:ascii="Verdana" w:hAnsi="Verdana" w:eastAsia="Verdana" w:cs="Verdana"/>
        </w:rPr>
        <w:t>61.0</w:t>
      </w:r>
      <w:r w:rsidRPr="00A365BF" w:rsidR="00A309C1">
        <w:rPr>
          <w:rFonts w:ascii="Verdana" w:hAnsi="Verdana" w:eastAsia="Verdana" w:cs="Verdana"/>
        </w:rPr>
        <w:t>%</w:t>
      </w:r>
      <w:r w:rsidRPr="00A365BF">
        <w:rPr>
          <w:rFonts w:ascii="Verdana" w:hAnsi="Verdana" w:eastAsia="Verdana" w:cs="Verdana"/>
        </w:rPr>
        <w:t xml:space="preserve"> of disabled adults (15 years and over) rated their overall life satisfaction highly</w:t>
      </w:r>
      <w:r w:rsidRPr="00A365BF" w:rsidR="009C075A">
        <w:rPr>
          <w:rFonts w:ascii="Verdana" w:hAnsi="Verdana" w:eastAsia="Verdana" w:cs="Verdana"/>
        </w:rPr>
        <w:t xml:space="preserve"> (7 or higher on a 0 to 10 scale)</w:t>
      </w:r>
      <w:r w:rsidRPr="00A365BF" w:rsidR="00C265DE">
        <w:rPr>
          <w:rFonts w:ascii="Verdana" w:hAnsi="Verdana" w:eastAsia="Verdana" w:cs="Verdana"/>
        </w:rPr>
        <w:t>.</w:t>
      </w:r>
      <w:r w:rsidRPr="00A365BF" w:rsidR="00A96F06">
        <w:rPr>
          <w:rFonts w:ascii="Verdana" w:hAnsi="Verdana" w:eastAsia="Verdana" w:cs="Verdana"/>
        </w:rPr>
        <w:t xml:space="preserve"> Source: NZ Health Survey, 2023/24.</w:t>
      </w:r>
    </w:p>
    <w:p w:rsidRPr="00A365BF" w:rsidR="00C265DE" w:rsidP="00181DB4" w:rsidRDefault="00C265DE" w14:paraId="6D92C021" w14:textId="76FEA26E">
      <w:pPr>
        <w:spacing w:line="360" w:lineRule="auto"/>
        <w:rPr>
          <w:rFonts w:ascii="Verdana" w:hAnsi="Verdana" w:eastAsia="Verdana" w:cs="Verdana"/>
        </w:rPr>
      </w:pPr>
      <w:r w:rsidRPr="00A365BF">
        <w:rPr>
          <w:rFonts w:ascii="Verdana" w:hAnsi="Verdana" w:eastAsia="Verdana" w:cs="Verdana"/>
        </w:rPr>
        <w:t>High sense of control – 57.9</w:t>
      </w:r>
      <w:r w:rsidRPr="00A365BF" w:rsidR="00A309C1">
        <w:rPr>
          <w:rFonts w:ascii="Verdana" w:hAnsi="Verdana" w:eastAsia="Verdana" w:cs="Verdana"/>
        </w:rPr>
        <w:t>%</w:t>
      </w:r>
      <w:r w:rsidRPr="00A365BF">
        <w:rPr>
          <w:rFonts w:ascii="Verdana" w:hAnsi="Verdana" w:eastAsia="Verdana" w:cs="Verdana"/>
        </w:rPr>
        <w:t xml:space="preserve"> of disabled adults (15 years and over) felt they had a high level of control over their lives (7 or higher on a 0 to 10 scale).</w:t>
      </w:r>
      <w:r w:rsidRPr="00A365BF" w:rsidR="00A96F06">
        <w:rPr>
          <w:rFonts w:ascii="Verdana" w:hAnsi="Verdana" w:eastAsia="Verdana" w:cs="Verdana"/>
        </w:rPr>
        <w:t xml:space="preserve"> Source: General Social Survey</w:t>
      </w:r>
      <w:r w:rsidRPr="00A365BF" w:rsidR="00681AAC">
        <w:rPr>
          <w:rFonts w:ascii="Verdana" w:hAnsi="Verdana" w:eastAsia="Verdana" w:cs="Verdana"/>
        </w:rPr>
        <w:t>,</w:t>
      </w:r>
      <w:r w:rsidRPr="00A365BF" w:rsidR="00A96F06">
        <w:rPr>
          <w:rFonts w:ascii="Verdana" w:hAnsi="Verdana" w:eastAsia="Verdana" w:cs="Verdana"/>
        </w:rPr>
        <w:t xml:space="preserve"> 2023.</w:t>
      </w:r>
    </w:p>
    <w:p w:rsidRPr="00A365BF" w:rsidR="00C265DE" w:rsidP="00181DB4" w:rsidRDefault="00C265DE" w14:paraId="2AD17EED" w14:textId="56E7E7EF">
      <w:pPr>
        <w:spacing w:line="360" w:lineRule="auto"/>
        <w:rPr>
          <w:rFonts w:ascii="Verdana" w:hAnsi="Verdana" w:eastAsia="Verdana" w:cs="Verdana"/>
        </w:rPr>
      </w:pPr>
      <w:r w:rsidRPr="00A365BF">
        <w:rPr>
          <w:rFonts w:ascii="Verdana" w:hAnsi="Verdana" w:eastAsia="Verdana" w:cs="Verdana"/>
        </w:rPr>
        <w:t>Acceptance of disabled neighbour – 84.</w:t>
      </w:r>
      <w:r w:rsidRPr="00A365BF" w:rsidR="6EA0D6D1">
        <w:rPr>
          <w:rFonts w:ascii="Verdana" w:hAnsi="Verdana" w:eastAsia="Verdana" w:cs="Verdana"/>
        </w:rPr>
        <w:t>6</w:t>
      </w:r>
      <w:r w:rsidRPr="00A365BF" w:rsidR="00A309C1">
        <w:rPr>
          <w:rFonts w:ascii="Verdana" w:hAnsi="Verdana" w:eastAsia="Verdana" w:cs="Verdana"/>
        </w:rPr>
        <w:t>%</w:t>
      </w:r>
      <w:r w:rsidRPr="00A365BF" w:rsidR="00D469AC">
        <w:rPr>
          <w:rFonts w:ascii="Verdana" w:hAnsi="Verdana" w:eastAsia="Verdana" w:cs="Verdana"/>
        </w:rPr>
        <w:t xml:space="preserve"> of adults (15 years and over) felt comfortable or very comfortable about a new neighbour who had a disability or long-term health condition.</w:t>
      </w:r>
      <w:r w:rsidRPr="00A365BF" w:rsidR="0058515D">
        <w:rPr>
          <w:rFonts w:ascii="Verdana" w:hAnsi="Verdana" w:eastAsia="Verdana" w:cs="Verdana"/>
        </w:rPr>
        <w:t xml:space="preserve"> Source: General Social Survey 2023.</w:t>
      </w:r>
    </w:p>
    <w:p w:rsidRPr="00A365BF" w:rsidR="00D469AC" w:rsidP="00181DB4" w:rsidRDefault="00D469AC" w14:paraId="72BBBE59" w14:textId="1BFEE955">
      <w:pPr>
        <w:spacing w:line="360" w:lineRule="auto"/>
        <w:rPr>
          <w:rFonts w:ascii="Verdana" w:hAnsi="Verdana" w:eastAsia="Verdana" w:cs="Verdana"/>
        </w:rPr>
      </w:pPr>
      <w:r w:rsidRPr="00A365BF">
        <w:rPr>
          <w:rFonts w:ascii="Verdana" w:hAnsi="Verdana" w:eastAsia="Verdana" w:cs="Verdana"/>
        </w:rPr>
        <w:t>Child poverty – 27.5</w:t>
      </w:r>
      <w:r w:rsidRPr="00A365BF" w:rsidR="00A309C1">
        <w:rPr>
          <w:rFonts w:ascii="Verdana" w:hAnsi="Verdana" w:eastAsia="Verdana" w:cs="Verdana"/>
        </w:rPr>
        <w:t>%</w:t>
      </w:r>
      <w:r w:rsidRPr="00A365BF">
        <w:rPr>
          <w:rFonts w:ascii="Verdana" w:hAnsi="Verdana" w:eastAsia="Verdana" w:cs="Verdana"/>
        </w:rPr>
        <w:t xml:space="preserve"> of children</w:t>
      </w:r>
      <w:r w:rsidRPr="00A365BF" w:rsidR="794E0728">
        <w:rPr>
          <w:rFonts w:ascii="Verdana" w:hAnsi="Verdana" w:eastAsia="Verdana" w:cs="Verdana"/>
        </w:rPr>
        <w:t xml:space="preserve"> (0-17 years)</w:t>
      </w:r>
      <w:r w:rsidRPr="00A365BF">
        <w:rPr>
          <w:rFonts w:ascii="Verdana" w:hAnsi="Verdana" w:eastAsia="Verdana" w:cs="Verdana"/>
        </w:rPr>
        <w:t xml:space="preserve"> in disabled households </w:t>
      </w:r>
      <w:r w:rsidRPr="00A365BF" w:rsidR="54FA655E">
        <w:rPr>
          <w:rFonts w:ascii="Verdana" w:hAnsi="Verdana" w:eastAsia="Verdana" w:cs="Verdana"/>
        </w:rPr>
        <w:t xml:space="preserve">were </w:t>
      </w:r>
      <w:r w:rsidRPr="00A365BF">
        <w:rPr>
          <w:rFonts w:ascii="Verdana" w:hAnsi="Verdana" w:eastAsia="Verdana" w:cs="Verdana"/>
        </w:rPr>
        <w:t>living in material hardship</w:t>
      </w:r>
      <w:r w:rsidRPr="00A365BF" w:rsidR="43475A19">
        <w:rPr>
          <w:rFonts w:ascii="Verdana" w:hAnsi="Verdana" w:eastAsia="Verdana" w:cs="Verdana"/>
        </w:rPr>
        <w:t xml:space="preserve"> (lacking 7 or more items on the MH-18 index)</w:t>
      </w:r>
      <w:r w:rsidRPr="00A365BF">
        <w:rPr>
          <w:rFonts w:ascii="Verdana" w:hAnsi="Verdana" w:eastAsia="Verdana" w:cs="Verdana"/>
        </w:rPr>
        <w:t>.</w:t>
      </w:r>
      <w:r w:rsidRPr="00A365BF" w:rsidR="0058515D">
        <w:rPr>
          <w:rFonts w:ascii="Verdana" w:hAnsi="Verdana" w:eastAsia="Verdana" w:cs="Verdana"/>
        </w:rPr>
        <w:t xml:space="preserve"> Source: Household Income and Living Survey</w:t>
      </w:r>
      <w:r w:rsidRPr="00A365BF" w:rsidR="000362B9">
        <w:rPr>
          <w:rFonts w:ascii="Verdana" w:hAnsi="Verdana" w:eastAsia="Verdana" w:cs="Verdana"/>
        </w:rPr>
        <w:t>, year ended June 2025.</w:t>
      </w:r>
    </w:p>
    <w:p w:rsidRPr="006F195E" w:rsidR="006F195E" w:rsidP="00181DB4" w:rsidRDefault="002A799A" w14:paraId="079EF5FB" w14:textId="3C7F29D9">
      <w:pPr>
        <w:pStyle w:val="Heading2"/>
        <w:spacing w:line="360" w:lineRule="auto"/>
      </w:pPr>
      <w:bookmarkStart w:name="_Toc232071268" w:id="5"/>
      <w:r w:rsidRPr="005A2CC9">
        <w:t>Supporting measures</w:t>
      </w:r>
      <w:bookmarkEnd w:id="5"/>
    </w:p>
    <w:p w:rsidRPr="00A365BF" w:rsidR="0069246C" w:rsidP="00181DB4" w:rsidRDefault="0069246C" w14:paraId="1634E3CA" w14:textId="1BB5C76A">
      <w:pPr>
        <w:spacing w:line="360" w:lineRule="auto"/>
        <w:rPr>
          <w:rFonts w:ascii="Verdana" w:hAnsi="Verdana" w:eastAsia="Verdana" w:cs="Verdana"/>
        </w:rPr>
      </w:pPr>
      <w:r w:rsidRPr="00A365BF">
        <w:rPr>
          <w:rFonts w:ascii="Verdana" w:hAnsi="Verdana" w:eastAsia="Verdana" w:cs="Verdana"/>
        </w:rPr>
        <w:t xml:space="preserve">These </w:t>
      </w:r>
      <w:r w:rsidRPr="00A365BF" w:rsidR="00637A27">
        <w:rPr>
          <w:rFonts w:ascii="Verdana" w:hAnsi="Verdana" w:eastAsia="Verdana" w:cs="Verdana"/>
        </w:rPr>
        <w:t>indicators measure progress towards the vision and principles in more detail.</w:t>
      </w:r>
    </w:p>
    <w:p w:rsidRPr="00A365BF" w:rsidR="007C691F" w:rsidP="00181DB4" w:rsidRDefault="007C691F" w14:paraId="2BF6DB87" w14:textId="02399B12">
      <w:pPr>
        <w:spacing w:line="360" w:lineRule="auto"/>
        <w:rPr>
          <w:rFonts w:ascii="Verdana" w:hAnsi="Verdana" w:eastAsia="Verdana" w:cs="Verdana"/>
        </w:rPr>
      </w:pPr>
      <w:r w:rsidRPr="00A365BF">
        <w:rPr>
          <w:rFonts w:ascii="Verdana" w:hAnsi="Verdana" w:eastAsia="Verdana" w:cs="Verdana"/>
        </w:rPr>
        <w:t>Things in life feel worthwhile – 69.2</w:t>
      </w:r>
      <w:r w:rsidRPr="00A365BF" w:rsidR="00A309C1">
        <w:rPr>
          <w:rFonts w:ascii="Verdana" w:hAnsi="Verdana" w:eastAsia="Verdana" w:cs="Verdana"/>
        </w:rPr>
        <w:t>%</w:t>
      </w:r>
      <w:r w:rsidRPr="00A365BF">
        <w:rPr>
          <w:rFonts w:ascii="Verdana" w:hAnsi="Verdana" w:eastAsia="Verdana" w:cs="Verdana"/>
        </w:rPr>
        <w:t xml:space="preserve"> of disabled adults (15 years and over) felt the things they do in life were highly worthwhile (7 or higher on a 0 to 10 scale)</w:t>
      </w:r>
      <w:r w:rsidRPr="00A365BF" w:rsidR="0040164D">
        <w:rPr>
          <w:rFonts w:ascii="Verdana" w:hAnsi="Verdana" w:eastAsia="Verdana" w:cs="Verdana"/>
        </w:rPr>
        <w:t>.</w:t>
      </w:r>
      <w:r w:rsidRPr="00A365BF" w:rsidR="00681AAC">
        <w:rPr>
          <w:rFonts w:ascii="Verdana" w:hAnsi="Verdana" w:eastAsia="Verdana" w:cs="Verdana"/>
        </w:rPr>
        <w:t xml:space="preserve"> Source: General Social Survey, 2023.</w:t>
      </w:r>
    </w:p>
    <w:p w:rsidRPr="00A365BF" w:rsidR="0040164D" w:rsidP="00181DB4" w:rsidRDefault="0040164D" w14:paraId="1131E41F" w14:textId="1FB5F5E0">
      <w:pPr>
        <w:spacing w:line="360" w:lineRule="auto"/>
        <w:rPr>
          <w:rFonts w:ascii="Verdana" w:hAnsi="Verdana" w:eastAsia="Verdana" w:cs="Verdana"/>
        </w:rPr>
      </w:pPr>
      <w:r w:rsidRPr="00A365BF">
        <w:rPr>
          <w:rFonts w:ascii="Verdana" w:hAnsi="Verdana" w:eastAsia="Verdana" w:cs="Verdana"/>
        </w:rPr>
        <w:t>High family wellbeing – 66.4</w:t>
      </w:r>
      <w:r w:rsidRPr="00A365BF" w:rsidR="00A309C1">
        <w:rPr>
          <w:rFonts w:ascii="Verdana" w:hAnsi="Verdana" w:eastAsia="Verdana" w:cs="Verdana"/>
        </w:rPr>
        <w:t>%</w:t>
      </w:r>
      <w:r w:rsidRPr="00A365BF" w:rsidR="000B4744">
        <w:rPr>
          <w:rFonts w:ascii="Verdana" w:hAnsi="Verdana" w:eastAsia="Verdana" w:cs="Verdana"/>
        </w:rPr>
        <w:t xml:space="preserve"> of disabled adults (15 years and over) rated their family wellbeing highly (7 or higher on a 0 to 10 scale).</w:t>
      </w:r>
      <w:r w:rsidRPr="00A365BF" w:rsidR="00523926">
        <w:rPr>
          <w:rFonts w:ascii="Verdana" w:hAnsi="Verdana" w:eastAsia="Verdana" w:cs="Verdana"/>
        </w:rPr>
        <w:t xml:space="preserve"> Source: General Social Survey, 2023.</w:t>
      </w:r>
    </w:p>
    <w:p w:rsidRPr="00A365BF" w:rsidR="002A799A" w:rsidP="00181DB4" w:rsidRDefault="000B4744" w14:paraId="3F6C4FDF" w14:textId="0DBE220B">
      <w:pPr>
        <w:spacing w:line="360" w:lineRule="auto"/>
        <w:rPr>
          <w:rFonts w:ascii="Verdana" w:hAnsi="Verdana" w:eastAsia="Verdana" w:cs="Verdana"/>
          <w:lang w:val="mi-NZ"/>
        </w:rPr>
      </w:pPr>
      <w:r w:rsidRPr="00A365BF">
        <w:rPr>
          <w:rFonts w:ascii="Verdana" w:hAnsi="Verdana" w:eastAsia="Verdana" w:cs="Verdana"/>
        </w:rPr>
        <w:t>Experienced discrimination – 34.5</w:t>
      </w:r>
      <w:r w:rsidRPr="00A365BF" w:rsidR="00A309C1">
        <w:rPr>
          <w:rFonts w:ascii="Verdana" w:hAnsi="Verdana" w:eastAsia="Verdana" w:cs="Verdana"/>
        </w:rPr>
        <w:t>%</w:t>
      </w:r>
      <w:r w:rsidRPr="00A365BF">
        <w:rPr>
          <w:rFonts w:ascii="Verdana" w:hAnsi="Verdana" w:eastAsia="Verdana" w:cs="Verdana"/>
        </w:rPr>
        <w:t xml:space="preserve"> of disabled adults (15 years and over) experienced discrimination in the last 12 months (age-standardised).</w:t>
      </w:r>
      <w:r w:rsidRPr="00A365BF" w:rsidR="00523926">
        <w:rPr>
          <w:rFonts w:ascii="Verdana" w:hAnsi="Verdana" w:eastAsia="Verdana" w:cs="Verdana"/>
        </w:rPr>
        <w:t xml:space="preserve"> Source: NZ Crime and Victims Survey, 2025</w:t>
      </w:r>
    </w:p>
    <w:p w:rsidRPr="005A2CC9" w:rsidR="0098126E" w:rsidP="00181DB4" w:rsidRDefault="0098126E" w14:paraId="1100861D" w14:textId="1BF65E15">
      <w:pPr>
        <w:pStyle w:val="Heading1"/>
        <w:spacing w:line="360" w:lineRule="auto"/>
      </w:pPr>
      <w:bookmarkStart w:name="_Toc232071269" w:id="6"/>
      <w:r w:rsidRPr="005A2CC9">
        <w:t>Education</w:t>
      </w:r>
      <w:bookmarkEnd w:id="6"/>
    </w:p>
    <w:p w:rsidRPr="005A2CC9" w:rsidR="001B7633" w:rsidP="00181DB4" w:rsidRDefault="00DF0006" w14:paraId="10EE6CA9" w14:textId="77777777">
      <w:pPr>
        <w:pStyle w:val="Heading2"/>
        <w:spacing w:line="360" w:lineRule="auto"/>
      </w:pPr>
      <w:bookmarkStart w:name="_Toc232071270" w:id="7"/>
      <w:r w:rsidRPr="005A2CC9">
        <w:t>Goal</w:t>
      </w:r>
      <w:bookmarkEnd w:id="7"/>
      <w:r w:rsidRPr="005A2CC9">
        <w:t xml:space="preserve"> </w:t>
      </w:r>
    </w:p>
    <w:p w:rsidRPr="00A365BF" w:rsidR="00DF0006" w:rsidP="00181DB4" w:rsidRDefault="001B7633" w14:paraId="3829936C" w14:textId="21172B8C">
      <w:pPr>
        <w:spacing w:line="360" w:lineRule="auto"/>
        <w:rPr>
          <w:rFonts w:ascii="Verdana" w:hAnsi="Verdana" w:eastAsia="Verdana" w:cs="Verdana"/>
        </w:rPr>
      </w:pPr>
      <w:r w:rsidRPr="00A365BF">
        <w:rPr>
          <w:rFonts w:ascii="Verdana" w:hAnsi="Verdana" w:eastAsia="Verdana" w:cs="Verdana"/>
        </w:rPr>
        <w:t>E</w:t>
      </w:r>
      <w:r w:rsidRPr="00A365BF" w:rsidR="00DF0006">
        <w:rPr>
          <w:rFonts w:ascii="Verdana" w:hAnsi="Verdana" w:eastAsia="Verdana" w:cs="Verdana"/>
        </w:rPr>
        <w:t>very learner is supported to attend, participate and progress in education. There is a high expectation that all learners – including disabled learners – will achieve their potential in the education setting of their choice.</w:t>
      </w:r>
    </w:p>
    <w:p w:rsidRPr="005A2CC9" w:rsidR="002A4D2A" w:rsidP="00181DB4" w:rsidRDefault="002A4D2A" w14:paraId="35AC0193" w14:textId="3948C7E6">
      <w:pPr>
        <w:pStyle w:val="Heading2"/>
        <w:spacing w:line="360" w:lineRule="auto"/>
      </w:pPr>
      <w:bookmarkStart w:name="_Toc232071271" w:id="8"/>
      <w:r w:rsidRPr="005A2CC9">
        <w:t>Primary measures</w:t>
      </w:r>
      <w:bookmarkEnd w:id="8"/>
    </w:p>
    <w:p w:rsidRPr="00A365BF" w:rsidR="004068B4" w:rsidP="00181DB4" w:rsidRDefault="004068B4" w14:paraId="716EA117" w14:textId="51637D43">
      <w:pPr>
        <w:spacing w:line="360" w:lineRule="auto"/>
        <w:rPr>
          <w:rFonts w:ascii="Verdana" w:hAnsi="Verdana" w:eastAsia="Verdana" w:cs="Verdana"/>
        </w:rPr>
      </w:pPr>
      <w:r w:rsidRPr="00A365BF">
        <w:rPr>
          <w:rFonts w:ascii="Verdana" w:hAnsi="Verdana" w:eastAsia="Verdana" w:cs="Verdana"/>
        </w:rPr>
        <w:t>These are high-level indicators that measure progress towards the goal for education.</w:t>
      </w:r>
    </w:p>
    <w:p w:rsidRPr="00A365BF" w:rsidR="004B03E6" w:rsidP="00181DB4" w:rsidRDefault="004B03E6" w14:paraId="21F2DF96" w14:textId="47E30474">
      <w:pPr>
        <w:spacing w:line="360" w:lineRule="auto"/>
        <w:rPr>
          <w:rFonts w:ascii="Verdana" w:hAnsi="Verdana" w:eastAsia="Verdana" w:cs="Verdana"/>
        </w:rPr>
      </w:pPr>
      <w:r w:rsidRPr="00A365BF">
        <w:rPr>
          <w:rFonts w:ascii="Verdana" w:hAnsi="Verdana" w:eastAsia="Verdana" w:cs="Verdana"/>
        </w:rPr>
        <w:t>School qualification or higher – 68.5</w:t>
      </w:r>
      <w:r w:rsidRPr="00A365BF" w:rsidR="00A309C1">
        <w:rPr>
          <w:rFonts w:ascii="Verdana" w:hAnsi="Verdana" w:eastAsia="Verdana" w:cs="Verdana"/>
        </w:rPr>
        <w:t>%</w:t>
      </w:r>
      <w:r w:rsidRPr="00A365BF">
        <w:rPr>
          <w:rFonts w:ascii="Verdana" w:hAnsi="Verdana" w:eastAsia="Verdana" w:cs="Verdana"/>
        </w:rPr>
        <w:t xml:space="preserve"> of disabled adults (15 to 64 years) </w:t>
      </w:r>
      <w:r w:rsidRPr="00A365BF" w:rsidR="00CB0DF8">
        <w:rPr>
          <w:rFonts w:ascii="Verdana" w:hAnsi="Verdana" w:eastAsia="Verdana" w:cs="Verdana"/>
        </w:rPr>
        <w:t>had</w:t>
      </w:r>
      <w:r w:rsidRPr="00A365BF">
        <w:rPr>
          <w:rFonts w:ascii="Verdana" w:hAnsi="Verdana" w:eastAsia="Verdana" w:cs="Verdana"/>
        </w:rPr>
        <w:t xml:space="preserve"> a school qualification or higher.</w:t>
      </w:r>
      <w:r w:rsidRPr="00A365BF" w:rsidR="00396A0C">
        <w:rPr>
          <w:rFonts w:ascii="Verdana" w:hAnsi="Verdana" w:eastAsia="Verdana" w:cs="Verdana"/>
        </w:rPr>
        <w:t xml:space="preserve"> Source: Household Labour Force Survey, June 2025 quarter.</w:t>
      </w:r>
    </w:p>
    <w:p w:rsidRPr="00A365BF" w:rsidR="004B03E6" w:rsidP="00181DB4" w:rsidRDefault="004B03E6" w14:paraId="54FFA97B" w14:textId="2A484282">
      <w:pPr>
        <w:spacing w:line="360" w:lineRule="auto"/>
        <w:rPr>
          <w:rFonts w:ascii="Verdana" w:hAnsi="Verdana" w:eastAsia="Verdana" w:cs="Verdana"/>
        </w:rPr>
      </w:pPr>
      <w:r w:rsidRPr="00A365BF">
        <w:rPr>
          <w:rFonts w:ascii="Verdana" w:hAnsi="Verdana" w:eastAsia="Verdana" w:cs="Verdana"/>
        </w:rPr>
        <w:t>High trust for education system</w:t>
      </w:r>
      <w:r w:rsidRPr="00A365BF" w:rsidR="00AE3B9F">
        <w:rPr>
          <w:rFonts w:ascii="Verdana" w:hAnsi="Verdana" w:eastAsia="Verdana" w:cs="Verdana"/>
        </w:rPr>
        <w:t xml:space="preserve"> – 31.9</w:t>
      </w:r>
      <w:r w:rsidRPr="00A365BF" w:rsidR="00A309C1">
        <w:rPr>
          <w:rFonts w:ascii="Verdana" w:hAnsi="Verdana" w:eastAsia="Verdana" w:cs="Verdana"/>
        </w:rPr>
        <w:t>%</w:t>
      </w:r>
      <w:r w:rsidRPr="00A365BF" w:rsidR="00AE3B9F">
        <w:rPr>
          <w:rFonts w:ascii="Verdana" w:hAnsi="Verdana" w:eastAsia="Verdana" w:cs="Verdana"/>
        </w:rPr>
        <w:t xml:space="preserve"> of disabled adults (15 to 64 years) held high trust for the education system (7 or higher on a 0 to 10 scale).</w:t>
      </w:r>
      <w:r w:rsidRPr="00A365BF" w:rsidR="00396A0C">
        <w:rPr>
          <w:rFonts w:ascii="Verdana" w:hAnsi="Verdana" w:eastAsia="Verdana" w:cs="Verdana"/>
        </w:rPr>
        <w:t xml:space="preserve"> Source: General Social Survey, 2023.</w:t>
      </w:r>
    </w:p>
    <w:p w:rsidRPr="00A365BF" w:rsidR="004961A4" w:rsidP="00181DB4" w:rsidRDefault="004961A4" w14:paraId="6EE0E8E0" w14:textId="51C8D102">
      <w:pPr>
        <w:spacing w:line="360" w:lineRule="auto"/>
        <w:rPr>
          <w:rFonts w:ascii="Verdana" w:hAnsi="Verdana" w:eastAsia="Verdana" w:cs="Verdana"/>
        </w:rPr>
      </w:pPr>
      <w:r w:rsidRPr="00A365BF">
        <w:rPr>
          <w:rFonts w:ascii="Verdana" w:hAnsi="Verdana" w:eastAsia="Verdana" w:cs="Verdana"/>
        </w:rPr>
        <w:t>Expectation of achievement – 77.4</w:t>
      </w:r>
      <w:r w:rsidRPr="00A365BF" w:rsidR="00A309C1">
        <w:rPr>
          <w:rFonts w:ascii="Verdana" w:hAnsi="Verdana" w:eastAsia="Verdana" w:cs="Verdana"/>
        </w:rPr>
        <w:t>%</w:t>
      </w:r>
      <w:r w:rsidRPr="00A365BF">
        <w:rPr>
          <w:rFonts w:ascii="Verdana" w:hAnsi="Verdana" w:eastAsia="Verdana" w:cs="Verdana"/>
        </w:rPr>
        <w:t xml:space="preserve"> of disabled </w:t>
      </w:r>
      <w:r w:rsidRPr="00A365BF" w:rsidR="73304E8B">
        <w:rPr>
          <w:rFonts w:ascii="Verdana" w:hAnsi="Verdana" w:eastAsia="Verdana" w:cs="Verdana"/>
        </w:rPr>
        <w:t>secondary school students</w:t>
      </w:r>
      <w:r w:rsidRPr="00A365BF" w:rsidR="3A941925">
        <w:rPr>
          <w:rFonts w:ascii="Verdana" w:hAnsi="Verdana" w:eastAsia="Verdana" w:cs="Verdana"/>
        </w:rPr>
        <w:t xml:space="preserve"> (13 to 19 years) agreed or strongly agreed that people </w:t>
      </w:r>
      <w:r w:rsidRPr="00A365BF" w:rsidR="5F97D7F9">
        <w:rPr>
          <w:rFonts w:ascii="Verdana" w:hAnsi="Verdana" w:eastAsia="Verdana" w:cs="Verdana"/>
        </w:rPr>
        <w:t>at their school or kura kaupapa Māori expect them to do well</w:t>
      </w:r>
      <w:r w:rsidRPr="00A365BF">
        <w:rPr>
          <w:rFonts w:ascii="Verdana" w:hAnsi="Verdana" w:eastAsia="Verdana" w:cs="Verdana"/>
        </w:rPr>
        <w:t>.</w:t>
      </w:r>
      <w:r w:rsidRPr="00A365BF" w:rsidR="00C857DB">
        <w:rPr>
          <w:rFonts w:ascii="Verdana" w:hAnsi="Verdana" w:eastAsia="Verdana" w:cs="Verdana"/>
        </w:rPr>
        <w:t xml:space="preserve"> Source: Youth Health and Wellbeing Survey, 2025.</w:t>
      </w:r>
    </w:p>
    <w:p w:rsidRPr="00A365BF" w:rsidR="004961A4" w:rsidP="00181DB4" w:rsidRDefault="004961A4" w14:paraId="10BAA5E5" w14:textId="7112DB6D">
      <w:pPr>
        <w:spacing w:line="360" w:lineRule="auto"/>
        <w:rPr>
          <w:rFonts w:ascii="Verdana" w:hAnsi="Verdana" w:eastAsia="Verdana" w:cs="Verdana"/>
        </w:rPr>
      </w:pPr>
      <w:r w:rsidRPr="00A365BF">
        <w:rPr>
          <w:rFonts w:ascii="Verdana" w:hAnsi="Verdana" w:eastAsia="Verdana" w:cs="Verdana"/>
        </w:rPr>
        <w:t>Secondary school attendance rate – 91.0</w:t>
      </w:r>
      <w:r w:rsidRPr="00A365BF" w:rsidR="00A309C1">
        <w:rPr>
          <w:rFonts w:ascii="Verdana" w:hAnsi="Verdana" w:eastAsia="Verdana" w:cs="Verdana"/>
        </w:rPr>
        <w:t>%</w:t>
      </w:r>
      <w:r w:rsidRPr="00A365BF">
        <w:rPr>
          <w:rFonts w:ascii="Verdana" w:hAnsi="Verdana" w:eastAsia="Verdana" w:cs="Verdana"/>
        </w:rPr>
        <w:t xml:space="preserve"> of disabled </w:t>
      </w:r>
      <w:r w:rsidRPr="00A365BF" w:rsidR="57C74607">
        <w:rPr>
          <w:rFonts w:ascii="Verdana" w:hAnsi="Verdana" w:eastAsia="Verdana" w:cs="Verdana"/>
        </w:rPr>
        <w:t>secondary school students</w:t>
      </w:r>
      <w:r w:rsidRPr="00A365BF" w:rsidR="3A941925">
        <w:rPr>
          <w:rFonts w:ascii="Verdana" w:hAnsi="Verdana" w:eastAsia="Verdana" w:cs="Verdana"/>
        </w:rPr>
        <w:t xml:space="preserve"> (13 to 19 years)</w:t>
      </w:r>
      <w:r w:rsidR="00A70211">
        <w:rPr>
          <w:rFonts w:ascii="Verdana" w:hAnsi="Verdana" w:eastAsia="Verdana" w:cs="Verdana"/>
        </w:rPr>
        <w:t xml:space="preserve"> </w:t>
      </w:r>
      <w:r w:rsidRPr="00A365BF">
        <w:rPr>
          <w:rFonts w:ascii="Verdana" w:hAnsi="Verdana" w:eastAsia="Verdana" w:cs="Verdana"/>
        </w:rPr>
        <w:t>said they attend school most or all of the time.</w:t>
      </w:r>
      <w:r w:rsidRPr="00A365BF" w:rsidR="00C857DB">
        <w:rPr>
          <w:rFonts w:ascii="Verdana" w:hAnsi="Verdana" w:eastAsia="Verdana" w:cs="Verdana"/>
        </w:rPr>
        <w:t xml:space="preserve"> Source: Youth Health and Wellbeing Survey, 2025.</w:t>
      </w:r>
    </w:p>
    <w:p w:rsidRPr="00A365BF" w:rsidR="00C857DB" w:rsidP="00181DB4" w:rsidRDefault="004961A4" w14:paraId="5E0BB3EF" w14:textId="77777777">
      <w:pPr>
        <w:spacing w:line="360" w:lineRule="auto"/>
        <w:rPr>
          <w:rFonts w:ascii="Verdana" w:hAnsi="Verdana" w:eastAsia="Verdana" w:cs="Verdana"/>
        </w:rPr>
      </w:pPr>
      <w:r w:rsidRPr="00A365BF">
        <w:rPr>
          <w:rFonts w:ascii="Verdana" w:hAnsi="Verdana" w:eastAsia="Verdana" w:cs="Verdana"/>
        </w:rPr>
        <w:t>Employment, education or training – 47.9</w:t>
      </w:r>
      <w:r w:rsidRPr="00A365BF" w:rsidR="00A309C1">
        <w:rPr>
          <w:rFonts w:ascii="Verdana" w:hAnsi="Verdana" w:eastAsia="Verdana" w:cs="Verdana"/>
        </w:rPr>
        <w:t>%</w:t>
      </w:r>
      <w:r w:rsidRPr="00A365BF">
        <w:rPr>
          <w:rFonts w:ascii="Verdana" w:hAnsi="Verdana" w:eastAsia="Verdana" w:cs="Verdana"/>
        </w:rPr>
        <w:t xml:space="preserve"> of disabled young people (15 to 2</w:t>
      </w:r>
      <w:r w:rsidRPr="00A365BF" w:rsidR="00F1410B">
        <w:rPr>
          <w:rFonts w:ascii="Verdana" w:hAnsi="Verdana" w:eastAsia="Verdana" w:cs="Verdana"/>
        </w:rPr>
        <w:t>4 years) were in employment, education, or training.</w:t>
      </w:r>
      <w:r w:rsidRPr="00A365BF" w:rsidR="00C857DB">
        <w:rPr>
          <w:rFonts w:ascii="Verdana" w:hAnsi="Verdana" w:eastAsia="Verdana" w:cs="Verdana"/>
        </w:rPr>
        <w:t xml:space="preserve"> Source: Household Labour Force Survey, June 2025 quarter.</w:t>
      </w:r>
    </w:p>
    <w:p w:rsidRPr="005A2CC9" w:rsidR="002A4D2A" w:rsidP="00181DB4" w:rsidRDefault="002A4D2A" w14:paraId="22C53C39" w14:textId="57F34981">
      <w:pPr>
        <w:pStyle w:val="Heading2"/>
        <w:spacing w:line="360" w:lineRule="auto"/>
      </w:pPr>
      <w:bookmarkStart w:name="_Toc232071272" w:id="9"/>
      <w:r w:rsidRPr="005A2CC9">
        <w:t>Supporting measures</w:t>
      </w:r>
      <w:bookmarkEnd w:id="9"/>
    </w:p>
    <w:p w:rsidRPr="00A365BF" w:rsidR="000B5BAF" w:rsidP="00181DB4" w:rsidRDefault="000B5BAF" w14:paraId="1F27811B" w14:textId="77411F26">
      <w:pPr>
        <w:spacing w:line="360" w:lineRule="auto"/>
        <w:rPr>
          <w:rFonts w:ascii="Verdana" w:hAnsi="Verdana" w:eastAsia="Verdana" w:cs="Verdana"/>
        </w:rPr>
      </w:pPr>
      <w:r w:rsidRPr="00A365BF">
        <w:rPr>
          <w:rFonts w:ascii="Verdana" w:hAnsi="Verdana" w:eastAsia="Verdana" w:cs="Verdana"/>
        </w:rPr>
        <w:t>These measures will help monitor progress in the education outcome area in more detail.</w:t>
      </w:r>
    </w:p>
    <w:p w:rsidRPr="00A365BF" w:rsidR="002A4D2A" w:rsidP="00181DB4" w:rsidRDefault="00DC720E" w14:paraId="3265D2B0" w14:textId="46B74B03">
      <w:pPr>
        <w:spacing w:line="360" w:lineRule="auto"/>
        <w:rPr>
          <w:rFonts w:ascii="Verdana" w:hAnsi="Verdana" w:eastAsia="Verdana" w:cs="Verdana"/>
        </w:rPr>
      </w:pPr>
      <w:r w:rsidRPr="00A365BF">
        <w:rPr>
          <w:rFonts w:ascii="Verdana" w:hAnsi="Verdana" w:eastAsia="Verdana" w:cs="Verdana"/>
        </w:rPr>
        <w:t>Feelings of safety at school</w:t>
      </w:r>
      <w:r w:rsidRPr="00A365BF" w:rsidR="00E320DD">
        <w:rPr>
          <w:rFonts w:ascii="Verdana" w:hAnsi="Verdana" w:eastAsia="Verdana" w:cs="Verdana"/>
        </w:rPr>
        <w:t xml:space="preserve"> – 45.7</w:t>
      </w:r>
      <w:r w:rsidRPr="00A365BF" w:rsidR="00A309C1">
        <w:rPr>
          <w:rFonts w:ascii="Verdana" w:hAnsi="Verdana" w:eastAsia="Verdana" w:cs="Verdana"/>
        </w:rPr>
        <w:t>%</w:t>
      </w:r>
      <w:r w:rsidRPr="00A365BF" w:rsidR="00E320DD">
        <w:rPr>
          <w:rFonts w:ascii="Verdana" w:hAnsi="Verdana" w:eastAsia="Verdana" w:cs="Verdana"/>
        </w:rPr>
        <w:t xml:space="preserve"> of disabled </w:t>
      </w:r>
      <w:r w:rsidRPr="00A365BF" w:rsidR="2F9A8C29">
        <w:rPr>
          <w:rFonts w:ascii="Verdana" w:hAnsi="Verdana" w:eastAsia="Verdana" w:cs="Verdana"/>
        </w:rPr>
        <w:t>secondary school students</w:t>
      </w:r>
      <w:r w:rsidRPr="00A365BF" w:rsidR="00E320DD">
        <w:rPr>
          <w:rFonts w:ascii="Verdana" w:hAnsi="Verdana" w:eastAsia="Verdana" w:cs="Verdana"/>
        </w:rPr>
        <w:t xml:space="preserve"> (13 to 19 years) agreed or strongly agreed they feel safe at their school or kura </w:t>
      </w:r>
      <w:r w:rsidRPr="00A365BF" w:rsidR="799180CE">
        <w:rPr>
          <w:rFonts w:ascii="Verdana" w:hAnsi="Verdana" w:eastAsia="Verdana" w:cs="Verdana"/>
        </w:rPr>
        <w:t>k</w:t>
      </w:r>
      <w:r w:rsidRPr="00A365BF" w:rsidR="00E320DD">
        <w:rPr>
          <w:rFonts w:ascii="Verdana" w:hAnsi="Verdana" w:eastAsia="Verdana" w:cs="Verdana"/>
        </w:rPr>
        <w:t>aupapa Māori.</w:t>
      </w:r>
      <w:r w:rsidRPr="00A365BF" w:rsidR="006214CB">
        <w:rPr>
          <w:rFonts w:ascii="Verdana" w:hAnsi="Verdana" w:eastAsia="Verdana" w:cs="Verdana"/>
        </w:rPr>
        <w:t xml:space="preserve"> Source: Youth Health and Wellbeing Survey, 2025.</w:t>
      </w:r>
    </w:p>
    <w:p w:rsidRPr="00A365BF" w:rsidR="00460BD7" w:rsidP="00181DB4" w:rsidRDefault="3D38855E" w14:paraId="775DF090" w14:textId="4BCF0D89">
      <w:pPr>
        <w:spacing w:line="360" w:lineRule="auto"/>
        <w:rPr>
          <w:rFonts w:ascii="Verdana" w:hAnsi="Verdana" w:eastAsia="Verdana" w:cs="Verdana"/>
        </w:rPr>
      </w:pPr>
      <w:r w:rsidRPr="00A365BF">
        <w:rPr>
          <w:rFonts w:ascii="Verdana" w:hAnsi="Verdana" w:eastAsia="Verdana" w:cs="Verdana"/>
        </w:rPr>
        <w:t>Treated unfairly by teacher</w:t>
      </w:r>
      <w:r w:rsidRPr="00A365BF" w:rsidR="5B311C45">
        <w:rPr>
          <w:rFonts w:ascii="Verdana" w:hAnsi="Verdana" w:eastAsia="Verdana" w:cs="Verdana"/>
        </w:rPr>
        <w:t xml:space="preserve"> – 6.9</w:t>
      </w:r>
      <w:r w:rsidRPr="00A365BF" w:rsidR="5DE101DE">
        <w:rPr>
          <w:rFonts w:ascii="Verdana" w:hAnsi="Verdana" w:eastAsia="Verdana" w:cs="Verdana"/>
        </w:rPr>
        <w:t>%</w:t>
      </w:r>
      <w:r w:rsidRPr="00A365BF" w:rsidR="5B311C45">
        <w:rPr>
          <w:rFonts w:ascii="Verdana" w:hAnsi="Verdana" w:eastAsia="Verdana" w:cs="Verdana"/>
        </w:rPr>
        <w:t xml:space="preserve"> of disabled </w:t>
      </w:r>
      <w:r w:rsidRPr="00A365BF" w:rsidR="76476774">
        <w:rPr>
          <w:rFonts w:ascii="Verdana" w:hAnsi="Verdana" w:eastAsia="Verdana" w:cs="Verdana"/>
        </w:rPr>
        <w:t>secondary school students</w:t>
      </w:r>
      <w:r w:rsidRPr="00A365BF" w:rsidR="5B311C45">
        <w:rPr>
          <w:rFonts w:ascii="Verdana" w:hAnsi="Verdana" w:eastAsia="Verdana" w:cs="Verdana"/>
        </w:rPr>
        <w:t xml:space="preserve"> (13 to 19 years) said they </w:t>
      </w:r>
      <w:r w:rsidRPr="00A365BF" w:rsidR="2C00702F">
        <w:rPr>
          <w:rFonts w:ascii="Verdana" w:hAnsi="Verdana" w:eastAsia="Verdana" w:cs="Verdana"/>
        </w:rPr>
        <w:t xml:space="preserve">ever </w:t>
      </w:r>
      <w:r w:rsidRPr="00A365BF" w:rsidR="5B311C45">
        <w:rPr>
          <w:rFonts w:ascii="Verdana" w:hAnsi="Verdana" w:eastAsia="Verdana" w:cs="Verdana"/>
        </w:rPr>
        <w:t>have been treated unfairly by a teacher/tutor</w:t>
      </w:r>
      <w:r w:rsidRPr="00A365BF" w:rsidR="7202CCC7">
        <w:rPr>
          <w:rFonts w:ascii="Verdana" w:hAnsi="Verdana" w:eastAsia="Verdana" w:cs="Verdana"/>
        </w:rPr>
        <w:t xml:space="preserve"> </w:t>
      </w:r>
      <w:r w:rsidRPr="00A365BF" w:rsidR="5B311C45">
        <w:rPr>
          <w:rFonts w:ascii="Verdana" w:hAnsi="Verdana" w:eastAsia="Verdana" w:cs="Verdana"/>
        </w:rPr>
        <w:t>because they are disabled</w:t>
      </w:r>
      <w:r w:rsidRPr="00A365BF" w:rsidR="7202CCC7">
        <w:rPr>
          <w:rFonts w:ascii="Verdana" w:hAnsi="Verdana" w:eastAsia="Verdana" w:cs="Verdana"/>
        </w:rPr>
        <w:t>.</w:t>
      </w:r>
      <w:r w:rsidRPr="00A365BF" w:rsidR="1F8FDFAA">
        <w:rPr>
          <w:rFonts w:ascii="Verdana" w:hAnsi="Verdana" w:eastAsia="Verdana" w:cs="Verdana"/>
        </w:rPr>
        <w:t xml:space="preserve"> </w:t>
      </w:r>
      <w:r w:rsidRPr="00A365BF" w:rsidR="6A8003B5">
        <w:rPr>
          <w:rFonts w:ascii="Verdana" w:hAnsi="Verdana" w:eastAsia="Verdana" w:cs="Verdana"/>
        </w:rPr>
        <w:t>Source: Youth Health and Wellbeing Survey, 2025.</w:t>
      </w:r>
    </w:p>
    <w:p w:rsidRPr="00A365BF" w:rsidR="00A55B1A" w:rsidP="00181DB4" w:rsidRDefault="00DC720E" w14:paraId="72044899" w14:textId="77777777">
      <w:pPr>
        <w:spacing w:line="360" w:lineRule="auto"/>
        <w:rPr>
          <w:rFonts w:ascii="Verdana" w:hAnsi="Verdana" w:eastAsia="Verdana" w:cs="Verdana"/>
        </w:rPr>
      </w:pPr>
      <w:r w:rsidRPr="00A365BF">
        <w:rPr>
          <w:rFonts w:ascii="Verdana" w:hAnsi="Verdana" w:eastAsia="Verdana" w:cs="Verdana"/>
        </w:rPr>
        <w:t>Bachelor’s degree or higher</w:t>
      </w:r>
      <w:r w:rsidRPr="00A365BF" w:rsidR="00056FBD">
        <w:rPr>
          <w:rFonts w:ascii="Verdana" w:hAnsi="Verdana" w:eastAsia="Verdana" w:cs="Verdana"/>
        </w:rPr>
        <w:t xml:space="preserve"> – 16.3</w:t>
      </w:r>
      <w:r w:rsidRPr="00A365BF" w:rsidR="00A309C1">
        <w:rPr>
          <w:rFonts w:ascii="Verdana" w:hAnsi="Verdana" w:eastAsia="Verdana" w:cs="Verdana"/>
        </w:rPr>
        <w:t>%</w:t>
      </w:r>
      <w:r w:rsidRPr="00A365BF" w:rsidR="00056FBD">
        <w:rPr>
          <w:rFonts w:ascii="Verdana" w:hAnsi="Verdana" w:eastAsia="Verdana" w:cs="Verdana"/>
        </w:rPr>
        <w:t xml:space="preserve"> of disabled adults (15 to 64 years) had a bachelor’s degree qualification or higher.</w:t>
      </w:r>
      <w:r w:rsidRPr="00A365BF" w:rsidR="00A55B1A">
        <w:rPr>
          <w:rFonts w:ascii="Verdana" w:hAnsi="Verdana" w:eastAsia="Verdana" w:cs="Verdana"/>
        </w:rPr>
        <w:t xml:space="preserve"> Source: Household Labour Force Survey, June 2025 quarter.</w:t>
      </w:r>
    </w:p>
    <w:p w:rsidRPr="00181DB4" w:rsidR="00181DB4" w:rsidP="00181DB4" w:rsidRDefault="005529E0" w14:paraId="520777A6" w14:textId="782B27DA">
      <w:pPr>
        <w:pStyle w:val="Heading1"/>
        <w:spacing w:line="360" w:lineRule="auto"/>
      </w:pPr>
      <w:bookmarkStart w:name="_Toc232071273" w:id="10"/>
      <w:r w:rsidRPr="00157F12">
        <w:t>Employment</w:t>
      </w:r>
      <w:bookmarkEnd w:id="10"/>
    </w:p>
    <w:p w:rsidRPr="00157F12" w:rsidR="001B7633" w:rsidP="00181DB4" w:rsidRDefault="00E55CD1" w14:paraId="0C5EB427" w14:textId="77777777">
      <w:pPr>
        <w:pStyle w:val="Heading2"/>
        <w:spacing w:line="360" w:lineRule="auto"/>
      </w:pPr>
      <w:bookmarkStart w:name="_Toc232071274" w:id="11"/>
      <w:r w:rsidRPr="00157F12">
        <w:t>Goal</w:t>
      </w:r>
      <w:bookmarkEnd w:id="11"/>
      <w:r w:rsidRPr="00157F12">
        <w:t xml:space="preserve"> </w:t>
      </w:r>
    </w:p>
    <w:p w:rsidRPr="00A365BF" w:rsidR="00E55CD1" w:rsidP="00181DB4" w:rsidRDefault="00E55CD1" w14:paraId="29B79B1B" w14:textId="7FBCE308">
      <w:pPr>
        <w:spacing w:line="360" w:lineRule="auto"/>
        <w:rPr>
          <w:rFonts w:ascii="Verdana" w:hAnsi="Verdana" w:eastAsia="Verdana" w:cs="Verdana"/>
        </w:rPr>
      </w:pPr>
      <w:r w:rsidRPr="00A365BF">
        <w:rPr>
          <w:rFonts w:ascii="Verdana" w:hAnsi="Verdana" w:eastAsia="Verdana" w:cs="Verdana"/>
        </w:rPr>
        <w:t xml:space="preserve">Disabled people will have meaningful career opportunities, equal to non-disabled people, and be valued in the same way. </w:t>
      </w:r>
      <w:r w:rsidRPr="00A365BF" w:rsidR="003155FB">
        <w:rPr>
          <w:rFonts w:ascii="Verdana" w:hAnsi="Verdana" w:eastAsia="Verdana" w:cs="Verdana"/>
        </w:rPr>
        <w:t>Disability-confident employers will recognize disabled people’s talents and expertise and will provide accessible and inclusive workplaces throughout the employment lifecycle.</w:t>
      </w:r>
    </w:p>
    <w:p w:rsidRPr="00A365BF" w:rsidR="002A4D2A" w:rsidP="00181DB4" w:rsidRDefault="002A4D2A" w14:paraId="57B4889A" w14:textId="0F5E24D4">
      <w:pPr>
        <w:pStyle w:val="Heading2"/>
        <w:spacing w:line="360" w:lineRule="auto"/>
      </w:pPr>
      <w:bookmarkStart w:name="_Toc232071275" w:id="12"/>
      <w:r w:rsidRPr="00A365BF">
        <w:t>Primary measures</w:t>
      </w:r>
      <w:bookmarkEnd w:id="12"/>
    </w:p>
    <w:p w:rsidRPr="00A365BF" w:rsidR="005A7331" w:rsidP="00181DB4" w:rsidRDefault="005A7331" w14:paraId="2CFC945C" w14:textId="36B49CC2">
      <w:pPr>
        <w:spacing w:line="360" w:lineRule="auto"/>
        <w:rPr>
          <w:rFonts w:ascii="Verdana" w:hAnsi="Verdana" w:eastAsia="Verdana" w:cs="Verdana"/>
        </w:rPr>
      </w:pPr>
      <w:r w:rsidRPr="00A365BF">
        <w:rPr>
          <w:rFonts w:ascii="Verdana" w:hAnsi="Verdana" w:eastAsia="Verdana" w:cs="Verdana"/>
        </w:rPr>
        <w:t>These are high-level indicators that measure progress toward the goal for employment.</w:t>
      </w:r>
    </w:p>
    <w:p w:rsidRPr="00A365BF" w:rsidR="008F16E4" w:rsidP="00181DB4" w:rsidRDefault="005A7331" w14:paraId="40469EF1" w14:textId="538EAA0B">
      <w:pPr>
        <w:spacing w:line="360" w:lineRule="auto"/>
        <w:rPr>
          <w:rFonts w:ascii="Verdana" w:hAnsi="Verdana" w:eastAsia="Verdana" w:cs="Verdana"/>
        </w:rPr>
      </w:pPr>
      <w:r w:rsidRPr="00A365BF">
        <w:rPr>
          <w:rFonts w:ascii="Verdana" w:hAnsi="Verdana" w:eastAsia="Verdana" w:cs="Verdana"/>
        </w:rPr>
        <w:t>Employment rate</w:t>
      </w:r>
      <w:r w:rsidRPr="00A365BF" w:rsidR="000A3133">
        <w:rPr>
          <w:rFonts w:ascii="Verdana" w:hAnsi="Verdana" w:eastAsia="Verdana" w:cs="Verdana"/>
        </w:rPr>
        <w:t xml:space="preserve"> – 38.2</w:t>
      </w:r>
      <w:r w:rsidRPr="00A365BF" w:rsidR="00A309C1">
        <w:rPr>
          <w:rFonts w:ascii="Verdana" w:hAnsi="Verdana" w:eastAsia="Verdana" w:cs="Verdana"/>
        </w:rPr>
        <w:t>%</w:t>
      </w:r>
      <w:r w:rsidRPr="00A365BF" w:rsidR="000A3133">
        <w:rPr>
          <w:rFonts w:ascii="Verdana" w:hAnsi="Verdana" w:eastAsia="Verdana" w:cs="Verdana"/>
        </w:rPr>
        <w:t xml:space="preserve"> of disabled adults </w:t>
      </w:r>
      <w:r w:rsidRPr="00A365BF" w:rsidR="33F5F04A">
        <w:rPr>
          <w:rFonts w:ascii="Verdana" w:hAnsi="Verdana" w:eastAsia="Verdana" w:cs="Verdana"/>
        </w:rPr>
        <w:t>(</w:t>
      </w:r>
      <w:r w:rsidRPr="00A365BF" w:rsidR="000A3133">
        <w:rPr>
          <w:rFonts w:ascii="Verdana" w:hAnsi="Verdana" w:eastAsia="Verdana" w:cs="Verdana"/>
        </w:rPr>
        <w:t>15 to 64 years) were employed.</w:t>
      </w:r>
      <w:r w:rsidRPr="00A365BF" w:rsidR="008F16E4">
        <w:rPr>
          <w:rFonts w:ascii="Verdana" w:hAnsi="Verdana" w:eastAsia="Verdana" w:cs="Verdana"/>
        </w:rPr>
        <w:t xml:space="preserve"> Source: Household Labour Force Survey, June 2025 quarter.</w:t>
      </w:r>
    </w:p>
    <w:p w:rsidRPr="00A365BF" w:rsidR="008F16E4" w:rsidP="00181DB4" w:rsidRDefault="005A7331" w14:paraId="159C73A8" w14:textId="77777777">
      <w:pPr>
        <w:spacing w:line="360" w:lineRule="auto"/>
        <w:rPr>
          <w:rFonts w:ascii="Verdana" w:hAnsi="Verdana" w:eastAsia="Verdana" w:cs="Verdana"/>
        </w:rPr>
      </w:pPr>
      <w:r w:rsidRPr="00A365BF">
        <w:rPr>
          <w:rFonts w:ascii="Verdana" w:hAnsi="Verdana" w:eastAsia="Verdana" w:cs="Verdana"/>
        </w:rPr>
        <w:t>Underutilisation rate</w:t>
      </w:r>
      <w:r w:rsidRPr="00A365BF" w:rsidR="000A3133">
        <w:rPr>
          <w:rFonts w:ascii="Verdana" w:hAnsi="Verdana" w:eastAsia="Verdana" w:cs="Verdana"/>
        </w:rPr>
        <w:t xml:space="preserve"> – 24.4</w:t>
      </w:r>
      <w:r w:rsidRPr="00A365BF" w:rsidR="00A309C1">
        <w:rPr>
          <w:rFonts w:ascii="Verdana" w:hAnsi="Verdana" w:eastAsia="Verdana" w:cs="Verdana"/>
        </w:rPr>
        <w:t>%</w:t>
      </w:r>
      <w:r w:rsidRPr="00A365BF" w:rsidR="000A3133">
        <w:rPr>
          <w:rFonts w:ascii="Verdana" w:hAnsi="Verdana" w:eastAsia="Verdana" w:cs="Verdana"/>
        </w:rPr>
        <w:t xml:space="preserve"> of disabled adults (15 to 64 years) were underutilised in the workforce.</w:t>
      </w:r>
      <w:r w:rsidRPr="00A365BF" w:rsidR="008F16E4">
        <w:rPr>
          <w:rFonts w:ascii="Verdana" w:hAnsi="Verdana" w:eastAsia="Verdana" w:cs="Verdana"/>
        </w:rPr>
        <w:t xml:space="preserve"> Source: Household Labour Force Survey, June 2025 quarter.</w:t>
      </w:r>
    </w:p>
    <w:p w:rsidRPr="00A365BF" w:rsidR="008F16E4" w:rsidP="00181DB4" w:rsidRDefault="005A7331" w14:paraId="5A6EEE37" w14:textId="77777777">
      <w:pPr>
        <w:spacing w:line="360" w:lineRule="auto"/>
        <w:rPr>
          <w:rFonts w:ascii="Verdana" w:hAnsi="Verdana" w:eastAsia="Verdana" w:cs="Verdana"/>
        </w:rPr>
      </w:pPr>
      <w:r w:rsidRPr="00A365BF">
        <w:rPr>
          <w:rFonts w:ascii="Verdana" w:hAnsi="Verdana" w:eastAsia="Verdana" w:cs="Verdana"/>
        </w:rPr>
        <w:t>Emp</w:t>
      </w:r>
      <w:r w:rsidRPr="00A365BF" w:rsidR="00B21A6B">
        <w:rPr>
          <w:rFonts w:ascii="Verdana" w:hAnsi="Verdana" w:eastAsia="Verdana" w:cs="Verdana"/>
        </w:rPr>
        <w:t>loyment, education, or training</w:t>
      </w:r>
      <w:r w:rsidRPr="00A365BF" w:rsidR="000A3133">
        <w:rPr>
          <w:rFonts w:ascii="Verdana" w:hAnsi="Verdana" w:eastAsia="Verdana" w:cs="Verdana"/>
        </w:rPr>
        <w:t xml:space="preserve"> – 47.9</w:t>
      </w:r>
      <w:r w:rsidRPr="00A365BF" w:rsidR="00A309C1">
        <w:rPr>
          <w:rFonts w:ascii="Verdana" w:hAnsi="Verdana" w:eastAsia="Verdana" w:cs="Verdana"/>
        </w:rPr>
        <w:t>%</w:t>
      </w:r>
      <w:r w:rsidRPr="00A365BF" w:rsidR="000A3133">
        <w:rPr>
          <w:rFonts w:ascii="Verdana" w:hAnsi="Verdana" w:eastAsia="Verdana" w:cs="Verdana"/>
        </w:rPr>
        <w:t xml:space="preserve"> of disabled young people (15 to 24 years) were in employment, education, or training.</w:t>
      </w:r>
      <w:r w:rsidRPr="00A365BF" w:rsidR="008F16E4">
        <w:rPr>
          <w:rFonts w:ascii="Verdana" w:hAnsi="Verdana" w:eastAsia="Verdana" w:cs="Verdana"/>
        </w:rPr>
        <w:t xml:space="preserve"> Source: Household Labour Force Survey, June 2025 quarter.</w:t>
      </w:r>
    </w:p>
    <w:p w:rsidRPr="00A365BF" w:rsidR="008F16E4" w:rsidP="00181DB4" w:rsidRDefault="00B21A6B" w14:paraId="0D1D4235" w14:textId="77777777">
      <w:pPr>
        <w:spacing w:line="360" w:lineRule="auto"/>
        <w:rPr>
          <w:rFonts w:ascii="Verdana" w:hAnsi="Verdana" w:eastAsia="Verdana" w:cs="Verdana"/>
        </w:rPr>
      </w:pPr>
      <w:r w:rsidRPr="00A365BF">
        <w:rPr>
          <w:rFonts w:ascii="Verdana" w:hAnsi="Verdana" w:eastAsia="Verdana" w:cs="Verdana"/>
        </w:rPr>
        <w:t>Job satisfaction</w:t>
      </w:r>
      <w:r w:rsidRPr="00A365BF" w:rsidR="000A3133">
        <w:rPr>
          <w:rFonts w:ascii="Verdana" w:hAnsi="Verdana" w:eastAsia="Verdana" w:cs="Verdana"/>
        </w:rPr>
        <w:t xml:space="preserve"> – 65.9</w:t>
      </w:r>
      <w:r w:rsidRPr="00A365BF" w:rsidR="00A309C1">
        <w:rPr>
          <w:rFonts w:ascii="Verdana" w:hAnsi="Verdana" w:eastAsia="Verdana" w:cs="Verdana"/>
        </w:rPr>
        <w:t>%</w:t>
      </w:r>
      <w:r w:rsidRPr="00A365BF" w:rsidR="000A3133">
        <w:rPr>
          <w:rFonts w:ascii="Verdana" w:hAnsi="Verdana" w:eastAsia="Verdana" w:cs="Verdana"/>
        </w:rPr>
        <w:t xml:space="preserve"> of employed disabled adults (15 to 64 years) were satisfied or very satisfied with their job.</w:t>
      </w:r>
      <w:r w:rsidRPr="00A365BF" w:rsidR="008F16E4">
        <w:rPr>
          <w:rFonts w:ascii="Verdana" w:hAnsi="Verdana" w:eastAsia="Verdana" w:cs="Verdana"/>
        </w:rPr>
        <w:t xml:space="preserve"> Source: General Social Survey, 2023.</w:t>
      </w:r>
    </w:p>
    <w:p w:rsidRPr="00A365BF" w:rsidR="008F16E4" w:rsidP="00181DB4" w:rsidRDefault="00B21A6B" w14:paraId="0DCA4FF7" w14:textId="01784B7C">
      <w:pPr>
        <w:spacing w:line="360" w:lineRule="auto"/>
        <w:rPr>
          <w:rFonts w:ascii="Verdana" w:hAnsi="Verdana" w:eastAsia="Verdana" w:cs="Verdana"/>
        </w:rPr>
      </w:pPr>
      <w:r w:rsidRPr="00A365BF">
        <w:rPr>
          <w:rFonts w:ascii="Verdana" w:hAnsi="Verdana" w:eastAsia="Verdana" w:cs="Verdana"/>
        </w:rPr>
        <w:t>Disability pay gap</w:t>
      </w:r>
      <w:r w:rsidRPr="00A365BF" w:rsidR="000A3133">
        <w:rPr>
          <w:rFonts w:ascii="Verdana" w:hAnsi="Verdana" w:eastAsia="Verdana" w:cs="Verdana"/>
        </w:rPr>
        <w:t xml:space="preserve"> – 8.6</w:t>
      </w:r>
      <w:r w:rsidRPr="00A365BF" w:rsidR="00A309C1">
        <w:rPr>
          <w:rFonts w:ascii="Verdana" w:hAnsi="Verdana" w:eastAsia="Verdana" w:cs="Verdana"/>
        </w:rPr>
        <w:t>%</w:t>
      </w:r>
      <w:r w:rsidRPr="00A365BF" w:rsidR="50966878">
        <w:rPr>
          <w:rFonts w:ascii="Verdana" w:hAnsi="Verdana" w:eastAsia="Verdana" w:cs="Verdana"/>
        </w:rPr>
        <w:t>, the</w:t>
      </w:r>
      <w:r w:rsidRPr="00A365BF" w:rsidR="00D77741">
        <w:rPr>
          <w:rFonts w:ascii="Verdana" w:hAnsi="Verdana" w:eastAsia="Verdana" w:cs="Verdana"/>
        </w:rPr>
        <w:t xml:space="preserve"> percent</w:t>
      </w:r>
      <w:r w:rsidRPr="00A365BF" w:rsidR="70EF3596">
        <w:rPr>
          <w:rFonts w:ascii="Verdana" w:hAnsi="Verdana" w:eastAsia="Verdana" w:cs="Verdana"/>
        </w:rPr>
        <w:t>age</w:t>
      </w:r>
      <w:r w:rsidRPr="00A365BF" w:rsidR="000A3133">
        <w:rPr>
          <w:rFonts w:ascii="Verdana" w:hAnsi="Verdana" w:eastAsia="Verdana" w:cs="Verdana"/>
        </w:rPr>
        <w:t xml:space="preserve"> </w:t>
      </w:r>
      <w:r w:rsidRPr="00A365BF" w:rsidR="002D06A0">
        <w:rPr>
          <w:rFonts w:ascii="Verdana" w:hAnsi="Verdana" w:eastAsia="Verdana" w:cs="Verdana"/>
        </w:rPr>
        <w:t>difference in median hourly earnings between non-disabled and disabled people (15 to 64 years).</w:t>
      </w:r>
      <w:r w:rsidRPr="00A365BF" w:rsidR="008F16E4">
        <w:rPr>
          <w:rFonts w:ascii="Verdana" w:hAnsi="Verdana" w:eastAsia="Verdana" w:cs="Verdana"/>
        </w:rPr>
        <w:t xml:space="preserve"> Source: Household Labour Force Survey, June 2025 quarter.</w:t>
      </w:r>
    </w:p>
    <w:p w:rsidRPr="00A365BF" w:rsidR="002A4D2A" w:rsidP="00181DB4" w:rsidRDefault="002A4D2A" w14:paraId="43E95436" w14:textId="77777777">
      <w:pPr>
        <w:pStyle w:val="Heading2"/>
        <w:spacing w:line="360" w:lineRule="auto"/>
      </w:pPr>
      <w:bookmarkStart w:name="_Toc232071276" w:id="13"/>
      <w:r w:rsidRPr="00A365BF">
        <w:t>Supporting measures</w:t>
      </w:r>
      <w:bookmarkEnd w:id="13"/>
    </w:p>
    <w:p w:rsidRPr="00A365BF" w:rsidR="002A4D2A" w:rsidP="00181DB4" w:rsidRDefault="005740FC" w14:paraId="32756DA9" w14:textId="64D1B77D">
      <w:pPr>
        <w:spacing w:line="360" w:lineRule="auto"/>
        <w:rPr>
          <w:rFonts w:ascii="Verdana" w:hAnsi="Verdana" w:eastAsia="Verdana" w:cs="Verdana"/>
        </w:rPr>
      </w:pPr>
      <w:r w:rsidRPr="00A365BF">
        <w:rPr>
          <w:rFonts w:ascii="Verdana" w:hAnsi="Verdana" w:eastAsia="Verdana" w:cs="Verdana"/>
        </w:rPr>
        <w:t>These measures will help monitor progress in the employment outcome area in more detail.</w:t>
      </w:r>
    </w:p>
    <w:p w:rsidRPr="00A365BF" w:rsidR="005740FC" w:rsidP="00181DB4" w:rsidRDefault="005740FC" w14:paraId="2DFDBB91" w14:textId="68699FD7">
      <w:pPr>
        <w:spacing w:line="360" w:lineRule="auto"/>
        <w:rPr>
          <w:rFonts w:ascii="Verdana" w:hAnsi="Verdana" w:eastAsia="Verdana" w:cs="Verdana"/>
        </w:rPr>
      </w:pPr>
      <w:r w:rsidRPr="00A365BF">
        <w:rPr>
          <w:rFonts w:ascii="Verdana" w:hAnsi="Verdana" w:eastAsia="Verdana" w:cs="Verdana"/>
        </w:rPr>
        <w:t>Median weekly wages</w:t>
      </w:r>
      <w:r w:rsidRPr="00A365BF" w:rsidR="00963876">
        <w:rPr>
          <w:rFonts w:ascii="Verdana" w:hAnsi="Verdana" w:eastAsia="Verdana" w:cs="Verdana"/>
        </w:rPr>
        <w:t xml:space="preserve"> - $1,200</w:t>
      </w:r>
      <w:r w:rsidRPr="00A365BF" w:rsidR="5F9618B3">
        <w:rPr>
          <w:rFonts w:ascii="Verdana" w:hAnsi="Verdana" w:eastAsia="Verdana" w:cs="Verdana"/>
        </w:rPr>
        <w:t>, the</w:t>
      </w:r>
      <w:r w:rsidRPr="00A365BF" w:rsidR="00963876">
        <w:rPr>
          <w:rFonts w:ascii="Verdana" w:hAnsi="Verdana" w:eastAsia="Verdana" w:cs="Verdana"/>
        </w:rPr>
        <w:t xml:space="preserve"> median weekly income from wages and salaries for employed disabled adults (15 to 64 years).</w:t>
      </w:r>
      <w:r w:rsidRPr="00A365BF" w:rsidR="00B2792D">
        <w:rPr>
          <w:rFonts w:ascii="Verdana" w:hAnsi="Verdana" w:eastAsia="Verdana" w:cs="Verdana"/>
        </w:rPr>
        <w:t xml:space="preserve"> Source: Household Labour Force Survey, June 2025 quarter.</w:t>
      </w:r>
    </w:p>
    <w:p w:rsidRPr="00A365BF" w:rsidR="00B2792D" w:rsidP="00181DB4" w:rsidRDefault="005740FC" w14:paraId="5F2C9B55" w14:textId="77777777">
      <w:pPr>
        <w:spacing w:line="360" w:lineRule="auto"/>
        <w:rPr>
          <w:rFonts w:ascii="Verdana" w:hAnsi="Verdana" w:eastAsia="Verdana" w:cs="Verdana"/>
        </w:rPr>
      </w:pPr>
      <w:r w:rsidRPr="00A365BF">
        <w:rPr>
          <w:rFonts w:ascii="Verdana" w:hAnsi="Verdana" w:eastAsia="Verdana" w:cs="Verdana"/>
        </w:rPr>
        <w:t>Satisfaction with work-life balance</w:t>
      </w:r>
      <w:r w:rsidRPr="00A365BF" w:rsidR="00963876">
        <w:rPr>
          <w:rFonts w:ascii="Verdana" w:hAnsi="Verdana" w:eastAsia="Verdana" w:cs="Verdana"/>
        </w:rPr>
        <w:t xml:space="preserve"> – 55.8</w:t>
      </w:r>
      <w:r w:rsidRPr="00A365BF" w:rsidR="00A309C1">
        <w:rPr>
          <w:rFonts w:ascii="Verdana" w:hAnsi="Verdana" w:eastAsia="Verdana" w:cs="Verdana"/>
        </w:rPr>
        <w:t>%</w:t>
      </w:r>
      <w:r w:rsidRPr="00A365BF" w:rsidR="00963876">
        <w:rPr>
          <w:rFonts w:ascii="Verdana" w:hAnsi="Verdana" w:eastAsia="Verdana" w:cs="Verdana"/>
        </w:rPr>
        <w:t xml:space="preserve"> of employed disabled adults (15 to 64 years</w:t>
      </w:r>
      <w:r w:rsidRPr="00A365BF" w:rsidR="70936C84">
        <w:rPr>
          <w:rFonts w:ascii="Verdana" w:hAnsi="Verdana" w:eastAsia="Verdana" w:cs="Verdana"/>
        </w:rPr>
        <w:t>)</w:t>
      </w:r>
      <w:r w:rsidRPr="00A365BF" w:rsidR="007B0747">
        <w:rPr>
          <w:rFonts w:ascii="Verdana" w:hAnsi="Verdana" w:eastAsia="Verdana" w:cs="Verdana"/>
        </w:rPr>
        <w:t xml:space="preserve"> were satisfied or very satisfied with their work-life balance.</w:t>
      </w:r>
      <w:r w:rsidRPr="00A365BF" w:rsidR="00B2792D">
        <w:rPr>
          <w:rFonts w:ascii="Verdana" w:hAnsi="Verdana" w:eastAsia="Verdana" w:cs="Verdana"/>
        </w:rPr>
        <w:t xml:space="preserve"> Source: General Social Survey, 2023.</w:t>
      </w:r>
    </w:p>
    <w:p w:rsidRPr="00A365BF" w:rsidR="00B2792D" w:rsidP="00181DB4" w:rsidRDefault="005740FC" w14:paraId="7816D759" w14:textId="77777777">
      <w:pPr>
        <w:spacing w:line="360" w:lineRule="auto"/>
        <w:rPr>
          <w:rFonts w:ascii="Verdana" w:hAnsi="Verdana" w:eastAsia="Verdana" w:cs="Verdana"/>
        </w:rPr>
      </w:pPr>
      <w:r w:rsidRPr="00A365BF">
        <w:rPr>
          <w:rFonts w:ascii="Verdana" w:hAnsi="Verdana" w:eastAsia="Verdana" w:cs="Verdana"/>
        </w:rPr>
        <w:t>Adequacy of income</w:t>
      </w:r>
      <w:r w:rsidRPr="00A365BF" w:rsidR="007B0747">
        <w:rPr>
          <w:rFonts w:ascii="Verdana" w:hAnsi="Verdana" w:eastAsia="Verdana" w:cs="Verdana"/>
        </w:rPr>
        <w:t xml:space="preserve"> – 37.9</w:t>
      </w:r>
      <w:r w:rsidRPr="00A365BF" w:rsidR="00A309C1">
        <w:rPr>
          <w:rFonts w:ascii="Verdana" w:hAnsi="Verdana" w:eastAsia="Verdana" w:cs="Verdana"/>
        </w:rPr>
        <w:t>%</w:t>
      </w:r>
      <w:r w:rsidRPr="00A365BF" w:rsidR="007B0747">
        <w:rPr>
          <w:rFonts w:ascii="Verdana" w:hAnsi="Verdana" w:eastAsia="Verdana" w:cs="Verdana"/>
        </w:rPr>
        <w:t xml:space="preserve"> of disabled adults (15 to 64 years) </w:t>
      </w:r>
      <w:r w:rsidRPr="00A365BF" w:rsidR="00776E57">
        <w:rPr>
          <w:rFonts w:ascii="Verdana" w:hAnsi="Verdana" w:eastAsia="Verdana" w:cs="Verdana"/>
        </w:rPr>
        <w:t>reported enough or more than enough income to meet everyday needs.</w:t>
      </w:r>
      <w:r w:rsidRPr="00A365BF" w:rsidR="00B2792D">
        <w:rPr>
          <w:rFonts w:ascii="Verdana" w:hAnsi="Verdana" w:eastAsia="Verdana" w:cs="Verdana"/>
        </w:rPr>
        <w:t xml:space="preserve"> Source: General Social Survey, 2023.</w:t>
      </w:r>
    </w:p>
    <w:p w:rsidRPr="00A365BF" w:rsidR="00B2792D" w:rsidP="00181DB4" w:rsidRDefault="005740FC" w14:paraId="1C17724C" w14:textId="77777777">
      <w:pPr>
        <w:spacing w:line="360" w:lineRule="auto"/>
        <w:rPr>
          <w:rFonts w:ascii="Verdana" w:hAnsi="Verdana" w:eastAsia="Verdana" w:cs="Verdana"/>
        </w:rPr>
      </w:pPr>
      <w:r w:rsidRPr="00A365BF">
        <w:rPr>
          <w:rFonts w:ascii="Verdana" w:hAnsi="Verdana" w:eastAsia="Verdana" w:cs="Verdana"/>
        </w:rPr>
        <w:t>Life satisfaction for employed people</w:t>
      </w:r>
      <w:r w:rsidRPr="00A365BF" w:rsidR="008E3568">
        <w:rPr>
          <w:rFonts w:ascii="Verdana" w:hAnsi="Verdana" w:eastAsia="Verdana" w:cs="Verdana"/>
        </w:rPr>
        <w:t xml:space="preserve"> – 61.7</w:t>
      </w:r>
      <w:r w:rsidRPr="00A365BF" w:rsidR="00A309C1">
        <w:rPr>
          <w:rFonts w:ascii="Verdana" w:hAnsi="Verdana" w:eastAsia="Verdana" w:cs="Verdana"/>
        </w:rPr>
        <w:t>%</w:t>
      </w:r>
      <w:r w:rsidRPr="00A365BF" w:rsidR="008E3568">
        <w:rPr>
          <w:rFonts w:ascii="Verdana" w:hAnsi="Verdana" w:eastAsia="Verdana" w:cs="Verdana"/>
        </w:rPr>
        <w:t xml:space="preserve"> of employed disabled adults (15 to 64 years) rated their life satisfaction highly (7 or higher on a 0 to 10 scale)</w:t>
      </w:r>
      <w:r w:rsidRPr="00A365BF" w:rsidR="00E23D2C">
        <w:rPr>
          <w:rFonts w:ascii="Verdana" w:hAnsi="Verdana" w:eastAsia="Verdana" w:cs="Verdana"/>
        </w:rPr>
        <w:t>.</w:t>
      </w:r>
      <w:r w:rsidRPr="00A365BF" w:rsidR="00B2792D">
        <w:rPr>
          <w:rFonts w:ascii="Verdana" w:hAnsi="Verdana" w:eastAsia="Verdana" w:cs="Verdana"/>
        </w:rPr>
        <w:t xml:space="preserve"> Source: General Social Survey, 2023.</w:t>
      </w:r>
    </w:p>
    <w:p w:rsidRPr="00A365BF" w:rsidR="005529E0" w:rsidP="00181DB4" w:rsidRDefault="005529E0" w14:paraId="6630752B" w14:textId="469B59C3">
      <w:pPr>
        <w:pStyle w:val="Heading1"/>
        <w:spacing w:line="360" w:lineRule="auto"/>
      </w:pPr>
      <w:bookmarkStart w:name="_Toc232071277" w:id="14"/>
      <w:r w:rsidRPr="00A365BF">
        <w:t>Health</w:t>
      </w:r>
      <w:bookmarkEnd w:id="14"/>
    </w:p>
    <w:p w:rsidRPr="00A365BF" w:rsidR="001B7633" w:rsidP="00181DB4" w:rsidRDefault="00967CD6" w14:paraId="7DCF2A5C" w14:textId="77777777">
      <w:pPr>
        <w:pStyle w:val="Heading2"/>
        <w:spacing w:line="360" w:lineRule="auto"/>
      </w:pPr>
      <w:bookmarkStart w:name="_Toc232071278" w:id="15"/>
      <w:r w:rsidRPr="00A365BF">
        <w:t>Goal</w:t>
      </w:r>
      <w:bookmarkEnd w:id="15"/>
      <w:r w:rsidRPr="00A365BF">
        <w:t xml:space="preserve"> </w:t>
      </w:r>
    </w:p>
    <w:p w:rsidRPr="00A365BF" w:rsidR="00E23D2C" w:rsidP="00181DB4" w:rsidRDefault="001B7633" w14:paraId="6FAB7D39" w14:textId="75BD64C1">
      <w:pPr>
        <w:spacing w:line="360" w:lineRule="auto"/>
        <w:rPr>
          <w:rFonts w:ascii="Verdana" w:hAnsi="Verdana" w:eastAsia="Verdana" w:cs="Verdana"/>
        </w:rPr>
      </w:pPr>
      <w:r w:rsidRPr="00A365BF">
        <w:rPr>
          <w:rFonts w:ascii="Verdana" w:hAnsi="Verdana" w:eastAsia="Verdana" w:cs="Verdana"/>
        </w:rPr>
        <w:t>D</w:t>
      </w:r>
      <w:r w:rsidRPr="00A365BF" w:rsidR="00967CD6">
        <w:rPr>
          <w:rFonts w:ascii="Verdana" w:hAnsi="Verdana" w:eastAsia="Verdana" w:cs="Verdana"/>
        </w:rPr>
        <w:t>isabled people will achieve the highest possible standard of health and wellbeing. They will decide what this means for themselves and their whānau.</w:t>
      </w:r>
    </w:p>
    <w:p w:rsidRPr="00A365BF" w:rsidR="002A4D2A" w:rsidP="00181DB4" w:rsidRDefault="002A4D2A" w14:paraId="5DC58C0C" w14:textId="0B77029A">
      <w:pPr>
        <w:pStyle w:val="Heading2"/>
        <w:spacing w:line="360" w:lineRule="auto"/>
      </w:pPr>
      <w:bookmarkStart w:name="_Toc232071279" w:id="16"/>
      <w:r w:rsidRPr="00A365BF">
        <w:t>Primary measures</w:t>
      </w:r>
      <w:bookmarkEnd w:id="16"/>
    </w:p>
    <w:p w:rsidRPr="00A365BF" w:rsidR="00967CD6" w:rsidP="00181DB4" w:rsidRDefault="00967CD6" w14:paraId="3029DCF5" w14:textId="2A05A715">
      <w:pPr>
        <w:spacing w:line="360" w:lineRule="auto"/>
        <w:rPr>
          <w:rFonts w:ascii="Verdana" w:hAnsi="Verdana" w:eastAsia="Verdana" w:cs="Verdana"/>
        </w:rPr>
      </w:pPr>
      <w:r w:rsidRPr="00A365BF">
        <w:rPr>
          <w:rFonts w:ascii="Verdana" w:hAnsi="Verdana" w:eastAsia="Verdana" w:cs="Verdana"/>
        </w:rPr>
        <w:t>These are high-level indicators that measure progress towards the goal for health.</w:t>
      </w:r>
    </w:p>
    <w:p w:rsidRPr="00A365BF" w:rsidR="00967CD6" w:rsidP="00181DB4" w:rsidRDefault="00967CD6" w14:paraId="11B1E438" w14:textId="24598348">
      <w:pPr>
        <w:spacing w:line="360" w:lineRule="auto"/>
        <w:rPr>
          <w:rFonts w:ascii="Verdana" w:hAnsi="Verdana" w:eastAsia="Verdana" w:cs="Verdana"/>
        </w:rPr>
      </w:pPr>
      <w:r w:rsidRPr="00A365BF">
        <w:rPr>
          <w:rFonts w:ascii="Verdana" w:hAnsi="Verdana" w:eastAsia="Verdana" w:cs="Verdana"/>
        </w:rPr>
        <w:t>Good health in adults</w:t>
      </w:r>
      <w:r w:rsidRPr="00A365BF" w:rsidR="11A1FD0F">
        <w:rPr>
          <w:rFonts w:ascii="Verdana" w:hAnsi="Verdana" w:eastAsia="Verdana" w:cs="Verdana"/>
        </w:rPr>
        <w:t xml:space="preserve"> – 60.</w:t>
      </w:r>
      <w:r w:rsidR="00ED7B66">
        <w:rPr>
          <w:rFonts w:ascii="Verdana" w:hAnsi="Verdana" w:eastAsia="Verdana" w:cs="Verdana"/>
        </w:rPr>
        <w:t>1</w:t>
      </w:r>
      <w:r w:rsidRPr="00A365BF" w:rsidR="00A309C1">
        <w:rPr>
          <w:rFonts w:ascii="Verdana" w:hAnsi="Verdana" w:eastAsia="Verdana" w:cs="Verdana"/>
        </w:rPr>
        <w:t>%</w:t>
      </w:r>
      <w:r w:rsidRPr="00A365BF" w:rsidR="11A1FD0F">
        <w:rPr>
          <w:rFonts w:ascii="Verdana" w:hAnsi="Verdana" w:eastAsia="Verdana" w:cs="Verdana"/>
        </w:rPr>
        <w:t xml:space="preserve"> of disabled adults (15 years and over) had good, very good, or excellent self-rated health.</w:t>
      </w:r>
      <w:r w:rsidRPr="00A365BF" w:rsidR="00CB68C7">
        <w:rPr>
          <w:rFonts w:ascii="Verdana" w:hAnsi="Verdana" w:eastAsia="Verdana" w:cs="Verdana"/>
        </w:rPr>
        <w:t xml:space="preserve"> Source: NZ Health Survey, 2023/24</w:t>
      </w:r>
      <w:r w:rsidRPr="00A365BF" w:rsidR="00731C9F">
        <w:rPr>
          <w:rFonts w:ascii="Verdana" w:hAnsi="Verdana" w:eastAsia="Verdana" w:cs="Verdana"/>
        </w:rPr>
        <w:t>.</w:t>
      </w:r>
    </w:p>
    <w:p w:rsidRPr="00A365BF" w:rsidR="00967CD6" w:rsidP="00181DB4" w:rsidRDefault="00967CD6" w14:paraId="5D389C17" w14:textId="4F87FAEE">
      <w:pPr>
        <w:spacing w:line="360" w:lineRule="auto"/>
        <w:rPr>
          <w:rFonts w:ascii="Verdana" w:hAnsi="Verdana" w:eastAsia="Verdana" w:cs="Verdana"/>
        </w:rPr>
      </w:pPr>
      <w:r w:rsidRPr="00A365BF">
        <w:rPr>
          <w:rFonts w:ascii="Verdana" w:hAnsi="Verdana" w:eastAsia="Verdana" w:cs="Verdana"/>
        </w:rPr>
        <w:t>Good health in children</w:t>
      </w:r>
      <w:r w:rsidRPr="00A365BF" w:rsidR="0B3BC1C0">
        <w:rPr>
          <w:rFonts w:ascii="Verdana" w:hAnsi="Verdana" w:eastAsia="Verdana" w:cs="Verdana"/>
        </w:rPr>
        <w:t xml:space="preserve"> – 86.0</w:t>
      </w:r>
      <w:r w:rsidRPr="00A365BF" w:rsidR="00A309C1">
        <w:rPr>
          <w:rFonts w:ascii="Verdana" w:hAnsi="Verdana" w:eastAsia="Verdana" w:cs="Verdana"/>
        </w:rPr>
        <w:t>%</w:t>
      </w:r>
      <w:r w:rsidRPr="00A365BF" w:rsidR="0B3BC1C0">
        <w:rPr>
          <w:rFonts w:ascii="Verdana" w:hAnsi="Verdana" w:eastAsia="Verdana" w:cs="Verdana"/>
        </w:rPr>
        <w:t xml:space="preserve"> of disabled children (5 to 14 years) had good, very good, or excellent parent-rated health.</w:t>
      </w:r>
      <w:r w:rsidRPr="00A365BF" w:rsidR="00731C9F">
        <w:rPr>
          <w:rFonts w:ascii="Verdana" w:hAnsi="Verdana" w:eastAsia="Verdana" w:cs="Verdana"/>
        </w:rPr>
        <w:t xml:space="preserve"> Source: NZ Health Survey, 2023/24.</w:t>
      </w:r>
    </w:p>
    <w:p w:rsidRPr="00A365BF" w:rsidR="00967CD6" w:rsidP="00181DB4" w:rsidRDefault="798C46F2" w14:paraId="0CC3241A" w14:textId="41621045">
      <w:pPr>
        <w:spacing w:line="360" w:lineRule="auto"/>
        <w:rPr>
          <w:rFonts w:ascii="Verdana" w:hAnsi="Verdana" w:eastAsia="Verdana" w:cs="Verdana"/>
        </w:rPr>
      </w:pPr>
      <w:r w:rsidRPr="00A365BF">
        <w:rPr>
          <w:rFonts w:ascii="Verdana" w:hAnsi="Verdana" w:eastAsia="Verdana" w:cs="Verdana"/>
        </w:rPr>
        <w:t>Unmet need for a GP</w:t>
      </w:r>
      <w:r w:rsidRPr="00A365BF" w:rsidR="5575950C">
        <w:rPr>
          <w:rFonts w:ascii="Verdana" w:hAnsi="Verdana" w:eastAsia="Verdana" w:cs="Verdana"/>
        </w:rPr>
        <w:t xml:space="preserve"> - [Available in November]</w:t>
      </w:r>
      <w:r w:rsidRPr="00A365BF" w:rsidR="2B8F8FA0">
        <w:rPr>
          <w:rFonts w:ascii="Verdana" w:hAnsi="Verdana" w:eastAsia="Verdana" w:cs="Verdana"/>
        </w:rPr>
        <w:t xml:space="preserve"> Percentage</w:t>
      </w:r>
      <w:r w:rsidRPr="00A365BF" w:rsidR="5575950C">
        <w:rPr>
          <w:rFonts w:ascii="Verdana" w:hAnsi="Verdana" w:eastAsia="Verdana" w:cs="Verdana"/>
        </w:rPr>
        <w:t xml:space="preserve"> of disabled adults (15 years and over) with unmet need for a GP </w:t>
      </w:r>
      <w:r w:rsidRPr="00A365BF" w:rsidR="681BE58C">
        <w:rPr>
          <w:rFonts w:ascii="Verdana" w:hAnsi="Verdana" w:eastAsia="Verdana" w:cs="Verdana"/>
        </w:rPr>
        <w:t xml:space="preserve">for any reason </w:t>
      </w:r>
      <w:r w:rsidRPr="00A365BF" w:rsidR="5575950C">
        <w:rPr>
          <w:rFonts w:ascii="Verdana" w:hAnsi="Verdana" w:eastAsia="Verdana" w:cs="Verdana"/>
        </w:rPr>
        <w:t>in the past 12 months.</w:t>
      </w:r>
      <w:r w:rsidRPr="00A365BF" w:rsidR="6945C4DE">
        <w:rPr>
          <w:rFonts w:ascii="Verdana" w:hAnsi="Verdana" w:eastAsia="Verdana" w:cs="Verdana"/>
        </w:rPr>
        <w:t xml:space="preserve"> Source: NZ Health Survey, 2024/25.</w:t>
      </w:r>
    </w:p>
    <w:p w:rsidRPr="00A365BF" w:rsidR="00D060EA" w:rsidP="00181DB4" w:rsidRDefault="00D060EA" w14:paraId="0C250F4D" w14:textId="19E1AFEE">
      <w:pPr>
        <w:spacing w:line="360" w:lineRule="auto"/>
        <w:rPr>
          <w:rFonts w:ascii="Verdana" w:hAnsi="Verdana" w:eastAsia="Verdana" w:cs="Verdana"/>
        </w:rPr>
      </w:pPr>
      <w:r w:rsidRPr="00A365BF">
        <w:rPr>
          <w:rFonts w:ascii="Verdana" w:hAnsi="Verdana" w:eastAsia="Verdana" w:cs="Verdana"/>
        </w:rPr>
        <w:t>Accessibility of healthcare</w:t>
      </w:r>
      <w:r w:rsidRPr="00A365BF" w:rsidR="28E13F85">
        <w:rPr>
          <w:rFonts w:ascii="Verdana" w:hAnsi="Verdana" w:eastAsia="Verdana" w:cs="Verdana"/>
        </w:rPr>
        <w:t xml:space="preserve"> – 84.3</w:t>
      </w:r>
      <w:r w:rsidRPr="00A365BF" w:rsidR="00A309C1">
        <w:rPr>
          <w:rFonts w:ascii="Verdana" w:hAnsi="Verdana" w:eastAsia="Verdana" w:cs="Verdana"/>
        </w:rPr>
        <w:t>%</w:t>
      </w:r>
      <w:r w:rsidRPr="00A365BF" w:rsidR="28E13F85">
        <w:rPr>
          <w:rFonts w:ascii="Verdana" w:hAnsi="Verdana" w:eastAsia="Verdana" w:cs="Verdana"/>
        </w:rPr>
        <w:t xml:space="preserve"> of adult primary care patients (15 years and over) with a disability, impairment, or long-term health condition felt their accessibility needs were met.</w:t>
      </w:r>
      <w:r w:rsidRPr="00A365BF" w:rsidR="00731C9F">
        <w:rPr>
          <w:rFonts w:ascii="Verdana" w:hAnsi="Verdana" w:eastAsia="Verdana" w:cs="Verdana"/>
        </w:rPr>
        <w:t xml:space="preserve"> Source: Adult </w:t>
      </w:r>
      <w:r w:rsidRPr="00A365BF" w:rsidR="7AF99E23">
        <w:rPr>
          <w:rFonts w:ascii="Verdana" w:hAnsi="Verdana" w:eastAsia="Verdana" w:cs="Verdana"/>
        </w:rPr>
        <w:t>p</w:t>
      </w:r>
      <w:r w:rsidRPr="00A365BF" w:rsidR="287E78B5">
        <w:rPr>
          <w:rFonts w:ascii="Verdana" w:hAnsi="Verdana" w:eastAsia="Verdana" w:cs="Verdana"/>
        </w:rPr>
        <w:t xml:space="preserve">rimary </w:t>
      </w:r>
      <w:r w:rsidRPr="00A365BF" w:rsidR="66232E7B">
        <w:rPr>
          <w:rFonts w:ascii="Verdana" w:hAnsi="Verdana" w:eastAsia="Verdana" w:cs="Verdana"/>
        </w:rPr>
        <w:t>c</w:t>
      </w:r>
      <w:r w:rsidRPr="00A365BF" w:rsidR="287E78B5">
        <w:rPr>
          <w:rFonts w:ascii="Verdana" w:hAnsi="Verdana" w:eastAsia="Verdana" w:cs="Verdana"/>
        </w:rPr>
        <w:t xml:space="preserve">are </w:t>
      </w:r>
      <w:r w:rsidRPr="00A365BF" w:rsidR="2450FCBB">
        <w:rPr>
          <w:rFonts w:ascii="Verdana" w:hAnsi="Verdana" w:eastAsia="Verdana" w:cs="Verdana"/>
        </w:rPr>
        <w:t>p</w:t>
      </w:r>
      <w:r w:rsidRPr="00A365BF" w:rsidR="287E78B5">
        <w:rPr>
          <w:rFonts w:ascii="Verdana" w:hAnsi="Verdana" w:eastAsia="Verdana" w:cs="Verdana"/>
        </w:rPr>
        <w:t xml:space="preserve">atient </w:t>
      </w:r>
      <w:r w:rsidRPr="00A365BF" w:rsidR="4A5E875D">
        <w:rPr>
          <w:rFonts w:ascii="Verdana" w:hAnsi="Verdana" w:eastAsia="Verdana" w:cs="Verdana"/>
        </w:rPr>
        <w:t>e</w:t>
      </w:r>
      <w:r w:rsidRPr="00A365BF" w:rsidR="287E78B5">
        <w:rPr>
          <w:rFonts w:ascii="Verdana" w:hAnsi="Verdana" w:eastAsia="Verdana" w:cs="Verdana"/>
        </w:rPr>
        <w:t xml:space="preserve">xperience </w:t>
      </w:r>
      <w:r w:rsidRPr="00A365BF" w:rsidR="5B15F62F">
        <w:rPr>
          <w:rFonts w:ascii="Verdana" w:hAnsi="Verdana" w:eastAsia="Verdana" w:cs="Verdana"/>
        </w:rPr>
        <w:t>s</w:t>
      </w:r>
      <w:r w:rsidRPr="00A365BF" w:rsidR="00731C9F">
        <w:rPr>
          <w:rFonts w:ascii="Verdana" w:hAnsi="Verdana" w:eastAsia="Verdana" w:cs="Verdana"/>
        </w:rPr>
        <w:t>urvey, 2024.</w:t>
      </w:r>
    </w:p>
    <w:p w:rsidRPr="00A365BF" w:rsidR="00731C9F" w:rsidP="00181DB4" w:rsidRDefault="00D060EA" w14:paraId="151B48C8" w14:textId="5AC9E153">
      <w:pPr>
        <w:spacing w:line="360" w:lineRule="auto"/>
        <w:rPr>
          <w:rFonts w:ascii="Verdana" w:hAnsi="Verdana" w:eastAsia="Verdana" w:cs="Verdana"/>
        </w:rPr>
      </w:pPr>
      <w:r w:rsidRPr="00A365BF">
        <w:rPr>
          <w:rFonts w:ascii="Verdana" w:hAnsi="Verdana" w:eastAsia="Verdana" w:cs="Verdana"/>
        </w:rPr>
        <w:t>Self-determination in healthcare</w:t>
      </w:r>
      <w:r w:rsidRPr="00A365BF" w:rsidR="5EE0881D">
        <w:rPr>
          <w:rFonts w:ascii="Verdana" w:hAnsi="Verdana" w:eastAsia="Verdana" w:cs="Verdana"/>
        </w:rPr>
        <w:t xml:space="preserve"> – 84.8</w:t>
      </w:r>
      <w:r w:rsidRPr="00A365BF" w:rsidR="00A309C1">
        <w:rPr>
          <w:rFonts w:ascii="Verdana" w:hAnsi="Verdana" w:eastAsia="Verdana" w:cs="Verdana"/>
        </w:rPr>
        <w:t>%</w:t>
      </w:r>
      <w:r w:rsidRPr="00A365BF" w:rsidR="5EE0881D">
        <w:rPr>
          <w:rFonts w:ascii="Verdana" w:hAnsi="Verdana" w:eastAsia="Verdana" w:cs="Verdana"/>
        </w:rPr>
        <w:t xml:space="preserve"> of disabled adult primary care patients (15 years and over) said the health care professional at their most recent appointment involved them as much as they wanted in making decisions about their treatment and care.</w:t>
      </w:r>
      <w:r w:rsidRPr="00A365BF" w:rsidR="00731C9F">
        <w:rPr>
          <w:rFonts w:ascii="Verdana" w:hAnsi="Verdana" w:eastAsia="Verdana" w:cs="Verdana"/>
        </w:rPr>
        <w:t xml:space="preserve"> Source: Adult </w:t>
      </w:r>
      <w:r w:rsidRPr="00A365BF" w:rsidR="1A3810D8">
        <w:rPr>
          <w:rFonts w:ascii="Verdana" w:hAnsi="Verdana" w:eastAsia="Verdana" w:cs="Verdana"/>
        </w:rPr>
        <w:t>p</w:t>
      </w:r>
      <w:r w:rsidRPr="00A365BF" w:rsidR="287E78B5">
        <w:rPr>
          <w:rFonts w:ascii="Verdana" w:hAnsi="Verdana" w:eastAsia="Verdana" w:cs="Verdana"/>
        </w:rPr>
        <w:t xml:space="preserve">rimary </w:t>
      </w:r>
      <w:r w:rsidRPr="00A365BF" w:rsidR="53F920AB">
        <w:rPr>
          <w:rFonts w:ascii="Verdana" w:hAnsi="Verdana" w:eastAsia="Verdana" w:cs="Verdana"/>
        </w:rPr>
        <w:t>c</w:t>
      </w:r>
      <w:r w:rsidRPr="00A365BF" w:rsidR="287E78B5">
        <w:rPr>
          <w:rFonts w:ascii="Verdana" w:hAnsi="Verdana" w:eastAsia="Verdana" w:cs="Verdana"/>
        </w:rPr>
        <w:t xml:space="preserve">are </w:t>
      </w:r>
      <w:r w:rsidRPr="00A365BF" w:rsidR="497A1EAA">
        <w:rPr>
          <w:rFonts w:ascii="Verdana" w:hAnsi="Verdana" w:eastAsia="Verdana" w:cs="Verdana"/>
        </w:rPr>
        <w:t>p</w:t>
      </w:r>
      <w:r w:rsidRPr="00A365BF" w:rsidR="287E78B5">
        <w:rPr>
          <w:rFonts w:ascii="Verdana" w:hAnsi="Verdana" w:eastAsia="Verdana" w:cs="Verdana"/>
        </w:rPr>
        <w:t xml:space="preserve">atient </w:t>
      </w:r>
      <w:r w:rsidRPr="00A365BF" w:rsidR="1B575984">
        <w:rPr>
          <w:rFonts w:ascii="Verdana" w:hAnsi="Verdana" w:eastAsia="Verdana" w:cs="Verdana"/>
        </w:rPr>
        <w:t>e</w:t>
      </w:r>
      <w:r w:rsidRPr="00A365BF" w:rsidR="287E78B5">
        <w:rPr>
          <w:rFonts w:ascii="Verdana" w:hAnsi="Verdana" w:eastAsia="Verdana" w:cs="Verdana"/>
        </w:rPr>
        <w:t xml:space="preserve">xperience </w:t>
      </w:r>
      <w:r w:rsidRPr="00A365BF" w:rsidR="4825AF66">
        <w:rPr>
          <w:rFonts w:ascii="Verdana" w:hAnsi="Verdana" w:eastAsia="Verdana" w:cs="Verdana"/>
        </w:rPr>
        <w:t>s</w:t>
      </w:r>
      <w:r w:rsidRPr="00A365BF" w:rsidR="00731C9F">
        <w:rPr>
          <w:rFonts w:ascii="Verdana" w:hAnsi="Verdana" w:eastAsia="Verdana" w:cs="Verdana"/>
        </w:rPr>
        <w:t>urvey, 2024.</w:t>
      </w:r>
    </w:p>
    <w:p w:rsidRPr="00A365BF" w:rsidR="002A4D2A" w:rsidP="00181DB4" w:rsidRDefault="002A4D2A" w14:paraId="7E9A7F0C" w14:textId="2D364B63">
      <w:pPr>
        <w:pStyle w:val="Heading2"/>
        <w:spacing w:line="360" w:lineRule="auto"/>
      </w:pPr>
      <w:bookmarkStart w:name="_Toc232071280" w:id="17"/>
      <w:r w:rsidRPr="00A365BF">
        <w:t>Supporting measures</w:t>
      </w:r>
      <w:bookmarkEnd w:id="17"/>
    </w:p>
    <w:p w:rsidRPr="00A365BF" w:rsidR="007E643B" w:rsidP="00181DB4" w:rsidRDefault="007E643B" w14:paraId="1A4D46E9" w14:textId="4BF0568B">
      <w:pPr>
        <w:spacing w:line="360" w:lineRule="auto"/>
        <w:rPr>
          <w:rFonts w:ascii="Verdana" w:hAnsi="Verdana" w:eastAsia="Verdana" w:cs="Verdana"/>
        </w:rPr>
      </w:pPr>
      <w:r w:rsidRPr="00A365BF">
        <w:rPr>
          <w:rFonts w:ascii="Verdana" w:hAnsi="Verdana" w:eastAsia="Verdana" w:cs="Verdana"/>
        </w:rPr>
        <w:t>These are the high-level indicators that measure progress towards the goal for health.</w:t>
      </w:r>
    </w:p>
    <w:p w:rsidRPr="00A365BF" w:rsidR="00975A94" w:rsidP="00181DB4" w:rsidRDefault="00D060EA" w14:paraId="407833A2" w14:textId="77777777">
      <w:pPr>
        <w:spacing w:line="360" w:lineRule="auto"/>
        <w:rPr>
          <w:rFonts w:ascii="Verdana" w:hAnsi="Verdana" w:eastAsia="Verdana" w:cs="Verdana"/>
        </w:rPr>
      </w:pPr>
      <w:r w:rsidRPr="00A365BF">
        <w:rPr>
          <w:rFonts w:ascii="Verdana" w:hAnsi="Verdana" w:eastAsia="Verdana" w:cs="Verdana"/>
        </w:rPr>
        <w:t>Psychological distress</w:t>
      </w:r>
      <w:r w:rsidRPr="00A365BF" w:rsidR="75A37D49">
        <w:rPr>
          <w:rFonts w:ascii="Verdana" w:hAnsi="Verdana" w:eastAsia="Verdana" w:cs="Verdana"/>
        </w:rPr>
        <w:t xml:space="preserve"> – 33.0</w:t>
      </w:r>
      <w:r w:rsidRPr="00A365BF" w:rsidR="00A309C1">
        <w:rPr>
          <w:rFonts w:ascii="Verdana" w:hAnsi="Verdana" w:eastAsia="Verdana" w:cs="Verdana"/>
        </w:rPr>
        <w:t>%</w:t>
      </w:r>
      <w:r w:rsidRPr="00A365BF" w:rsidR="75A37D49">
        <w:rPr>
          <w:rFonts w:ascii="Verdana" w:hAnsi="Verdana" w:eastAsia="Verdana" w:cs="Verdana"/>
        </w:rPr>
        <w:t xml:space="preserve"> of disabled adults (15 years and over) experienced high or very high levels of psychological distress in the past 4 weeks.</w:t>
      </w:r>
      <w:r w:rsidRPr="00A365BF" w:rsidR="00975A94">
        <w:rPr>
          <w:rFonts w:ascii="Verdana" w:hAnsi="Verdana" w:eastAsia="Verdana" w:cs="Verdana"/>
        </w:rPr>
        <w:t xml:space="preserve"> Source: NZ Health Survey, 2023/24.</w:t>
      </w:r>
    </w:p>
    <w:p w:rsidRPr="00A365BF" w:rsidR="00975A94" w:rsidP="00181DB4" w:rsidRDefault="00D060EA" w14:paraId="2096212A" w14:textId="1F29238C">
      <w:pPr>
        <w:spacing w:line="360" w:lineRule="auto"/>
        <w:rPr>
          <w:rFonts w:ascii="Verdana" w:hAnsi="Verdana" w:eastAsia="Verdana" w:cs="Verdana"/>
        </w:rPr>
      </w:pPr>
      <w:r w:rsidRPr="00A365BF">
        <w:rPr>
          <w:rFonts w:ascii="Verdana" w:hAnsi="Verdana" w:eastAsia="Verdana" w:cs="Verdana"/>
        </w:rPr>
        <w:t>Unmet need due to wait time</w:t>
      </w:r>
      <w:r w:rsidRPr="00A365BF" w:rsidR="54D49F25">
        <w:rPr>
          <w:rFonts w:ascii="Verdana" w:hAnsi="Verdana" w:eastAsia="Verdana" w:cs="Verdana"/>
        </w:rPr>
        <w:t>- 3</w:t>
      </w:r>
      <w:r w:rsidR="003F715A">
        <w:rPr>
          <w:rFonts w:ascii="Verdana" w:hAnsi="Verdana" w:eastAsia="Verdana" w:cs="Verdana"/>
        </w:rPr>
        <w:t>1</w:t>
      </w:r>
      <w:r w:rsidRPr="00A365BF" w:rsidR="54D49F25">
        <w:rPr>
          <w:rFonts w:ascii="Verdana" w:hAnsi="Verdana" w:eastAsia="Verdana" w:cs="Verdana"/>
        </w:rPr>
        <w:t>.1</w:t>
      </w:r>
      <w:r w:rsidRPr="00A365BF" w:rsidR="00A309C1">
        <w:rPr>
          <w:rFonts w:ascii="Verdana" w:hAnsi="Verdana" w:eastAsia="Verdana" w:cs="Verdana"/>
        </w:rPr>
        <w:t>%</w:t>
      </w:r>
      <w:r w:rsidRPr="00A365BF" w:rsidR="54D49F25">
        <w:rPr>
          <w:rFonts w:ascii="Verdana" w:hAnsi="Verdana" w:eastAsia="Verdana" w:cs="Verdana"/>
        </w:rPr>
        <w:t xml:space="preserve"> of disabled adults (15 years and over) </w:t>
      </w:r>
      <w:r w:rsidRPr="00A365BF" w:rsidR="026A31E6">
        <w:rPr>
          <w:rFonts w:ascii="Verdana" w:hAnsi="Verdana" w:eastAsia="Verdana" w:cs="Verdana"/>
        </w:rPr>
        <w:t>had</w:t>
      </w:r>
      <w:r w:rsidRPr="00A365BF" w:rsidR="54D49F25">
        <w:rPr>
          <w:rFonts w:ascii="Verdana" w:hAnsi="Verdana" w:eastAsia="Verdana" w:cs="Verdana"/>
        </w:rPr>
        <w:t xml:space="preserve"> unmet need for a GP in the past 12 months due to wait time being too long. </w:t>
      </w:r>
      <w:r w:rsidRPr="00A365BF" w:rsidR="00975A94">
        <w:rPr>
          <w:rFonts w:ascii="Verdana" w:hAnsi="Verdana" w:eastAsia="Verdana" w:cs="Verdana"/>
        </w:rPr>
        <w:t>Source: NZ Health Survey, 2023/24.</w:t>
      </w:r>
    </w:p>
    <w:p w:rsidRPr="00A365BF" w:rsidR="00975A94" w:rsidP="00181DB4" w:rsidRDefault="00D060EA" w14:paraId="4AA16A94" w14:textId="469F6601">
      <w:pPr>
        <w:spacing w:line="360" w:lineRule="auto"/>
        <w:rPr>
          <w:rFonts w:ascii="Verdana" w:hAnsi="Verdana" w:eastAsia="Verdana" w:cs="Verdana"/>
        </w:rPr>
      </w:pPr>
      <w:r w:rsidRPr="00A365BF">
        <w:rPr>
          <w:rFonts w:ascii="Verdana" w:hAnsi="Verdana" w:eastAsia="Verdana" w:cs="Verdana"/>
        </w:rPr>
        <w:t>Unmet need due to cost</w:t>
      </w:r>
      <w:r w:rsidRPr="00A365BF" w:rsidR="28884542">
        <w:rPr>
          <w:rFonts w:ascii="Verdana" w:hAnsi="Verdana" w:eastAsia="Verdana" w:cs="Verdana"/>
        </w:rPr>
        <w:t xml:space="preserve"> – 22.</w:t>
      </w:r>
      <w:r w:rsidRPr="00A365BF" w:rsidR="1DAA6BA5">
        <w:rPr>
          <w:rFonts w:ascii="Verdana" w:hAnsi="Verdana" w:eastAsia="Verdana" w:cs="Verdana"/>
        </w:rPr>
        <w:t>5</w:t>
      </w:r>
      <w:r w:rsidRPr="00A365BF" w:rsidR="00A309C1">
        <w:rPr>
          <w:rFonts w:ascii="Verdana" w:hAnsi="Verdana" w:eastAsia="Verdana" w:cs="Verdana"/>
        </w:rPr>
        <w:t>%</w:t>
      </w:r>
      <w:r w:rsidRPr="00A365BF" w:rsidR="28884542">
        <w:rPr>
          <w:rFonts w:ascii="Verdana" w:hAnsi="Verdana" w:eastAsia="Verdana" w:cs="Verdana"/>
        </w:rPr>
        <w:t xml:space="preserve"> of disabled adults (15 years and over) </w:t>
      </w:r>
      <w:r w:rsidRPr="00A365BF" w:rsidR="497A1B7A">
        <w:rPr>
          <w:rFonts w:ascii="Verdana" w:hAnsi="Verdana" w:eastAsia="Verdana" w:cs="Verdana"/>
        </w:rPr>
        <w:t xml:space="preserve">had </w:t>
      </w:r>
      <w:r w:rsidRPr="00A365BF" w:rsidR="28884542">
        <w:rPr>
          <w:rFonts w:ascii="Verdana" w:hAnsi="Verdana" w:eastAsia="Verdana" w:cs="Verdana"/>
        </w:rPr>
        <w:t>unmet need for a GP in the past 12 months due to cost.</w:t>
      </w:r>
      <w:r w:rsidRPr="00A365BF" w:rsidR="00975A94">
        <w:rPr>
          <w:rFonts w:ascii="Verdana" w:hAnsi="Verdana" w:eastAsia="Verdana" w:cs="Verdana"/>
        </w:rPr>
        <w:t xml:space="preserve"> Source: NZ Health Survey, 2023/24.</w:t>
      </w:r>
    </w:p>
    <w:p w:rsidRPr="00A365BF" w:rsidR="002A4D2A" w:rsidP="00181DB4" w:rsidRDefault="005529E0" w14:paraId="6640A40A" w14:textId="213B6CBE">
      <w:pPr>
        <w:pStyle w:val="Heading1"/>
        <w:spacing w:line="360" w:lineRule="auto"/>
      </w:pPr>
      <w:bookmarkStart w:name="_Toc232071281" w:id="18"/>
      <w:r w:rsidRPr="00A365BF">
        <w:t>Housing</w:t>
      </w:r>
      <w:bookmarkEnd w:id="18"/>
      <w:r w:rsidRPr="00A365BF">
        <w:t xml:space="preserve"> </w:t>
      </w:r>
    </w:p>
    <w:p w:rsidRPr="00A365BF" w:rsidR="001B7633" w:rsidP="00181DB4" w:rsidRDefault="00CA535E" w14:paraId="62D0F328" w14:textId="77777777">
      <w:pPr>
        <w:pStyle w:val="Heading2"/>
        <w:spacing w:line="360" w:lineRule="auto"/>
      </w:pPr>
      <w:bookmarkStart w:name="_Toc232071282" w:id="19"/>
      <w:r w:rsidRPr="00A365BF">
        <w:t>Goal</w:t>
      </w:r>
      <w:bookmarkEnd w:id="19"/>
      <w:r w:rsidRPr="00A365BF">
        <w:t xml:space="preserve"> </w:t>
      </w:r>
    </w:p>
    <w:p w:rsidRPr="00A365BF" w:rsidR="00CA535E" w:rsidP="00181DB4" w:rsidRDefault="00CA535E" w14:paraId="5D3BE422" w14:textId="1A73AD6D">
      <w:pPr>
        <w:spacing w:line="360" w:lineRule="auto"/>
        <w:rPr>
          <w:rFonts w:ascii="Verdana" w:hAnsi="Verdana" w:eastAsia="Verdana" w:cs="Verdana"/>
        </w:rPr>
      </w:pPr>
      <w:r w:rsidRPr="00A365BF">
        <w:rPr>
          <w:rFonts w:ascii="Verdana" w:hAnsi="Verdana" w:eastAsia="Verdana" w:cs="Verdana"/>
        </w:rPr>
        <w:t>Disabled people and their whānau have affordable, safe, healthy, secure, and accessible homes that meet their needs and support their independence.</w:t>
      </w:r>
    </w:p>
    <w:p w:rsidRPr="00A365BF" w:rsidR="002A4D2A" w:rsidP="00181DB4" w:rsidRDefault="002A4D2A" w14:paraId="3648537C" w14:textId="146E0ED6">
      <w:pPr>
        <w:pStyle w:val="Heading2"/>
        <w:spacing w:line="360" w:lineRule="auto"/>
      </w:pPr>
      <w:bookmarkStart w:name="_Toc232071283" w:id="20"/>
      <w:r w:rsidRPr="00A365BF">
        <w:t>Primary measures</w:t>
      </w:r>
      <w:bookmarkEnd w:id="20"/>
    </w:p>
    <w:p w:rsidRPr="00A365BF" w:rsidR="00CA535E" w:rsidP="00181DB4" w:rsidRDefault="00CA535E" w14:paraId="0CB0E9F0" w14:textId="5BBBE959">
      <w:pPr>
        <w:spacing w:line="360" w:lineRule="auto"/>
        <w:rPr>
          <w:rFonts w:ascii="Verdana" w:hAnsi="Verdana" w:eastAsia="Verdana" w:cs="Verdana"/>
        </w:rPr>
      </w:pPr>
      <w:r w:rsidRPr="00A365BF">
        <w:rPr>
          <w:rFonts w:ascii="Verdana" w:hAnsi="Verdana" w:eastAsia="Verdana" w:cs="Verdana"/>
        </w:rPr>
        <w:t>These are the high-level indicators that measure progress towards the goal for housing.</w:t>
      </w:r>
    </w:p>
    <w:p w:rsidRPr="00A365BF" w:rsidR="006C6827" w:rsidP="00181DB4" w:rsidRDefault="003C1591" w14:paraId="2B8C7C37" w14:textId="77777777">
      <w:pPr>
        <w:spacing w:line="360" w:lineRule="auto"/>
        <w:rPr>
          <w:rFonts w:ascii="Verdana" w:hAnsi="Verdana" w:eastAsia="Verdana" w:cs="Verdana"/>
        </w:rPr>
      </w:pPr>
      <w:r w:rsidRPr="00A365BF">
        <w:rPr>
          <w:rFonts w:ascii="Verdana" w:hAnsi="Verdana" w:eastAsia="Verdana" w:cs="Verdana"/>
        </w:rPr>
        <w:t>Feeling safe at home at night</w:t>
      </w:r>
      <w:r w:rsidRPr="00A365BF" w:rsidR="0F13358A">
        <w:rPr>
          <w:rFonts w:ascii="Verdana" w:hAnsi="Verdana" w:eastAsia="Verdana" w:cs="Verdana"/>
        </w:rPr>
        <w:t xml:space="preserve"> – 71.6</w:t>
      </w:r>
      <w:r w:rsidRPr="00A365BF" w:rsidR="00A309C1">
        <w:rPr>
          <w:rFonts w:ascii="Verdana" w:hAnsi="Verdana" w:eastAsia="Verdana" w:cs="Verdana"/>
        </w:rPr>
        <w:t>%</w:t>
      </w:r>
      <w:r w:rsidRPr="00A365BF" w:rsidR="0F13358A">
        <w:rPr>
          <w:rFonts w:ascii="Verdana" w:hAnsi="Verdana" w:eastAsia="Verdana" w:cs="Verdana"/>
        </w:rPr>
        <w:t xml:space="preserve"> of disabled adults (15 years and over) felt safe or very safe at home by themselves at night.</w:t>
      </w:r>
      <w:r w:rsidRPr="00A365BF" w:rsidR="006C6827">
        <w:rPr>
          <w:rFonts w:ascii="Verdana" w:hAnsi="Verdana" w:eastAsia="Verdana" w:cs="Verdana"/>
        </w:rPr>
        <w:t xml:space="preserve"> Source: General Social Survey, 2023.</w:t>
      </w:r>
    </w:p>
    <w:p w:rsidRPr="00A365BF" w:rsidR="006C6827" w:rsidP="00181DB4" w:rsidRDefault="003C1591" w14:paraId="70DA2FCD" w14:textId="77777777">
      <w:pPr>
        <w:spacing w:line="360" w:lineRule="auto"/>
        <w:rPr>
          <w:rFonts w:ascii="Verdana" w:hAnsi="Verdana" w:eastAsia="Verdana" w:cs="Verdana"/>
        </w:rPr>
      </w:pPr>
      <w:r w:rsidRPr="00A365BF">
        <w:rPr>
          <w:rFonts w:ascii="Verdana" w:hAnsi="Verdana" w:eastAsia="Verdana" w:cs="Verdana"/>
        </w:rPr>
        <w:t>No major problems with house</w:t>
      </w:r>
      <w:r w:rsidRPr="00A365BF" w:rsidR="5939B2EE">
        <w:rPr>
          <w:rFonts w:ascii="Verdana" w:hAnsi="Verdana" w:eastAsia="Verdana" w:cs="Verdana"/>
        </w:rPr>
        <w:t xml:space="preserve"> – 32.9</w:t>
      </w:r>
      <w:r w:rsidRPr="00A365BF" w:rsidR="00A309C1">
        <w:rPr>
          <w:rFonts w:ascii="Verdana" w:hAnsi="Verdana" w:eastAsia="Verdana" w:cs="Verdana"/>
        </w:rPr>
        <w:t>%</w:t>
      </w:r>
      <w:r w:rsidRPr="00A365BF" w:rsidR="5939B2EE">
        <w:rPr>
          <w:rFonts w:ascii="Verdana" w:hAnsi="Verdana" w:eastAsia="Verdana" w:cs="Verdana"/>
        </w:rPr>
        <w:t xml:space="preserve"> of disabled adults (15 years and over) reported no major problems (cold, damp, mould, no major repairs needed) with their house or flat.</w:t>
      </w:r>
      <w:r w:rsidRPr="00A365BF" w:rsidR="006C6827">
        <w:rPr>
          <w:rFonts w:ascii="Verdana" w:hAnsi="Verdana" w:eastAsia="Verdana" w:cs="Verdana"/>
        </w:rPr>
        <w:t xml:space="preserve"> Source: General Social Survey, 2023.</w:t>
      </w:r>
    </w:p>
    <w:p w:rsidRPr="00A365BF" w:rsidR="003C1591" w:rsidP="00181DB4" w:rsidRDefault="003C1591" w14:paraId="2FE1D5D5" w14:textId="614CF50F">
      <w:pPr>
        <w:spacing w:line="360" w:lineRule="auto"/>
        <w:rPr>
          <w:rFonts w:ascii="Verdana" w:hAnsi="Verdana" w:eastAsia="Verdana" w:cs="Verdana"/>
        </w:rPr>
      </w:pPr>
      <w:r w:rsidRPr="00A365BF">
        <w:rPr>
          <w:rFonts w:ascii="Verdana" w:hAnsi="Verdana" w:eastAsia="Verdana" w:cs="Verdana"/>
        </w:rPr>
        <w:t>Home ownership</w:t>
      </w:r>
      <w:r w:rsidRPr="00A365BF" w:rsidR="3138BA65">
        <w:rPr>
          <w:rFonts w:ascii="Verdana" w:hAnsi="Verdana" w:eastAsia="Verdana" w:cs="Verdana"/>
        </w:rPr>
        <w:t xml:space="preserve"> – 5</w:t>
      </w:r>
      <w:r w:rsidRPr="00A365BF" w:rsidR="76B536E2">
        <w:rPr>
          <w:rFonts w:ascii="Verdana" w:hAnsi="Verdana" w:eastAsia="Verdana" w:cs="Verdana"/>
        </w:rPr>
        <w:t>8.6</w:t>
      </w:r>
      <w:r w:rsidRPr="00A365BF" w:rsidR="00A309C1">
        <w:rPr>
          <w:rFonts w:ascii="Verdana" w:hAnsi="Verdana" w:eastAsia="Verdana" w:cs="Verdana"/>
        </w:rPr>
        <w:t>%</w:t>
      </w:r>
      <w:r w:rsidRPr="00A365BF" w:rsidR="3138BA65">
        <w:rPr>
          <w:rFonts w:ascii="Verdana" w:hAnsi="Verdana" w:eastAsia="Verdana" w:cs="Verdana"/>
        </w:rPr>
        <w:t xml:space="preserve"> of disabled people (2 years and over) were living in an owner-occupied home.</w:t>
      </w:r>
      <w:r w:rsidRPr="00A365BF" w:rsidR="006C6827">
        <w:rPr>
          <w:rFonts w:ascii="Verdana" w:hAnsi="Verdana" w:eastAsia="Verdana" w:cs="Verdana"/>
        </w:rPr>
        <w:t xml:space="preserve"> Source: Household Economic Survey, </w:t>
      </w:r>
      <w:r w:rsidRPr="00A365BF" w:rsidR="00E64980">
        <w:rPr>
          <w:rFonts w:ascii="Verdana" w:hAnsi="Verdana" w:eastAsia="Verdana" w:cs="Verdana"/>
        </w:rPr>
        <w:t>year ended June 2024.</w:t>
      </w:r>
    </w:p>
    <w:p w:rsidRPr="00A365BF" w:rsidR="003C1591" w:rsidP="00181DB4" w:rsidRDefault="003C1591" w14:paraId="77F0F047" w14:textId="18D81893">
      <w:pPr>
        <w:spacing w:line="360" w:lineRule="auto"/>
        <w:rPr>
          <w:rFonts w:ascii="Verdana" w:hAnsi="Verdana" w:eastAsia="Verdana" w:cs="Verdana"/>
        </w:rPr>
      </w:pPr>
      <w:r w:rsidRPr="00A365BF">
        <w:rPr>
          <w:rFonts w:ascii="Verdana" w:hAnsi="Verdana" w:eastAsia="Verdana" w:cs="Verdana"/>
        </w:rPr>
        <w:t>Days spent on housing register</w:t>
      </w:r>
      <w:r w:rsidRPr="00A365BF" w:rsidR="001177EA">
        <w:rPr>
          <w:rFonts w:ascii="Verdana" w:hAnsi="Verdana" w:eastAsia="Verdana" w:cs="Verdana"/>
        </w:rPr>
        <w:t xml:space="preserve"> – </w:t>
      </w:r>
      <w:r w:rsidRPr="00A365BF" w:rsidR="00A8483B">
        <w:rPr>
          <w:rFonts w:ascii="Verdana" w:hAnsi="Verdana" w:eastAsia="Verdana" w:cs="Verdana"/>
        </w:rPr>
        <w:t xml:space="preserve">Average wait time (days) for modified social housing on the: Housing register - 1,015 days; Transfer register - 96 days. </w:t>
      </w:r>
      <w:r w:rsidRPr="00A365BF" w:rsidR="00E64980">
        <w:rPr>
          <w:rFonts w:ascii="Verdana" w:hAnsi="Verdana" w:eastAsia="Verdana" w:cs="Verdana"/>
        </w:rPr>
        <w:t xml:space="preserve">Source: MSD </w:t>
      </w:r>
      <w:r w:rsidRPr="00A365BF" w:rsidR="000F63ED">
        <w:rPr>
          <w:rFonts w:ascii="Verdana" w:hAnsi="Verdana" w:eastAsia="Verdana" w:cs="Verdana"/>
        </w:rPr>
        <w:t>h</w:t>
      </w:r>
      <w:r w:rsidRPr="00A365BF" w:rsidR="00E64980">
        <w:rPr>
          <w:rFonts w:ascii="Verdana" w:hAnsi="Verdana" w:eastAsia="Verdana" w:cs="Verdana"/>
        </w:rPr>
        <w:t xml:space="preserve">ousing </w:t>
      </w:r>
      <w:r w:rsidRPr="00A365BF" w:rsidR="000F63ED">
        <w:rPr>
          <w:rFonts w:ascii="Verdana" w:hAnsi="Verdana" w:eastAsia="Verdana" w:cs="Verdana"/>
        </w:rPr>
        <w:t>r</w:t>
      </w:r>
      <w:r w:rsidRPr="00A365BF" w:rsidR="00E64980">
        <w:rPr>
          <w:rFonts w:ascii="Verdana" w:hAnsi="Verdana" w:eastAsia="Verdana" w:cs="Verdana"/>
        </w:rPr>
        <w:t xml:space="preserve">egister, </w:t>
      </w:r>
      <w:r w:rsidRPr="00A365BF" w:rsidR="000F63ED">
        <w:rPr>
          <w:rFonts w:ascii="Verdana" w:hAnsi="Verdana" w:eastAsia="Verdana" w:cs="Verdana"/>
        </w:rPr>
        <w:t>December 2025 quarter.</w:t>
      </w:r>
    </w:p>
    <w:p w:rsidRPr="00A365BF" w:rsidR="003C1591" w:rsidP="00181DB4" w:rsidRDefault="003C1591" w14:paraId="491EB39E" w14:textId="46EA1C04">
      <w:pPr>
        <w:spacing w:line="360" w:lineRule="auto"/>
        <w:rPr>
          <w:rFonts w:ascii="Verdana" w:hAnsi="Verdana" w:eastAsia="Verdana" w:cs="Verdana"/>
        </w:rPr>
      </w:pPr>
      <w:r w:rsidRPr="00A365BF">
        <w:rPr>
          <w:rFonts w:ascii="Verdana" w:hAnsi="Verdana" w:eastAsia="Verdana" w:cs="Verdana"/>
        </w:rPr>
        <w:t>Housing affordability</w:t>
      </w:r>
      <w:r w:rsidRPr="00A365BF" w:rsidR="002A1271">
        <w:rPr>
          <w:rFonts w:ascii="Verdana" w:hAnsi="Verdana" w:eastAsia="Verdana" w:cs="Verdana"/>
        </w:rPr>
        <w:t xml:space="preserve"> – 40.2</w:t>
      </w:r>
      <w:r w:rsidRPr="00A365BF" w:rsidR="00A309C1">
        <w:rPr>
          <w:rFonts w:ascii="Verdana" w:hAnsi="Verdana" w:eastAsia="Verdana" w:cs="Verdana"/>
        </w:rPr>
        <w:t>%</w:t>
      </w:r>
      <w:r w:rsidRPr="00A365BF" w:rsidR="002A1271">
        <w:rPr>
          <w:rFonts w:ascii="Verdana" w:hAnsi="Verdana" w:eastAsia="Verdana" w:cs="Verdana"/>
        </w:rPr>
        <w:t xml:space="preserve"> of disabled adults (15 years and over) rated their housing affordability highly (7 or higher on a 0 to 10 scale).</w:t>
      </w:r>
      <w:r w:rsidRPr="00A365BF" w:rsidR="002E0285">
        <w:rPr>
          <w:rFonts w:ascii="Verdana" w:hAnsi="Verdana" w:eastAsia="Verdana" w:cs="Verdana"/>
        </w:rPr>
        <w:t xml:space="preserve"> Source: General Social Survey, 2023.</w:t>
      </w:r>
    </w:p>
    <w:p w:rsidRPr="00A365BF" w:rsidR="002A4D2A" w:rsidP="00181DB4" w:rsidRDefault="002A4D2A" w14:paraId="0FB77F69" w14:textId="77777777">
      <w:pPr>
        <w:pStyle w:val="Heading2"/>
        <w:spacing w:line="360" w:lineRule="auto"/>
      </w:pPr>
      <w:bookmarkStart w:name="_Toc232071284" w:id="21"/>
      <w:r w:rsidRPr="00A365BF">
        <w:t>Supporting measures</w:t>
      </w:r>
      <w:bookmarkEnd w:id="21"/>
    </w:p>
    <w:p w:rsidRPr="00A365BF" w:rsidR="007E643B" w:rsidP="00181DB4" w:rsidRDefault="007E643B" w14:paraId="0B3536C5" w14:textId="5C32EF6D">
      <w:pPr>
        <w:spacing w:line="360" w:lineRule="auto"/>
        <w:rPr>
          <w:rFonts w:ascii="Verdana" w:hAnsi="Verdana" w:eastAsia="Verdana" w:cs="Verdana"/>
        </w:rPr>
      </w:pPr>
      <w:r w:rsidRPr="00A365BF">
        <w:rPr>
          <w:rFonts w:ascii="Verdana" w:hAnsi="Verdana" w:eastAsia="Verdana" w:cs="Verdana"/>
        </w:rPr>
        <w:t>These measures will help monitor progress in the housing outcome area in more detail.</w:t>
      </w:r>
    </w:p>
    <w:p w:rsidRPr="00A365BF" w:rsidR="000D6523" w:rsidP="00181DB4" w:rsidRDefault="000D6523" w14:paraId="1319BEFB" w14:textId="17343FC6">
      <w:pPr>
        <w:spacing w:line="360" w:lineRule="auto"/>
        <w:rPr>
          <w:rFonts w:ascii="Verdana" w:hAnsi="Verdana" w:eastAsia="Verdana" w:cs="Verdana"/>
        </w:rPr>
      </w:pPr>
      <w:r w:rsidRPr="00A365BF">
        <w:rPr>
          <w:rFonts w:ascii="Verdana" w:hAnsi="Verdana" w:eastAsia="Verdana" w:cs="Verdana"/>
        </w:rPr>
        <w:t>Safety of neighbourhood after dark</w:t>
      </w:r>
      <w:r w:rsidRPr="00A365BF" w:rsidR="002A1271">
        <w:rPr>
          <w:rFonts w:ascii="Verdana" w:hAnsi="Verdana" w:eastAsia="Verdana" w:cs="Verdana"/>
        </w:rPr>
        <w:t xml:space="preserve"> – 45.4</w:t>
      </w:r>
      <w:r w:rsidRPr="00A365BF" w:rsidR="00A309C1">
        <w:rPr>
          <w:rFonts w:ascii="Verdana" w:hAnsi="Verdana" w:eastAsia="Verdana" w:cs="Verdana"/>
        </w:rPr>
        <w:t>%</w:t>
      </w:r>
      <w:r w:rsidRPr="00A365BF" w:rsidR="002A1271">
        <w:rPr>
          <w:rFonts w:ascii="Verdana" w:hAnsi="Verdana" w:eastAsia="Verdana" w:cs="Verdana"/>
        </w:rPr>
        <w:t xml:space="preserve"> of disabled adults (15 years and over) felt safe or very safe walking alone in the neighbourhood after dark.</w:t>
      </w:r>
      <w:r w:rsidRPr="00A365BF" w:rsidR="00881159">
        <w:rPr>
          <w:rFonts w:ascii="Verdana" w:hAnsi="Verdana" w:eastAsia="Verdana" w:cs="Verdana"/>
        </w:rPr>
        <w:t xml:space="preserve"> Source: General Social Survey, 2023.</w:t>
      </w:r>
    </w:p>
    <w:p w:rsidRPr="00A365BF" w:rsidR="000D6523" w:rsidP="00181DB4" w:rsidRDefault="000D6523" w14:paraId="58F3D77A" w14:textId="0EAAA6E3">
      <w:pPr>
        <w:spacing w:line="360" w:lineRule="auto"/>
        <w:rPr>
          <w:rFonts w:ascii="Verdana" w:hAnsi="Verdana" w:eastAsia="Verdana" w:cs="Verdana"/>
        </w:rPr>
      </w:pPr>
      <w:r w:rsidRPr="00A365BF">
        <w:rPr>
          <w:rFonts w:ascii="Verdana" w:hAnsi="Verdana" w:eastAsia="Verdana" w:cs="Verdana"/>
        </w:rPr>
        <w:t>Late paying bills due to lack of money</w:t>
      </w:r>
      <w:r w:rsidRPr="00A365BF" w:rsidR="002A1271">
        <w:rPr>
          <w:rFonts w:ascii="Verdana" w:hAnsi="Verdana" w:eastAsia="Verdana" w:cs="Verdana"/>
        </w:rPr>
        <w:t xml:space="preserve"> – 27.2</w:t>
      </w:r>
      <w:r w:rsidRPr="00A365BF" w:rsidR="00A309C1">
        <w:rPr>
          <w:rFonts w:ascii="Verdana" w:hAnsi="Verdana" w:eastAsia="Verdana" w:cs="Verdana"/>
        </w:rPr>
        <w:t>%</w:t>
      </w:r>
      <w:r w:rsidRPr="00A365BF" w:rsidR="002A1271">
        <w:rPr>
          <w:rFonts w:ascii="Verdana" w:hAnsi="Verdana" w:eastAsia="Verdana" w:cs="Verdana"/>
        </w:rPr>
        <w:t xml:space="preserve"> of disabled adults (15 years and over)</w:t>
      </w:r>
      <w:r w:rsidRPr="00A365BF" w:rsidR="46B57020">
        <w:rPr>
          <w:rFonts w:ascii="Verdana" w:hAnsi="Verdana" w:eastAsia="Verdana" w:cs="Verdana"/>
        </w:rPr>
        <w:t>,</w:t>
      </w:r>
      <w:r w:rsidRPr="00A365BF" w:rsidR="002A1271">
        <w:rPr>
          <w:rFonts w:ascii="Verdana" w:hAnsi="Verdana" w:eastAsia="Verdana" w:cs="Verdana"/>
        </w:rPr>
        <w:t xml:space="preserve"> in the last 12 months</w:t>
      </w:r>
      <w:r w:rsidRPr="00A365BF" w:rsidR="39841D07">
        <w:rPr>
          <w:rFonts w:ascii="Verdana" w:hAnsi="Verdana" w:eastAsia="Verdana" w:cs="Verdana"/>
        </w:rPr>
        <w:t>,</w:t>
      </w:r>
      <w:r w:rsidRPr="00A365BF" w:rsidR="002A1271">
        <w:rPr>
          <w:rFonts w:ascii="Verdana" w:hAnsi="Verdana" w:eastAsia="Verdana" w:cs="Verdana"/>
        </w:rPr>
        <w:t xml:space="preserve"> had been late paying electricity, gas, rates, or water bill once or more due to lack of money.</w:t>
      </w:r>
      <w:r w:rsidRPr="00A365BF" w:rsidR="00881159">
        <w:rPr>
          <w:rFonts w:ascii="Verdana" w:hAnsi="Verdana" w:eastAsia="Verdana" w:cs="Verdana"/>
        </w:rPr>
        <w:t xml:space="preserve"> Source: General Social Survey, 2023.</w:t>
      </w:r>
    </w:p>
    <w:p w:rsidRPr="00A365BF" w:rsidR="000D6523" w:rsidP="00181DB4" w:rsidRDefault="000D6523" w14:paraId="3BA33B70" w14:textId="0533B25C">
      <w:pPr>
        <w:spacing w:line="360" w:lineRule="auto"/>
        <w:rPr>
          <w:rFonts w:ascii="Verdana" w:hAnsi="Verdana" w:eastAsia="Verdana" w:cs="Verdana"/>
        </w:rPr>
      </w:pPr>
      <w:r w:rsidRPr="00A365BF">
        <w:rPr>
          <w:rFonts w:ascii="Verdana" w:hAnsi="Verdana" w:eastAsia="Verdana" w:cs="Verdana"/>
        </w:rPr>
        <w:t>Homelessness</w:t>
      </w:r>
      <w:r w:rsidRPr="00A365BF" w:rsidR="00E14D4B">
        <w:rPr>
          <w:rFonts w:ascii="Verdana" w:hAnsi="Verdana" w:eastAsia="Verdana" w:cs="Verdana"/>
        </w:rPr>
        <w:t xml:space="preserve"> – 3.8</w:t>
      </w:r>
      <w:r w:rsidRPr="00A365BF" w:rsidR="00A309C1">
        <w:rPr>
          <w:rFonts w:ascii="Verdana" w:hAnsi="Verdana" w:eastAsia="Verdana" w:cs="Verdana"/>
        </w:rPr>
        <w:t>%</w:t>
      </w:r>
      <w:r w:rsidRPr="00A365BF" w:rsidR="00E14D4B">
        <w:rPr>
          <w:rFonts w:ascii="Verdana" w:hAnsi="Verdana" w:eastAsia="Verdana" w:cs="Verdana"/>
        </w:rPr>
        <w:t xml:space="preserve"> of disabled people (5 years and over) were living in severe housing deprivation (homelessness)</w:t>
      </w:r>
      <w:r w:rsidRPr="00A365BF" w:rsidR="00881159">
        <w:rPr>
          <w:rFonts w:ascii="Verdana" w:hAnsi="Verdana" w:eastAsia="Verdana" w:cs="Verdana"/>
        </w:rPr>
        <w:t>. Source: NZ Census, 2023.</w:t>
      </w:r>
    </w:p>
    <w:p w:rsidRPr="00A365BF" w:rsidR="005529E0" w:rsidP="00181DB4" w:rsidRDefault="005529E0" w14:paraId="0CDE8352" w14:textId="1FD2CA3E">
      <w:pPr>
        <w:pStyle w:val="Heading1"/>
        <w:spacing w:line="360" w:lineRule="auto"/>
      </w:pPr>
      <w:bookmarkStart w:name="_Toc232071285" w:id="22"/>
      <w:r w:rsidRPr="00A365BF">
        <w:t>Justice</w:t>
      </w:r>
      <w:bookmarkEnd w:id="22"/>
    </w:p>
    <w:p w:rsidRPr="00A365BF" w:rsidR="001B7633" w:rsidP="00181DB4" w:rsidRDefault="00831CCF" w14:paraId="52F25557" w14:textId="77777777">
      <w:pPr>
        <w:pStyle w:val="Heading2"/>
        <w:spacing w:line="360" w:lineRule="auto"/>
      </w:pPr>
      <w:bookmarkStart w:name="_Toc232071286" w:id="23"/>
      <w:r w:rsidRPr="00A365BF">
        <w:t>Goal</w:t>
      </w:r>
      <w:bookmarkEnd w:id="23"/>
      <w:r w:rsidRPr="00A365BF">
        <w:t xml:space="preserve"> </w:t>
      </w:r>
    </w:p>
    <w:p w:rsidRPr="00A365BF" w:rsidR="00831CCF" w:rsidP="00181DB4" w:rsidRDefault="00831CCF" w14:paraId="3B3C09E1" w14:textId="1E80EC34">
      <w:pPr>
        <w:spacing w:line="360" w:lineRule="auto"/>
        <w:rPr>
          <w:rFonts w:ascii="Verdana" w:hAnsi="Verdana" w:eastAsia="Verdana" w:cs="Verdana"/>
        </w:rPr>
      </w:pPr>
      <w:r w:rsidRPr="00A365BF">
        <w:rPr>
          <w:rFonts w:ascii="Verdana" w:hAnsi="Verdana" w:eastAsia="Verdana" w:cs="Verdana"/>
        </w:rPr>
        <w:t>Disabled people’s human rights and freedoms will be protected, and their disability rights will be realized. Disabled people will be treated fairly and equitably by the justice system and will be supported to meaningfully participate. Justice system policies and practices will embed accessibility, inclusion, and lived experience.</w:t>
      </w:r>
    </w:p>
    <w:p w:rsidRPr="00A365BF" w:rsidR="002A4D2A" w:rsidP="00181DB4" w:rsidRDefault="002A4D2A" w14:paraId="6526ED13" w14:textId="5ECB6058">
      <w:pPr>
        <w:pStyle w:val="Heading2"/>
        <w:spacing w:line="360" w:lineRule="auto"/>
      </w:pPr>
      <w:bookmarkStart w:name="_Toc232071287" w:id="24"/>
      <w:r w:rsidRPr="00A365BF">
        <w:t>Primary measures</w:t>
      </w:r>
      <w:bookmarkEnd w:id="24"/>
    </w:p>
    <w:p w:rsidRPr="00A365BF" w:rsidR="00831CCF" w:rsidP="00181DB4" w:rsidRDefault="00831CCF" w14:paraId="117AD97A" w14:textId="190D84B1">
      <w:pPr>
        <w:spacing w:line="360" w:lineRule="auto"/>
        <w:rPr>
          <w:rFonts w:ascii="Verdana" w:hAnsi="Verdana" w:eastAsia="Verdana" w:cs="Verdana"/>
        </w:rPr>
      </w:pPr>
      <w:r w:rsidRPr="00A365BF">
        <w:rPr>
          <w:rFonts w:ascii="Verdana" w:hAnsi="Verdana" w:eastAsia="Verdana" w:cs="Verdana"/>
        </w:rPr>
        <w:t>These are high-level indicators that measure progress toward</w:t>
      </w:r>
      <w:r w:rsidRPr="00A365BF" w:rsidR="79C2518F">
        <w:rPr>
          <w:rFonts w:ascii="Verdana" w:hAnsi="Verdana" w:eastAsia="Verdana" w:cs="Verdana"/>
        </w:rPr>
        <w:t>s</w:t>
      </w:r>
      <w:r w:rsidRPr="00A365BF">
        <w:rPr>
          <w:rFonts w:ascii="Verdana" w:hAnsi="Verdana" w:eastAsia="Verdana" w:cs="Verdana"/>
        </w:rPr>
        <w:t xml:space="preserve"> the goal for justice.</w:t>
      </w:r>
    </w:p>
    <w:p w:rsidRPr="00A365BF" w:rsidR="00AF5D1A" w:rsidP="00181DB4" w:rsidRDefault="00AF5D1A" w14:paraId="75D82C23" w14:textId="71CEAE36">
      <w:pPr>
        <w:spacing w:line="360" w:lineRule="auto"/>
        <w:rPr>
          <w:rFonts w:ascii="Verdana" w:hAnsi="Verdana" w:eastAsia="Verdana" w:cs="Verdana"/>
        </w:rPr>
      </w:pPr>
      <w:r w:rsidRPr="00A365BF">
        <w:rPr>
          <w:rFonts w:ascii="Verdana" w:hAnsi="Verdana" w:eastAsia="Verdana" w:cs="Verdana"/>
        </w:rPr>
        <w:t>Feeling of safety</w:t>
      </w:r>
      <w:r w:rsidRPr="00A365BF" w:rsidR="00E14D4B">
        <w:rPr>
          <w:rFonts w:ascii="Verdana" w:hAnsi="Verdana" w:eastAsia="Verdana" w:cs="Verdana"/>
        </w:rPr>
        <w:t xml:space="preserve"> – 7.9 out of 10 was the average (mean) rating (on a 0 to 10 scale) for feeling of safety for disabled adults (15 years and over, age standardized).</w:t>
      </w:r>
      <w:r w:rsidRPr="00A365BF" w:rsidR="00B45CBF">
        <w:rPr>
          <w:rFonts w:ascii="Verdana" w:hAnsi="Verdana" w:eastAsia="Verdana" w:cs="Verdana"/>
        </w:rPr>
        <w:t xml:space="preserve"> Source: NZ Crime and Victims Survey, 2024.</w:t>
      </w:r>
    </w:p>
    <w:p w:rsidRPr="00A365BF" w:rsidR="00AF5D1A" w:rsidP="00181DB4" w:rsidRDefault="00AF5D1A" w14:paraId="0857175F" w14:textId="653D95BE">
      <w:pPr>
        <w:spacing w:line="360" w:lineRule="auto"/>
        <w:rPr>
          <w:rFonts w:ascii="Verdana" w:hAnsi="Verdana" w:eastAsia="Verdana" w:cs="Verdana"/>
        </w:rPr>
      </w:pPr>
      <w:r w:rsidRPr="00A365BF">
        <w:rPr>
          <w:rFonts w:ascii="Verdana" w:hAnsi="Verdana" w:eastAsia="Verdana" w:cs="Verdana"/>
        </w:rPr>
        <w:t>Victimisation rate</w:t>
      </w:r>
      <w:r w:rsidRPr="00A365BF" w:rsidR="00B537DC">
        <w:rPr>
          <w:rFonts w:ascii="Verdana" w:hAnsi="Verdana" w:eastAsia="Verdana" w:cs="Verdana"/>
        </w:rPr>
        <w:t xml:space="preserve"> – 39.6</w:t>
      </w:r>
      <w:r w:rsidRPr="00A365BF" w:rsidR="00A309C1">
        <w:rPr>
          <w:rFonts w:ascii="Verdana" w:hAnsi="Verdana" w:eastAsia="Verdana" w:cs="Verdana"/>
        </w:rPr>
        <w:t>%</w:t>
      </w:r>
      <w:r w:rsidRPr="00A365BF" w:rsidR="00B537DC">
        <w:rPr>
          <w:rFonts w:ascii="Verdana" w:hAnsi="Verdana" w:eastAsia="Verdana" w:cs="Verdana"/>
        </w:rPr>
        <w:t xml:space="preserve"> of disabled adults (15 years and over) experienced at least one offense in the last 12 months (age-standardised).</w:t>
      </w:r>
      <w:r w:rsidRPr="00A365BF" w:rsidR="00281127">
        <w:rPr>
          <w:rFonts w:ascii="Verdana" w:hAnsi="Verdana" w:eastAsia="Verdana" w:cs="Verdana"/>
        </w:rPr>
        <w:t xml:space="preserve"> Source: NZ Crime and Victims Survey, 2024.</w:t>
      </w:r>
    </w:p>
    <w:p w:rsidRPr="00A365BF" w:rsidR="00AF5D1A" w:rsidP="00181DB4" w:rsidRDefault="00AF5D1A" w14:paraId="430298AC" w14:textId="3AE5B4E3">
      <w:pPr>
        <w:spacing w:line="360" w:lineRule="auto"/>
        <w:rPr>
          <w:rFonts w:ascii="Verdana" w:hAnsi="Verdana" w:eastAsia="Verdana" w:cs="Verdana"/>
        </w:rPr>
      </w:pPr>
      <w:r w:rsidRPr="00A365BF">
        <w:rPr>
          <w:rFonts w:ascii="Verdana" w:hAnsi="Verdana" w:eastAsia="Verdana" w:cs="Verdana"/>
        </w:rPr>
        <w:t>Unfair treatment by the justice system</w:t>
      </w:r>
      <w:r w:rsidRPr="00A365BF" w:rsidR="00B537DC">
        <w:rPr>
          <w:rFonts w:ascii="Verdana" w:hAnsi="Verdana" w:eastAsia="Verdana" w:cs="Verdana"/>
        </w:rPr>
        <w:t xml:space="preserve"> – 52.9</w:t>
      </w:r>
      <w:r w:rsidRPr="00A365BF" w:rsidR="00A309C1">
        <w:rPr>
          <w:rFonts w:ascii="Verdana" w:hAnsi="Verdana" w:eastAsia="Verdana" w:cs="Verdana"/>
        </w:rPr>
        <w:t>%</w:t>
      </w:r>
      <w:r w:rsidRPr="00A365BF" w:rsidR="00B537DC">
        <w:rPr>
          <w:rFonts w:ascii="Verdana" w:hAnsi="Verdana" w:eastAsia="Verdana" w:cs="Verdana"/>
        </w:rPr>
        <w:t xml:space="preserve"> of disabled adults (15 years and over) said they have been treated unfairly by the criminal justice system in the last 12 months (age-standardised).</w:t>
      </w:r>
      <w:r w:rsidRPr="00A365BF" w:rsidR="00281127">
        <w:rPr>
          <w:rFonts w:ascii="Verdana" w:hAnsi="Verdana" w:eastAsia="Verdana" w:cs="Verdana"/>
        </w:rPr>
        <w:t xml:space="preserve"> Source: NZ Crime and Victims Survey, 2024.</w:t>
      </w:r>
    </w:p>
    <w:p w:rsidRPr="00A365BF" w:rsidR="00AF5D1A" w:rsidP="00181DB4" w:rsidRDefault="00AF5D1A" w14:paraId="267B0602" w14:textId="11DE2A2A">
      <w:pPr>
        <w:spacing w:line="360" w:lineRule="auto"/>
        <w:rPr>
          <w:rFonts w:ascii="Verdana" w:hAnsi="Verdana" w:eastAsia="Verdana" w:cs="Verdana"/>
        </w:rPr>
      </w:pPr>
      <w:r w:rsidRPr="00A365BF">
        <w:rPr>
          <w:rFonts w:ascii="Verdana" w:hAnsi="Verdana" w:eastAsia="Verdana" w:cs="Verdana"/>
        </w:rPr>
        <w:t>High trust in the justice system</w:t>
      </w:r>
      <w:r w:rsidRPr="00A365BF" w:rsidR="00B537DC">
        <w:rPr>
          <w:rFonts w:ascii="Verdana" w:hAnsi="Verdana" w:eastAsia="Verdana" w:cs="Verdana"/>
        </w:rPr>
        <w:t xml:space="preserve"> – 36.4</w:t>
      </w:r>
      <w:r w:rsidRPr="00A365BF" w:rsidR="00A309C1">
        <w:rPr>
          <w:rFonts w:ascii="Verdana" w:hAnsi="Verdana" w:eastAsia="Verdana" w:cs="Verdana"/>
        </w:rPr>
        <w:t>%</w:t>
      </w:r>
      <w:r w:rsidRPr="00A365BF" w:rsidR="00B537DC">
        <w:rPr>
          <w:rFonts w:ascii="Verdana" w:hAnsi="Verdana" w:eastAsia="Verdana" w:cs="Verdana"/>
        </w:rPr>
        <w:t xml:space="preserve"> of disabled adults (15 years and over) held high trust for the justice system (rating of 4 or 5 on a 1 to 5 scale, age-standardised).</w:t>
      </w:r>
      <w:r w:rsidRPr="00A365BF" w:rsidR="00281127">
        <w:rPr>
          <w:rFonts w:ascii="Verdana" w:hAnsi="Verdana" w:eastAsia="Verdana" w:cs="Verdana"/>
        </w:rPr>
        <w:t xml:space="preserve"> Source: NZ Crime and Victims Survey, 2024.</w:t>
      </w:r>
    </w:p>
    <w:p w:rsidRPr="00A365BF" w:rsidR="002A4D2A" w:rsidP="00181DB4" w:rsidRDefault="002A4D2A" w14:paraId="2161E119" w14:textId="1BB0DCA5">
      <w:pPr>
        <w:pStyle w:val="Heading2"/>
        <w:spacing w:line="360" w:lineRule="auto"/>
      </w:pPr>
      <w:bookmarkStart w:name="_Toc232071288" w:id="25"/>
      <w:r w:rsidRPr="00A365BF">
        <w:t>Supporting measures</w:t>
      </w:r>
      <w:bookmarkEnd w:id="25"/>
    </w:p>
    <w:p w:rsidRPr="00A365BF" w:rsidR="00490431" w:rsidP="00181DB4" w:rsidRDefault="00490431" w14:paraId="55ECE831" w14:textId="2348C0CD">
      <w:pPr>
        <w:spacing w:line="360" w:lineRule="auto"/>
        <w:rPr>
          <w:rFonts w:ascii="Verdana" w:hAnsi="Verdana" w:eastAsia="Verdana" w:cs="Verdana"/>
        </w:rPr>
      </w:pPr>
      <w:r w:rsidRPr="00A365BF">
        <w:rPr>
          <w:rFonts w:ascii="Verdana" w:hAnsi="Verdana" w:eastAsia="Verdana" w:cs="Verdana"/>
        </w:rPr>
        <w:t>These measures will help monitor progress in the justice outcome area in more detail.</w:t>
      </w:r>
    </w:p>
    <w:p w:rsidRPr="00A365BF" w:rsidR="00490431" w:rsidP="00181DB4" w:rsidRDefault="00490431" w14:paraId="16F40CBA" w14:textId="13ACC6CD">
      <w:pPr>
        <w:spacing w:line="360" w:lineRule="auto"/>
        <w:rPr>
          <w:rFonts w:ascii="Verdana" w:hAnsi="Verdana" w:eastAsia="Verdana" w:cs="Verdana"/>
        </w:rPr>
      </w:pPr>
      <w:r w:rsidRPr="00A365BF">
        <w:rPr>
          <w:rFonts w:ascii="Verdana" w:hAnsi="Verdana" w:eastAsia="Verdana" w:cs="Verdana"/>
        </w:rPr>
        <w:t>High trust for courts</w:t>
      </w:r>
      <w:r w:rsidRPr="00A365BF" w:rsidR="00B537DC">
        <w:rPr>
          <w:rFonts w:ascii="Verdana" w:hAnsi="Verdana" w:eastAsia="Verdana" w:cs="Verdana"/>
        </w:rPr>
        <w:t xml:space="preserve"> – 44.4</w:t>
      </w:r>
      <w:r w:rsidRPr="00A365BF" w:rsidR="00A309C1">
        <w:rPr>
          <w:rFonts w:ascii="Verdana" w:hAnsi="Verdana" w:eastAsia="Verdana" w:cs="Verdana"/>
        </w:rPr>
        <w:t>%</w:t>
      </w:r>
      <w:r w:rsidRPr="00A365BF" w:rsidR="00B537DC">
        <w:rPr>
          <w:rFonts w:ascii="Verdana" w:hAnsi="Verdana" w:eastAsia="Verdana" w:cs="Verdana"/>
        </w:rPr>
        <w:t xml:space="preserve"> of disabled adults (15 years and over) held high trust for courts (7 or higher on a 0 to 10 scale).</w:t>
      </w:r>
      <w:r w:rsidRPr="00A365BF" w:rsidR="00021BD9">
        <w:rPr>
          <w:rFonts w:ascii="Verdana" w:hAnsi="Verdana" w:eastAsia="Verdana" w:cs="Verdana"/>
        </w:rPr>
        <w:t xml:space="preserve"> Source: General Social Survey, 2023.</w:t>
      </w:r>
    </w:p>
    <w:p w:rsidRPr="00A365BF" w:rsidR="00490431" w:rsidP="00181DB4" w:rsidRDefault="00490431" w14:paraId="00F3A287" w14:textId="28C818C4">
      <w:pPr>
        <w:spacing w:line="360" w:lineRule="auto"/>
        <w:rPr>
          <w:rFonts w:ascii="Verdana" w:hAnsi="Verdana" w:eastAsia="Verdana" w:cs="Verdana"/>
        </w:rPr>
      </w:pPr>
      <w:r w:rsidRPr="00A365BF">
        <w:rPr>
          <w:rFonts w:ascii="Verdana" w:hAnsi="Verdana" w:eastAsia="Verdana" w:cs="Verdana"/>
        </w:rPr>
        <w:t>High trust for police</w:t>
      </w:r>
      <w:r w:rsidRPr="00A365BF" w:rsidR="00B537DC">
        <w:rPr>
          <w:rFonts w:ascii="Verdana" w:hAnsi="Verdana" w:eastAsia="Verdana" w:cs="Verdana"/>
        </w:rPr>
        <w:t xml:space="preserve"> – 65.1</w:t>
      </w:r>
      <w:r w:rsidRPr="00A365BF" w:rsidR="00A309C1">
        <w:rPr>
          <w:rFonts w:ascii="Verdana" w:hAnsi="Verdana" w:eastAsia="Verdana" w:cs="Verdana"/>
        </w:rPr>
        <w:t>%</w:t>
      </w:r>
      <w:r w:rsidRPr="00A365BF" w:rsidR="00B537DC">
        <w:rPr>
          <w:rFonts w:ascii="Verdana" w:hAnsi="Verdana" w:eastAsia="Verdana" w:cs="Verdana"/>
        </w:rPr>
        <w:t xml:space="preserve"> of disabled adults (15 years and over) held high trust for police (7 or higher on a 0 to 10 scale).</w:t>
      </w:r>
      <w:r w:rsidRPr="00A365BF" w:rsidR="00021BD9">
        <w:rPr>
          <w:rFonts w:ascii="Verdana" w:hAnsi="Verdana" w:eastAsia="Verdana" w:cs="Verdana"/>
        </w:rPr>
        <w:t xml:space="preserve"> Source: General Social Survey, 2023.</w:t>
      </w:r>
    </w:p>
    <w:p w:rsidRPr="00A365BF" w:rsidR="004B33CB" w:rsidP="00181DB4" w:rsidRDefault="00BD62E8" w14:paraId="43DDD5BA" w14:textId="641B6B43">
      <w:pPr>
        <w:spacing w:line="360" w:lineRule="auto"/>
        <w:rPr>
          <w:rFonts w:ascii="Verdana" w:hAnsi="Verdana" w:eastAsia="Verdana" w:cs="Verdana"/>
        </w:rPr>
      </w:pPr>
      <w:r w:rsidRPr="00A365BF">
        <w:rPr>
          <w:rFonts w:ascii="Verdana" w:hAnsi="Verdana" w:eastAsia="Verdana" w:cs="Verdana"/>
        </w:rPr>
        <w:t>Fear of crime effect on life</w:t>
      </w:r>
      <w:r w:rsidRPr="00A365BF" w:rsidR="00B537DC">
        <w:rPr>
          <w:rFonts w:ascii="Verdana" w:hAnsi="Verdana" w:eastAsia="Verdana" w:cs="Verdana"/>
        </w:rPr>
        <w:t xml:space="preserve"> – 24.5</w:t>
      </w:r>
      <w:r w:rsidRPr="00A365BF" w:rsidR="00A309C1">
        <w:rPr>
          <w:rFonts w:ascii="Verdana" w:hAnsi="Verdana" w:eastAsia="Verdana" w:cs="Verdana"/>
        </w:rPr>
        <w:t>%</w:t>
      </w:r>
      <w:r w:rsidRPr="00A365BF" w:rsidR="00B537DC">
        <w:rPr>
          <w:rFonts w:ascii="Verdana" w:hAnsi="Verdana" w:eastAsia="Verdana" w:cs="Verdana"/>
        </w:rPr>
        <w:t xml:space="preserve"> of disabled adults (15 years and over) said fear of crime has a large effect on life (rating of 7 or higher on a 0 to 10 scale).</w:t>
      </w:r>
      <w:r w:rsidRPr="00A365BF" w:rsidR="00021BD9">
        <w:rPr>
          <w:rFonts w:ascii="Verdana" w:hAnsi="Verdana" w:eastAsia="Verdana" w:cs="Verdana"/>
        </w:rPr>
        <w:t xml:space="preserve"> Source: General Social Survey, 2023.</w:t>
      </w:r>
    </w:p>
    <w:p w:rsidRPr="00A365BF" w:rsidR="002A4D2A" w:rsidP="00181DB4" w:rsidRDefault="00BD62E8" w14:paraId="67D80439" w14:textId="49F228A1">
      <w:pPr>
        <w:spacing w:line="360" w:lineRule="auto"/>
        <w:rPr>
          <w:rFonts w:ascii="Verdana" w:hAnsi="Verdana" w:eastAsia="Verdana" w:cs="Verdana"/>
          <w:lang w:val="mi-NZ"/>
        </w:rPr>
      </w:pPr>
      <w:r w:rsidRPr="00A365BF">
        <w:rPr>
          <w:rFonts w:ascii="Verdana" w:hAnsi="Verdana" w:eastAsia="Verdana" w:cs="Verdana"/>
        </w:rPr>
        <w:t>Youth in trouble with police</w:t>
      </w:r>
      <w:r w:rsidRPr="00A365BF" w:rsidR="00B537DC">
        <w:rPr>
          <w:rFonts w:ascii="Verdana" w:hAnsi="Verdana" w:eastAsia="Verdana" w:cs="Verdana"/>
        </w:rPr>
        <w:t xml:space="preserve"> – 13.8</w:t>
      </w:r>
      <w:r w:rsidRPr="00A365BF" w:rsidR="00A309C1">
        <w:rPr>
          <w:rFonts w:ascii="Verdana" w:hAnsi="Verdana" w:eastAsia="Verdana" w:cs="Verdana"/>
        </w:rPr>
        <w:t>%</w:t>
      </w:r>
      <w:r w:rsidRPr="00A365BF" w:rsidR="00B537DC">
        <w:rPr>
          <w:rFonts w:ascii="Verdana" w:hAnsi="Verdana" w:eastAsia="Verdana" w:cs="Verdana"/>
        </w:rPr>
        <w:t xml:space="preserve"> of disabled </w:t>
      </w:r>
      <w:r w:rsidRPr="00A365BF" w:rsidR="6A0BEDA4">
        <w:rPr>
          <w:rFonts w:ascii="Verdana" w:hAnsi="Verdana" w:eastAsia="Verdana" w:cs="Verdana"/>
        </w:rPr>
        <w:t>secondary school students</w:t>
      </w:r>
      <w:r w:rsidRPr="00A365BF" w:rsidR="00B537DC">
        <w:rPr>
          <w:rFonts w:ascii="Verdana" w:hAnsi="Verdana" w:eastAsia="Verdana" w:cs="Verdana"/>
        </w:rPr>
        <w:t xml:space="preserve"> (13 to 19 years) said they have been in trouble with the police once or more than once in the past 12 months.</w:t>
      </w:r>
      <w:r w:rsidRPr="00A365BF" w:rsidR="00706D7F">
        <w:rPr>
          <w:rFonts w:ascii="Verdana" w:hAnsi="Verdana" w:eastAsia="Verdana" w:cs="Verdana"/>
        </w:rPr>
        <w:t xml:space="preserve"> Source: Youth Health and Wellbeing Survey, 2025.</w:t>
      </w:r>
    </w:p>
    <w:p w:rsidRPr="00A365BF" w:rsidR="002A4D2A" w:rsidP="00181DB4" w:rsidRDefault="2D1B7F8F" w14:paraId="3F7CD07F" w14:textId="5D51F5BB">
      <w:pPr>
        <w:pStyle w:val="Heading1"/>
        <w:spacing w:line="360" w:lineRule="auto"/>
      </w:pPr>
      <w:bookmarkStart w:name="_Toc232071289" w:id="26"/>
      <w:r w:rsidRPr="00A365BF">
        <w:t>About the data</w:t>
      </w:r>
      <w:bookmarkEnd w:id="26"/>
    </w:p>
    <w:p w:rsidRPr="00A365BF" w:rsidR="002A4D2A" w:rsidP="00181DB4" w:rsidRDefault="2D1B7F8F" w14:paraId="2BD118A9" w14:textId="7E184275">
      <w:pPr>
        <w:pStyle w:val="Heading1"/>
        <w:spacing w:line="360" w:lineRule="auto"/>
      </w:pPr>
      <w:bookmarkStart w:name="_Toc232071290" w:id="27"/>
      <w:r w:rsidRPr="00A365BF">
        <w:t>Interpreting the data</w:t>
      </w:r>
      <w:bookmarkEnd w:id="27"/>
    </w:p>
    <w:p w:rsidRPr="00A365BF" w:rsidR="002A4D2A" w:rsidP="00181DB4" w:rsidRDefault="2D1B7F8F" w14:paraId="50926319" w14:textId="487B4F6F">
      <w:pPr>
        <w:pStyle w:val="Heading2"/>
        <w:spacing w:line="360" w:lineRule="auto"/>
      </w:pPr>
      <w:bookmarkStart w:name="_Toc232071291" w:id="28"/>
      <w:r w:rsidRPr="00A365BF">
        <w:t>Confidence intervals</w:t>
      </w:r>
      <w:bookmarkEnd w:id="28"/>
      <w:r w:rsidRPr="00A365BF">
        <w:t xml:space="preserve"> </w:t>
      </w:r>
    </w:p>
    <w:p w:rsidRPr="00A365BF" w:rsidR="002A4D2A" w:rsidP="00181DB4" w:rsidRDefault="2D1B7F8F" w14:paraId="5BDF7AFA" w14:textId="2769F0FA">
      <w:pPr>
        <w:spacing w:line="360" w:lineRule="auto"/>
        <w:rPr>
          <w:rFonts w:ascii="Verdana" w:hAnsi="Verdana" w:eastAsia="Verdana" w:cs="Verdana"/>
        </w:rPr>
      </w:pPr>
      <w:r w:rsidRPr="00A365BF">
        <w:rPr>
          <w:rFonts w:ascii="Verdana" w:hAnsi="Verdana" w:eastAsia="Verdana" w:cs="Verdana"/>
        </w:rPr>
        <w:t xml:space="preserve">Many of the estimates in this dashboard have error bars. These help show how precise each estimate is and how well the sample is likely to represent the population. </w:t>
      </w:r>
    </w:p>
    <w:p w:rsidRPr="00A365BF" w:rsidR="002A4D2A" w:rsidP="00181DB4" w:rsidRDefault="2D1B7F8F" w14:paraId="5B08305C" w14:textId="122DD457">
      <w:pPr>
        <w:spacing w:line="360" w:lineRule="auto"/>
        <w:rPr>
          <w:rFonts w:ascii="Verdana" w:hAnsi="Verdana" w:eastAsia="Verdana" w:cs="Verdana"/>
        </w:rPr>
      </w:pPr>
      <w:r w:rsidRPr="00A365BF">
        <w:rPr>
          <w:rFonts w:ascii="Verdana" w:hAnsi="Verdana" w:eastAsia="Verdana" w:cs="Verdana"/>
        </w:rPr>
        <w:t xml:space="preserve">The range between the lower and upper error bars represents the 95% confidence interval. This means there is a 95% chance that the true value is within this range. The smaller the error bars are relative to the scale of the data, the more confident we can be that the estimate is close to the true value for the population. </w:t>
      </w:r>
    </w:p>
    <w:p w:rsidRPr="00A365BF" w:rsidR="002A4D2A" w:rsidP="00181DB4" w:rsidRDefault="2D1B7F8F" w14:paraId="22724B6E" w14:textId="79DA66DD">
      <w:pPr>
        <w:spacing w:line="360" w:lineRule="auto"/>
        <w:rPr>
          <w:rFonts w:ascii="Verdana" w:hAnsi="Verdana" w:eastAsia="Verdana" w:cs="Verdana"/>
        </w:rPr>
      </w:pPr>
      <w:r w:rsidRPr="00A365BF">
        <w:rPr>
          <w:rFonts w:ascii="Verdana" w:hAnsi="Verdana" w:eastAsia="Verdana" w:cs="Verdana"/>
        </w:rPr>
        <w:t xml:space="preserve">The relative size of the error bars tends to be larger for smaller sample sizes. This is why the error bars tend to be larger for disabled people than they are for non-disabled people, and larger again when data for disabled people are disaggregated by ethnicity or age. This makes it harder to draw firm conclusions about these groups. </w:t>
      </w:r>
    </w:p>
    <w:p w:rsidRPr="00A365BF" w:rsidR="002A4D2A" w:rsidP="00181DB4" w:rsidRDefault="2D1B7F8F" w14:paraId="6A7EE24A" w14:textId="24935D4D">
      <w:pPr>
        <w:spacing w:line="360" w:lineRule="auto"/>
        <w:rPr>
          <w:rFonts w:ascii="Verdana" w:hAnsi="Verdana" w:eastAsia="Verdana" w:cs="Verdana"/>
        </w:rPr>
      </w:pPr>
      <w:r w:rsidRPr="00A365BF">
        <w:rPr>
          <w:rFonts w:ascii="Verdana" w:hAnsi="Verdana" w:eastAsia="Verdana" w:cs="Verdana"/>
        </w:rPr>
        <w:t xml:space="preserve">If two estimates have error bars that do not overlap with each other, this provides strong evidence of a real difference between the groups. Overlapping error bars do not necessarily mean there is no difference, but we can be less certain that a real difference exists. </w:t>
      </w:r>
    </w:p>
    <w:p w:rsidRPr="00A365BF" w:rsidR="002A4D2A" w:rsidP="00181DB4" w:rsidRDefault="2D1B7F8F" w14:paraId="3C13DA0D" w14:textId="69148275">
      <w:pPr>
        <w:spacing w:line="360" w:lineRule="auto"/>
        <w:rPr>
          <w:rFonts w:ascii="Verdana" w:hAnsi="Verdana" w:eastAsia="Verdana" w:cs="Verdana"/>
        </w:rPr>
      </w:pPr>
      <w:r w:rsidRPr="00A365BF">
        <w:rPr>
          <w:rFonts w:ascii="Verdana" w:hAnsi="Verdana" w:eastAsia="Verdana" w:cs="Verdana"/>
        </w:rPr>
        <w:t xml:space="preserve">Some of the data in this dashboard do not have error bars. While all data contains some uncertainty, in these cases there are no error bars because we are measuring the full population rather than a sample. For example, the Census measures the entire population of New Zealand, so there is no sampling error. Similarly, data for the housing register covers all people on that register, so it is not subject to sampling error. </w:t>
      </w:r>
    </w:p>
    <w:p w:rsidRPr="00A365BF" w:rsidR="002A4D2A" w:rsidP="00FE5D94" w:rsidRDefault="2D1B7F8F" w14:paraId="141E3EC5" w14:textId="51F05341">
      <w:pPr>
        <w:pStyle w:val="Heading2"/>
      </w:pPr>
      <w:bookmarkStart w:name="_Toc232071292" w:id="29"/>
      <w:r w:rsidRPr="00A365BF">
        <w:t>Pooled data and suppression</w:t>
      </w:r>
      <w:bookmarkEnd w:id="29"/>
      <w:r w:rsidRPr="00A365BF">
        <w:t xml:space="preserve"> </w:t>
      </w:r>
    </w:p>
    <w:p w:rsidRPr="00A365BF" w:rsidR="002A4D2A" w:rsidP="00181DB4" w:rsidRDefault="2D1B7F8F" w14:paraId="4CE415F9" w14:textId="6E76B49B">
      <w:pPr>
        <w:spacing w:line="360" w:lineRule="auto"/>
        <w:rPr>
          <w:rFonts w:ascii="Verdana" w:hAnsi="Verdana" w:eastAsia="Verdana" w:cs="Verdana"/>
        </w:rPr>
      </w:pPr>
      <w:r w:rsidRPr="00A365BF">
        <w:rPr>
          <w:rFonts w:ascii="Verdana" w:hAnsi="Verdana" w:eastAsia="Verdana" w:cs="Verdana"/>
        </w:rPr>
        <w:t xml:space="preserve">Some estimates on the “explore measure” pages may not be visible. This is because some samples are small enough that an estimate calculated from them will be highly unreliable or risk identifying individuals. In these cases, the data is suppressed. This is most common for data on Pacific disabled people. </w:t>
      </w:r>
    </w:p>
    <w:p w:rsidRPr="00A365BF" w:rsidR="002A4D2A" w:rsidP="00181DB4" w:rsidRDefault="2D1B7F8F" w14:paraId="274049DE" w14:textId="333FF10A">
      <w:pPr>
        <w:spacing w:line="360" w:lineRule="auto"/>
        <w:rPr>
          <w:rFonts w:ascii="Verdana" w:hAnsi="Verdana" w:eastAsia="Verdana" w:cs="Verdana"/>
        </w:rPr>
      </w:pPr>
      <w:r w:rsidRPr="00A365BF">
        <w:rPr>
          <w:rFonts w:ascii="Verdana" w:hAnsi="Verdana" w:eastAsia="Verdana" w:cs="Verdana"/>
        </w:rPr>
        <w:t xml:space="preserve">In some cases, pooled data is available instead, which increases the sample size by combining several time periods together. This can be found by using the filter labelled “Data collection period” on the filter pane in the “explore measure” pages, where available. </w:t>
      </w:r>
    </w:p>
    <w:p w:rsidRPr="00A365BF" w:rsidR="002A4D2A" w:rsidP="00FE5D94" w:rsidRDefault="2D1B7F8F" w14:paraId="1817B5E1" w14:textId="0698106E">
      <w:pPr>
        <w:pStyle w:val="Heading2"/>
      </w:pPr>
      <w:bookmarkStart w:name="_Toc232071293" w:id="30"/>
      <w:r w:rsidRPr="00A365BF">
        <w:t>Disclaimer</w:t>
      </w:r>
      <w:bookmarkEnd w:id="30"/>
    </w:p>
    <w:p w:rsidRPr="00A365BF" w:rsidR="002A4D2A" w:rsidP="00181DB4" w:rsidRDefault="2D1B7F8F" w14:paraId="1DFCFD58" w14:textId="3870836C">
      <w:pPr>
        <w:spacing w:line="360" w:lineRule="auto"/>
        <w:rPr>
          <w:rFonts w:ascii="Verdana" w:hAnsi="Verdana" w:eastAsia="Verdana" w:cs="Verdana"/>
        </w:rPr>
      </w:pPr>
      <w:r w:rsidRPr="00A365BF">
        <w:rPr>
          <w:rFonts w:ascii="Verdana" w:hAnsi="Verdana" w:eastAsia="Verdana" w:cs="Verdana"/>
        </w:rPr>
        <w:t>This work is based on/includes customised Stats NZ’s data which are licensed by Stats NZ for re-use under the Creative Commons Attribution 4.0 International licence.</w:t>
      </w:r>
    </w:p>
    <w:p w:rsidRPr="00A365BF" w:rsidR="002A4D2A" w:rsidP="00181DB4" w:rsidRDefault="2D1B7F8F" w14:paraId="731C1AF4" w14:textId="6A702242">
      <w:pPr>
        <w:pStyle w:val="Heading1"/>
        <w:spacing w:line="360" w:lineRule="auto"/>
      </w:pPr>
      <w:bookmarkStart w:name="_Toc232071294" w:id="31"/>
      <w:r w:rsidRPr="00A365BF">
        <w:t>How disabled people were identified</w:t>
      </w:r>
      <w:bookmarkEnd w:id="31"/>
    </w:p>
    <w:p w:rsidRPr="00A365BF" w:rsidR="002A4D2A" w:rsidP="00181DB4" w:rsidRDefault="2D1B7F8F" w14:paraId="16DB46CA" w14:textId="40CD9B2E">
      <w:pPr>
        <w:pStyle w:val="Heading2"/>
        <w:spacing w:line="360" w:lineRule="auto"/>
      </w:pPr>
      <w:bookmarkStart w:name="_Toc232071295" w:id="32"/>
      <w:r w:rsidRPr="00A365BF">
        <w:t>Washington Group Short Set (WGSS)</w:t>
      </w:r>
      <w:bookmarkEnd w:id="32"/>
      <w:r w:rsidRPr="00A365BF">
        <w:t xml:space="preserve"> </w:t>
      </w:r>
    </w:p>
    <w:p w:rsidRPr="00A365BF" w:rsidR="002A4D2A" w:rsidP="00181DB4" w:rsidRDefault="2D1B7F8F" w14:paraId="06ABCA81" w14:textId="6664D611">
      <w:pPr>
        <w:spacing w:line="360" w:lineRule="auto"/>
        <w:rPr>
          <w:rFonts w:ascii="Verdana" w:hAnsi="Verdana" w:eastAsia="Verdana" w:cs="Verdana"/>
        </w:rPr>
      </w:pPr>
      <w:r w:rsidRPr="00A365BF">
        <w:rPr>
          <w:rFonts w:ascii="Verdana" w:hAnsi="Verdana" w:eastAsia="Verdana" w:cs="Verdana"/>
        </w:rPr>
        <w:t xml:space="preserve">The Washington Group Short Set (WGSS) is a set of 6 questions designed to use to identify disabled people (aged 5 years and over) in censuses and surveys that aren’t disability specific. The WGSS is based around the activity limitations aspect of the World Health Organization’s (WHO) International Classification of Functioning, Disability, and Health (ICF). This aspect aims to identify individuals who are at greater risk than the general population of experiencing restricted social participation because of difficulties undertaking basic activities. </w:t>
      </w:r>
    </w:p>
    <w:p w:rsidRPr="00A365BF" w:rsidR="002A4D2A" w:rsidP="00181DB4" w:rsidRDefault="2D1B7F8F" w14:paraId="2AFB5577" w14:textId="4145637B">
      <w:pPr>
        <w:spacing w:line="360" w:lineRule="auto"/>
        <w:rPr>
          <w:rFonts w:ascii="Verdana" w:hAnsi="Verdana" w:eastAsia="Verdana" w:cs="Verdana"/>
        </w:rPr>
      </w:pPr>
      <w:r w:rsidRPr="00A365BF">
        <w:rPr>
          <w:rFonts w:ascii="Verdana" w:hAnsi="Verdana" w:eastAsia="Verdana" w:cs="Verdana"/>
        </w:rPr>
        <w:t xml:space="preserve">The WGSS identifies disabled people as those who report having at least ‘a lot of difficulty’ in seeing (even when wearing glasses), hearing (even when using hearing aids), walking or climbing stairs, remembering or concentrating, communicating, or with self-care.  </w:t>
      </w:r>
    </w:p>
    <w:p w:rsidRPr="00A365BF" w:rsidR="002A4D2A" w:rsidP="00181DB4" w:rsidRDefault="2D1B7F8F" w14:paraId="3D2CDE7E" w14:textId="41C41F63">
      <w:pPr>
        <w:spacing w:line="360" w:lineRule="auto"/>
        <w:rPr>
          <w:rFonts w:ascii="Verdana" w:hAnsi="Verdana" w:eastAsia="Verdana" w:cs="Verdana"/>
          <w:b/>
          <w:bCs/>
        </w:rPr>
      </w:pPr>
      <w:r w:rsidRPr="00A365BF">
        <w:rPr>
          <w:rFonts w:ascii="Verdana" w:hAnsi="Verdana" w:eastAsia="Verdana" w:cs="Verdana"/>
          <w:b/>
          <w:bCs/>
        </w:rPr>
        <w:t xml:space="preserve">For more information see: </w:t>
      </w:r>
    </w:p>
    <w:p w:rsidRPr="00A365BF" w:rsidR="002A4D2A" w:rsidP="00181DB4" w:rsidRDefault="2D1B7F8F" w14:paraId="5C4A24B4" w14:textId="7E9349CE">
      <w:pPr>
        <w:spacing w:line="360" w:lineRule="auto"/>
        <w:rPr>
          <w:rFonts w:ascii="Verdana" w:hAnsi="Verdana" w:eastAsia="Verdana" w:cs="Verdana"/>
        </w:rPr>
      </w:pPr>
      <w:hyperlink r:id="rId12">
        <w:r w:rsidRPr="00A365BF">
          <w:rPr>
            <w:rStyle w:val="Hyperlink"/>
            <w:rFonts w:ascii="Verdana" w:hAnsi="Verdana" w:eastAsia="Verdana" w:cs="Verdana"/>
          </w:rPr>
          <w:t>The Washington Group Short Set of Questions on Functioning | Whaikaha - Ministry of Disabled People</w:t>
        </w:r>
      </w:hyperlink>
    </w:p>
    <w:p w:rsidRPr="00A365BF" w:rsidR="002A4D2A" w:rsidP="00181DB4" w:rsidRDefault="2D1B7F8F" w14:paraId="1A5295B4" w14:textId="13CCD808">
      <w:pPr>
        <w:spacing w:line="360" w:lineRule="auto"/>
        <w:rPr>
          <w:rFonts w:ascii="Verdana" w:hAnsi="Verdana" w:eastAsia="Verdana" w:cs="Verdana"/>
        </w:rPr>
      </w:pPr>
      <w:hyperlink r:id="rId13">
        <w:r w:rsidRPr="00A365BF">
          <w:rPr>
            <w:rStyle w:val="Hyperlink"/>
            <w:rFonts w:ascii="Verdana" w:hAnsi="Verdana" w:eastAsia="Verdana" w:cs="Verdana"/>
          </w:rPr>
          <w:t>WG Short Set on Functioning (WG-SS) - The Washington Group on Disability Statistics</w:t>
        </w:r>
      </w:hyperlink>
    </w:p>
    <w:p w:rsidRPr="00A365BF" w:rsidR="002A4D2A" w:rsidP="00181DB4" w:rsidRDefault="2D1B7F8F" w14:paraId="4EE61260" w14:textId="5E8464DC">
      <w:pPr>
        <w:spacing w:line="360" w:lineRule="auto"/>
        <w:rPr>
          <w:rFonts w:ascii="Verdana" w:hAnsi="Verdana" w:eastAsia="Verdana" w:cs="Verdana"/>
        </w:rPr>
      </w:pPr>
      <w:hyperlink r:id="rId14">
        <w:r w:rsidRPr="00A365BF">
          <w:rPr>
            <w:rStyle w:val="Hyperlink"/>
            <w:rFonts w:ascii="Verdana" w:hAnsi="Verdana" w:eastAsia="Verdana" w:cs="Verdana"/>
          </w:rPr>
          <w:t>International Classification of Functioning, Disability and Health (ICF)</w:t>
        </w:r>
      </w:hyperlink>
    </w:p>
    <w:p w:rsidRPr="00A365BF" w:rsidR="002A4D2A" w:rsidP="00181DB4" w:rsidRDefault="2D1B7F8F" w14:paraId="53F83BCD" w14:textId="741D7B1C">
      <w:pPr>
        <w:pStyle w:val="Heading2"/>
        <w:spacing w:line="360" w:lineRule="auto"/>
      </w:pPr>
      <w:bookmarkStart w:name="_Toc232071296" w:id="33"/>
      <w:r w:rsidRPr="00A365BF">
        <w:t>Washington Group Short Set Enhanced (WGSS-E)</w:t>
      </w:r>
      <w:bookmarkEnd w:id="33"/>
      <w:r w:rsidRPr="00A365BF">
        <w:t xml:space="preserve"> </w:t>
      </w:r>
    </w:p>
    <w:p w:rsidRPr="00A365BF" w:rsidR="002A4D2A" w:rsidP="00181DB4" w:rsidRDefault="2D1B7F8F" w14:paraId="766D22B6" w14:textId="530EF3F4">
      <w:pPr>
        <w:spacing w:line="360" w:lineRule="auto"/>
        <w:rPr>
          <w:rFonts w:ascii="Verdana" w:hAnsi="Verdana" w:eastAsia="Verdana" w:cs="Verdana"/>
        </w:rPr>
      </w:pPr>
      <w:r w:rsidRPr="00A365BF">
        <w:rPr>
          <w:rFonts w:ascii="Verdana" w:hAnsi="Verdana" w:eastAsia="Verdana" w:cs="Verdana"/>
        </w:rPr>
        <w:t xml:space="preserve">The Washington Group Short Set Enhanced (WGSS-E) is a set of 12 questions designed to use to identify disabled people (aged 18 years and over) in population-based health surveys and disability-specific surveys. It contains the 6 questions from the WGSS, plus 6 additional questions, altogether covering eight domains.  </w:t>
      </w:r>
    </w:p>
    <w:p w:rsidRPr="00A365BF" w:rsidR="002A4D2A" w:rsidP="00181DB4" w:rsidRDefault="2D1B7F8F" w14:paraId="3A8B4E99" w14:textId="2532AA74">
      <w:pPr>
        <w:spacing w:line="360" w:lineRule="auto"/>
        <w:rPr>
          <w:rFonts w:ascii="Verdana" w:hAnsi="Verdana" w:eastAsia="Verdana" w:cs="Verdana"/>
        </w:rPr>
      </w:pPr>
      <w:r w:rsidRPr="00A365BF">
        <w:rPr>
          <w:rFonts w:ascii="Verdana" w:hAnsi="Verdana" w:eastAsia="Verdana" w:cs="Verdana"/>
        </w:rPr>
        <w:t xml:space="preserve">The WGSS-E identifies disabled people as those who report having at least ‘a lot of difficulty’ in seeing (even when wearing glasses), hearing (even when using hearing aids), walking or climbing stairs, remembering or concentrating, communicating, self-care, upper-body functioning, dexterity, or having strong feelings of anxiety and depression. </w:t>
      </w:r>
    </w:p>
    <w:p w:rsidRPr="00A365BF" w:rsidR="002A4D2A" w:rsidP="00181DB4" w:rsidRDefault="2D1B7F8F" w14:paraId="5163BD2D" w14:textId="6F9D31B8">
      <w:pPr>
        <w:spacing w:line="360" w:lineRule="auto"/>
        <w:rPr>
          <w:rFonts w:ascii="Verdana" w:hAnsi="Verdana" w:eastAsia="Verdana" w:cs="Verdana"/>
          <w:b/>
          <w:bCs/>
        </w:rPr>
      </w:pPr>
      <w:r w:rsidRPr="00A365BF">
        <w:rPr>
          <w:rFonts w:ascii="Verdana" w:hAnsi="Verdana" w:eastAsia="Verdana" w:cs="Verdana"/>
          <w:b/>
          <w:bCs/>
        </w:rPr>
        <w:t xml:space="preserve">For more information see: </w:t>
      </w:r>
    </w:p>
    <w:p w:rsidRPr="00A365BF" w:rsidR="002A4D2A" w:rsidP="00181DB4" w:rsidRDefault="2D1B7F8F" w14:paraId="41B42E16" w14:textId="1E3915AF">
      <w:pPr>
        <w:spacing w:line="360" w:lineRule="auto"/>
        <w:rPr>
          <w:rFonts w:ascii="Verdana" w:hAnsi="Verdana" w:eastAsia="Verdana" w:cs="Verdana"/>
        </w:rPr>
      </w:pPr>
      <w:hyperlink r:id="rId15">
        <w:r w:rsidRPr="00A365BF">
          <w:rPr>
            <w:rStyle w:val="Hyperlink"/>
            <w:rFonts w:ascii="Verdana" w:hAnsi="Verdana" w:eastAsia="Verdana" w:cs="Verdana"/>
          </w:rPr>
          <w:t xml:space="preserve">WG Short Set on Functioning – Enhanced (WG-SS Enhanced) - The Washington Group on Disability Statistics </w:t>
        </w:r>
      </w:hyperlink>
    </w:p>
    <w:p w:rsidRPr="00A365BF" w:rsidR="002A4D2A" w:rsidP="00181DB4" w:rsidRDefault="2D1B7F8F" w14:paraId="28BF2E0D" w14:textId="4EBCB453">
      <w:pPr>
        <w:pStyle w:val="Heading2"/>
        <w:spacing w:line="360" w:lineRule="auto"/>
      </w:pPr>
      <w:bookmarkStart w:name="_Toc232071297" w:id="34"/>
      <w:r w:rsidRPr="00A365BF">
        <w:t>Washington Group/UNICEF Child Functioning Module (WG-CFM)</w:t>
      </w:r>
      <w:bookmarkEnd w:id="34"/>
      <w:r w:rsidRPr="00A365BF">
        <w:t xml:space="preserve"> </w:t>
      </w:r>
    </w:p>
    <w:p w:rsidRPr="00A365BF" w:rsidR="002A4D2A" w:rsidP="00181DB4" w:rsidRDefault="2D1B7F8F" w14:paraId="3A9448CF" w14:textId="23BB881B">
      <w:pPr>
        <w:spacing w:line="360" w:lineRule="auto"/>
        <w:rPr>
          <w:rFonts w:ascii="Verdana" w:hAnsi="Verdana" w:eastAsia="Verdana" w:cs="Verdana"/>
        </w:rPr>
      </w:pPr>
      <w:r w:rsidRPr="00A365BF">
        <w:rPr>
          <w:rFonts w:ascii="Verdana" w:hAnsi="Verdana" w:eastAsia="Verdana" w:cs="Verdana"/>
        </w:rPr>
        <w:t xml:space="preserve">The Washington Group/UNICEF Child Functioning Module (WG-CFM) is a question set used to identify disabled children in national household surveys. The WG-CFM has two versions, one for children aged 2-4 years old and one for children aged 5-17 years old. For both versions of the WG-CFM, the set of questions are completed by the mother or primary caregiver of the child. To identify disabled children the CFM can be used to identify disabled children aged 2-17 years, or age-specific indicators for the two ages groups – 2-4 years old, and 5-17 years old. </w:t>
      </w:r>
    </w:p>
    <w:p w:rsidRPr="00A365BF" w:rsidR="002A4D2A" w:rsidP="00181DB4" w:rsidRDefault="2D1B7F8F" w14:paraId="7A390136" w14:textId="573DC13F">
      <w:pPr>
        <w:spacing w:line="360" w:lineRule="auto"/>
        <w:rPr>
          <w:rFonts w:ascii="Verdana" w:hAnsi="Verdana" w:eastAsia="Verdana" w:cs="Verdana"/>
        </w:rPr>
      </w:pPr>
      <w:r w:rsidRPr="00A365BF">
        <w:rPr>
          <w:rFonts w:ascii="Verdana" w:hAnsi="Verdana" w:eastAsia="Verdana" w:cs="Verdana"/>
        </w:rPr>
        <w:t xml:space="preserve">The WG-CFM for children aged 2-4 years consists of 16 questions. It assesses for functional difficulties in the following areas: </w:t>
      </w:r>
    </w:p>
    <w:p w:rsidRPr="00A365BF" w:rsidR="002A4D2A" w:rsidP="00181DB4" w:rsidRDefault="2D1B7F8F" w14:paraId="11933FE6" w14:textId="6B9962E7">
      <w:pPr>
        <w:pStyle w:val="ListParagraph"/>
        <w:numPr>
          <w:ilvl w:val="0"/>
          <w:numId w:val="1"/>
        </w:numPr>
        <w:spacing w:line="360" w:lineRule="auto"/>
        <w:rPr>
          <w:rFonts w:ascii="Verdana" w:hAnsi="Verdana" w:eastAsia="Verdana" w:cs="Verdana"/>
        </w:rPr>
      </w:pPr>
      <w:r w:rsidRPr="00A365BF">
        <w:rPr>
          <w:rFonts w:ascii="Verdana" w:hAnsi="Verdana" w:eastAsia="Verdana" w:cs="Verdana"/>
        </w:rPr>
        <w:t xml:space="preserve">seeing </w:t>
      </w:r>
    </w:p>
    <w:p w:rsidRPr="00A365BF" w:rsidR="002A4D2A" w:rsidP="00181DB4" w:rsidRDefault="2D1B7F8F" w14:paraId="4B527FE5" w14:textId="65C15380">
      <w:pPr>
        <w:pStyle w:val="ListParagraph"/>
        <w:numPr>
          <w:ilvl w:val="0"/>
          <w:numId w:val="1"/>
        </w:numPr>
        <w:spacing w:line="360" w:lineRule="auto"/>
        <w:rPr>
          <w:rFonts w:ascii="Verdana" w:hAnsi="Verdana" w:eastAsia="Verdana" w:cs="Verdana"/>
        </w:rPr>
      </w:pPr>
      <w:r w:rsidRPr="00A365BF">
        <w:rPr>
          <w:rFonts w:ascii="Verdana" w:hAnsi="Verdana" w:eastAsia="Verdana" w:cs="Verdana"/>
        </w:rPr>
        <w:t xml:space="preserve">hearing </w:t>
      </w:r>
    </w:p>
    <w:p w:rsidRPr="00A365BF" w:rsidR="002A4D2A" w:rsidP="00181DB4" w:rsidRDefault="2D1B7F8F" w14:paraId="72EF2C94" w14:textId="2A9B9FFB">
      <w:pPr>
        <w:pStyle w:val="ListParagraph"/>
        <w:numPr>
          <w:ilvl w:val="0"/>
          <w:numId w:val="1"/>
        </w:numPr>
        <w:spacing w:line="360" w:lineRule="auto"/>
        <w:rPr>
          <w:rFonts w:ascii="Verdana" w:hAnsi="Verdana" w:eastAsia="Verdana" w:cs="Verdana"/>
        </w:rPr>
      </w:pPr>
      <w:r w:rsidRPr="00A365BF">
        <w:rPr>
          <w:rFonts w:ascii="Verdana" w:hAnsi="Verdana" w:eastAsia="Verdana" w:cs="Verdana"/>
        </w:rPr>
        <w:t xml:space="preserve">mobility </w:t>
      </w:r>
    </w:p>
    <w:p w:rsidRPr="00A365BF" w:rsidR="002A4D2A" w:rsidP="00181DB4" w:rsidRDefault="2D1B7F8F" w14:paraId="1A313045" w14:textId="5C73C3AC">
      <w:pPr>
        <w:pStyle w:val="ListParagraph"/>
        <w:numPr>
          <w:ilvl w:val="0"/>
          <w:numId w:val="1"/>
        </w:numPr>
        <w:spacing w:line="360" w:lineRule="auto"/>
        <w:rPr>
          <w:rFonts w:ascii="Verdana" w:hAnsi="Verdana" w:eastAsia="Verdana" w:cs="Verdana"/>
        </w:rPr>
      </w:pPr>
      <w:r w:rsidRPr="00A365BF">
        <w:rPr>
          <w:rFonts w:ascii="Verdana" w:hAnsi="Verdana" w:eastAsia="Verdana" w:cs="Verdana"/>
        </w:rPr>
        <w:t xml:space="preserve">fine motor skills </w:t>
      </w:r>
    </w:p>
    <w:p w:rsidRPr="00A365BF" w:rsidR="002A4D2A" w:rsidP="00181DB4" w:rsidRDefault="2D1B7F8F" w14:paraId="0AC6ED24" w14:textId="23F0DBB5">
      <w:pPr>
        <w:pStyle w:val="ListParagraph"/>
        <w:numPr>
          <w:ilvl w:val="0"/>
          <w:numId w:val="1"/>
        </w:numPr>
        <w:spacing w:line="360" w:lineRule="auto"/>
        <w:rPr>
          <w:rFonts w:ascii="Verdana" w:hAnsi="Verdana" w:eastAsia="Verdana" w:cs="Verdana"/>
        </w:rPr>
      </w:pPr>
      <w:r w:rsidRPr="00A365BF">
        <w:rPr>
          <w:rFonts w:ascii="Verdana" w:hAnsi="Verdana" w:eastAsia="Verdana" w:cs="Verdana"/>
        </w:rPr>
        <w:t xml:space="preserve">communication/comprehension </w:t>
      </w:r>
    </w:p>
    <w:p w:rsidRPr="00A365BF" w:rsidR="002A4D2A" w:rsidP="00181DB4" w:rsidRDefault="2D1B7F8F" w14:paraId="7FB5C8C2" w14:textId="2E9D395B">
      <w:pPr>
        <w:pStyle w:val="ListParagraph"/>
        <w:numPr>
          <w:ilvl w:val="0"/>
          <w:numId w:val="1"/>
        </w:numPr>
        <w:spacing w:line="360" w:lineRule="auto"/>
        <w:rPr>
          <w:rFonts w:ascii="Verdana" w:hAnsi="Verdana" w:eastAsia="Verdana" w:cs="Verdana"/>
        </w:rPr>
      </w:pPr>
      <w:r w:rsidRPr="00A365BF">
        <w:rPr>
          <w:rFonts w:ascii="Verdana" w:hAnsi="Verdana" w:eastAsia="Verdana" w:cs="Verdana"/>
        </w:rPr>
        <w:t xml:space="preserve">controlling behaviour </w:t>
      </w:r>
    </w:p>
    <w:p w:rsidRPr="00A365BF" w:rsidR="002A4D2A" w:rsidP="00181DB4" w:rsidRDefault="2D1B7F8F" w14:paraId="449B8928" w14:textId="429A588A">
      <w:pPr>
        <w:pStyle w:val="ListParagraph"/>
        <w:numPr>
          <w:ilvl w:val="0"/>
          <w:numId w:val="1"/>
        </w:numPr>
        <w:spacing w:line="360" w:lineRule="auto"/>
        <w:rPr>
          <w:rFonts w:ascii="Verdana" w:hAnsi="Verdana" w:eastAsia="Verdana" w:cs="Verdana"/>
        </w:rPr>
      </w:pPr>
      <w:r w:rsidRPr="00A365BF">
        <w:rPr>
          <w:rFonts w:ascii="Verdana" w:hAnsi="Verdana" w:eastAsia="Verdana" w:cs="Verdana"/>
        </w:rPr>
        <w:t xml:space="preserve">learning </w:t>
      </w:r>
    </w:p>
    <w:p w:rsidRPr="00A365BF" w:rsidR="002A4D2A" w:rsidP="00181DB4" w:rsidRDefault="2D1B7F8F" w14:paraId="03E7A27E" w14:textId="00E5676D">
      <w:pPr>
        <w:pStyle w:val="ListParagraph"/>
        <w:numPr>
          <w:ilvl w:val="0"/>
          <w:numId w:val="1"/>
        </w:numPr>
        <w:spacing w:line="360" w:lineRule="auto"/>
        <w:rPr>
          <w:rFonts w:ascii="Verdana" w:hAnsi="Verdana" w:eastAsia="Verdana" w:cs="Verdana"/>
        </w:rPr>
      </w:pPr>
      <w:r w:rsidRPr="00A365BF">
        <w:rPr>
          <w:rFonts w:ascii="Verdana" w:hAnsi="Verdana" w:eastAsia="Verdana" w:cs="Verdana"/>
        </w:rPr>
        <w:t xml:space="preserve">playing. </w:t>
      </w:r>
    </w:p>
    <w:p w:rsidRPr="00A365BF" w:rsidR="002A4D2A" w:rsidP="00181DB4" w:rsidRDefault="2D1B7F8F" w14:paraId="5D8C8F3C" w14:textId="1260A19D">
      <w:pPr>
        <w:spacing w:line="360" w:lineRule="auto"/>
        <w:rPr>
          <w:rFonts w:ascii="Verdana" w:hAnsi="Verdana" w:eastAsia="Verdana" w:cs="Verdana"/>
        </w:rPr>
      </w:pPr>
      <w:r w:rsidRPr="00A365BF">
        <w:rPr>
          <w:rFonts w:ascii="Verdana" w:hAnsi="Verdana" w:eastAsia="Verdana" w:cs="Verdana"/>
        </w:rPr>
        <w:t xml:space="preserve">The WG-CFM for children aged 5-17 years consists of 24 questions. It assesses for functional difficulties in the following areas: </w:t>
      </w:r>
    </w:p>
    <w:p w:rsidRPr="00A365BF" w:rsidR="002A4D2A" w:rsidP="00181DB4" w:rsidRDefault="2D1B7F8F" w14:paraId="744E5B4A" w14:textId="4DFC0AA5">
      <w:pPr>
        <w:pStyle w:val="ListParagraph"/>
        <w:numPr>
          <w:ilvl w:val="0"/>
          <w:numId w:val="2"/>
        </w:numPr>
        <w:spacing w:line="360" w:lineRule="auto"/>
        <w:rPr>
          <w:rFonts w:ascii="Verdana" w:hAnsi="Verdana" w:eastAsia="Verdana" w:cs="Verdana"/>
        </w:rPr>
      </w:pPr>
      <w:r w:rsidRPr="00A365BF">
        <w:rPr>
          <w:rFonts w:ascii="Verdana" w:hAnsi="Verdana" w:eastAsia="Verdana" w:cs="Verdana"/>
        </w:rPr>
        <w:t xml:space="preserve">seeing </w:t>
      </w:r>
    </w:p>
    <w:p w:rsidRPr="00A365BF" w:rsidR="002A4D2A" w:rsidP="00181DB4" w:rsidRDefault="2D1B7F8F" w14:paraId="3210EAAC" w14:textId="3B55D429">
      <w:pPr>
        <w:pStyle w:val="ListParagraph"/>
        <w:numPr>
          <w:ilvl w:val="0"/>
          <w:numId w:val="2"/>
        </w:numPr>
        <w:spacing w:line="360" w:lineRule="auto"/>
        <w:rPr>
          <w:rFonts w:ascii="Verdana" w:hAnsi="Verdana" w:eastAsia="Verdana" w:cs="Verdana"/>
        </w:rPr>
      </w:pPr>
      <w:r w:rsidRPr="00A365BF">
        <w:rPr>
          <w:rFonts w:ascii="Verdana" w:hAnsi="Verdana" w:eastAsia="Verdana" w:cs="Verdana"/>
        </w:rPr>
        <w:t xml:space="preserve">hearing </w:t>
      </w:r>
    </w:p>
    <w:p w:rsidRPr="00A365BF" w:rsidR="002A4D2A" w:rsidP="00181DB4" w:rsidRDefault="2D1B7F8F" w14:paraId="771FA0F8" w14:textId="5A678D4F">
      <w:pPr>
        <w:pStyle w:val="ListParagraph"/>
        <w:numPr>
          <w:ilvl w:val="0"/>
          <w:numId w:val="2"/>
        </w:numPr>
        <w:spacing w:line="360" w:lineRule="auto"/>
        <w:rPr>
          <w:rFonts w:ascii="Verdana" w:hAnsi="Verdana" w:eastAsia="Verdana" w:cs="Verdana"/>
        </w:rPr>
      </w:pPr>
      <w:r w:rsidRPr="00A365BF">
        <w:rPr>
          <w:rFonts w:ascii="Verdana" w:hAnsi="Verdana" w:eastAsia="Verdana" w:cs="Verdana"/>
        </w:rPr>
        <w:t xml:space="preserve">mobility </w:t>
      </w:r>
    </w:p>
    <w:p w:rsidRPr="00A365BF" w:rsidR="002A4D2A" w:rsidP="00181DB4" w:rsidRDefault="2D1B7F8F" w14:paraId="307BEADF" w14:textId="2B89196C">
      <w:pPr>
        <w:pStyle w:val="ListParagraph"/>
        <w:numPr>
          <w:ilvl w:val="0"/>
          <w:numId w:val="2"/>
        </w:numPr>
        <w:spacing w:line="360" w:lineRule="auto"/>
        <w:rPr>
          <w:rFonts w:ascii="Verdana" w:hAnsi="Verdana" w:eastAsia="Verdana" w:cs="Verdana"/>
        </w:rPr>
      </w:pPr>
      <w:r w:rsidRPr="00A365BF">
        <w:rPr>
          <w:rFonts w:ascii="Verdana" w:hAnsi="Verdana" w:eastAsia="Verdana" w:cs="Verdana"/>
        </w:rPr>
        <w:t xml:space="preserve">self-care </w:t>
      </w:r>
    </w:p>
    <w:p w:rsidRPr="00A365BF" w:rsidR="002A4D2A" w:rsidP="00181DB4" w:rsidRDefault="2D1B7F8F" w14:paraId="3F59EB46" w14:textId="1E7BF388">
      <w:pPr>
        <w:pStyle w:val="ListParagraph"/>
        <w:numPr>
          <w:ilvl w:val="0"/>
          <w:numId w:val="2"/>
        </w:numPr>
        <w:spacing w:line="360" w:lineRule="auto"/>
        <w:rPr>
          <w:rFonts w:ascii="Verdana" w:hAnsi="Verdana" w:eastAsia="Verdana" w:cs="Verdana"/>
        </w:rPr>
      </w:pPr>
      <w:r w:rsidRPr="00A365BF">
        <w:rPr>
          <w:rFonts w:ascii="Verdana" w:hAnsi="Verdana" w:eastAsia="Verdana" w:cs="Verdana"/>
        </w:rPr>
        <w:t xml:space="preserve">communication/comprehension </w:t>
      </w:r>
    </w:p>
    <w:p w:rsidRPr="00A365BF" w:rsidR="002A4D2A" w:rsidP="00181DB4" w:rsidRDefault="2D1B7F8F" w14:paraId="0B96B86C" w14:textId="23247728">
      <w:pPr>
        <w:pStyle w:val="ListParagraph"/>
        <w:numPr>
          <w:ilvl w:val="0"/>
          <w:numId w:val="2"/>
        </w:numPr>
        <w:spacing w:line="360" w:lineRule="auto"/>
        <w:rPr>
          <w:rFonts w:ascii="Verdana" w:hAnsi="Verdana" w:eastAsia="Verdana" w:cs="Verdana"/>
        </w:rPr>
      </w:pPr>
      <w:r w:rsidRPr="00A365BF">
        <w:rPr>
          <w:rFonts w:ascii="Verdana" w:hAnsi="Verdana" w:eastAsia="Verdana" w:cs="Verdana"/>
        </w:rPr>
        <w:t xml:space="preserve">learning </w:t>
      </w:r>
    </w:p>
    <w:p w:rsidRPr="00A365BF" w:rsidR="002A4D2A" w:rsidP="00181DB4" w:rsidRDefault="2D1B7F8F" w14:paraId="7F820EBB" w14:textId="1FE75400">
      <w:pPr>
        <w:pStyle w:val="ListParagraph"/>
        <w:numPr>
          <w:ilvl w:val="0"/>
          <w:numId w:val="2"/>
        </w:numPr>
        <w:spacing w:line="360" w:lineRule="auto"/>
        <w:rPr>
          <w:rFonts w:ascii="Verdana" w:hAnsi="Verdana" w:eastAsia="Verdana" w:cs="Verdana"/>
        </w:rPr>
      </w:pPr>
      <w:r w:rsidRPr="00A365BF">
        <w:rPr>
          <w:rFonts w:ascii="Verdana" w:hAnsi="Verdana" w:eastAsia="Verdana" w:cs="Verdana"/>
        </w:rPr>
        <w:t xml:space="preserve">remembering </w:t>
      </w:r>
    </w:p>
    <w:p w:rsidRPr="00A365BF" w:rsidR="002A4D2A" w:rsidP="00181DB4" w:rsidRDefault="2D1B7F8F" w14:paraId="1C7945C5" w14:textId="506C8CB4">
      <w:pPr>
        <w:pStyle w:val="ListParagraph"/>
        <w:numPr>
          <w:ilvl w:val="0"/>
          <w:numId w:val="2"/>
        </w:numPr>
        <w:spacing w:line="360" w:lineRule="auto"/>
        <w:rPr>
          <w:rFonts w:ascii="Verdana" w:hAnsi="Verdana" w:eastAsia="Verdana" w:cs="Verdana"/>
        </w:rPr>
      </w:pPr>
      <w:r w:rsidRPr="00A365BF">
        <w:rPr>
          <w:rFonts w:ascii="Verdana" w:hAnsi="Verdana" w:eastAsia="Verdana" w:cs="Verdana"/>
        </w:rPr>
        <w:t xml:space="preserve">attention and concentrating </w:t>
      </w:r>
    </w:p>
    <w:p w:rsidRPr="00A365BF" w:rsidR="002A4D2A" w:rsidP="00181DB4" w:rsidRDefault="2D1B7F8F" w14:paraId="226AD1B3" w14:textId="4D514937">
      <w:pPr>
        <w:pStyle w:val="ListParagraph"/>
        <w:numPr>
          <w:ilvl w:val="0"/>
          <w:numId w:val="2"/>
        </w:numPr>
        <w:spacing w:line="360" w:lineRule="auto"/>
        <w:rPr>
          <w:rFonts w:ascii="Verdana" w:hAnsi="Verdana" w:eastAsia="Verdana" w:cs="Verdana"/>
        </w:rPr>
      </w:pPr>
      <w:r w:rsidRPr="00A365BF">
        <w:rPr>
          <w:rFonts w:ascii="Verdana" w:hAnsi="Verdana" w:eastAsia="Verdana" w:cs="Verdana"/>
        </w:rPr>
        <w:t xml:space="preserve">relationships </w:t>
      </w:r>
    </w:p>
    <w:p w:rsidRPr="00A365BF" w:rsidR="002A4D2A" w:rsidP="00181DB4" w:rsidRDefault="2D1B7F8F" w14:paraId="7BD2D198" w14:textId="17D8BF4D">
      <w:pPr>
        <w:pStyle w:val="ListParagraph"/>
        <w:numPr>
          <w:ilvl w:val="0"/>
          <w:numId w:val="2"/>
        </w:numPr>
        <w:spacing w:line="360" w:lineRule="auto"/>
        <w:rPr>
          <w:rFonts w:ascii="Verdana" w:hAnsi="Verdana" w:eastAsia="Verdana" w:cs="Verdana"/>
        </w:rPr>
      </w:pPr>
      <w:r w:rsidRPr="00A365BF">
        <w:rPr>
          <w:rFonts w:ascii="Verdana" w:hAnsi="Verdana" w:eastAsia="Verdana" w:cs="Verdana"/>
        </w:rPr>
        <w:t xml:space="preserve">coping with change </w:t>
      </w:r>
    </w:p>
    <w:p w:rsidRPr="00A365BF" w:rsidR="002A4D2A" w:rsidP="00181DB4" w:rsidRDefault="2D1B7F8F" w14:paraId="17781D3D" w14:textId="6386355D">
      <w:pPr>
        <w:pStyle w:val="ListParagraph"/>
        <w:numPr>
          <w:ilvl w:val="0"/>
          <w:numId w:val="2"/>
        </w:numPr>
        <w:spacing w:line="360" w:lineRule="auto"/>
        <w:rPr>
          <w:rFonts w:ascii="Verdana" w:hAnsi="Verdana" w:eastAsia="Verdana" w:cs="Verdana"/>
        </w:rPr>
      </w:pPr>
      <w:r w:rsidRPr="00A365BF">
        <w:rPr>
          <w:rFonts w:ascii="Verdana" w:hAnsi="Verdana" w:eastAsia="Verdana" w:cs="Verdana"/>
        </w:rPr>
        <w:t xml:space="preserve">affect – anxiety and depression. </w:t>
      </w:r>
    </w:p>
    <w:p w:rsidRPr="00A365BF" w:rsidR="002A4D2A" w:rsidP="00181DB4" w:rsidRDefault="2D1B7F8F" w14:paraId="41B24CCB" w14:textId="580F26AB">
      <w:pPr>
        <w:spacing w:line="360" w:lineRule="auto"/>
        <w:rPr>
          <w:rFonts w:ascii="Verdana" w:hAnsi="Verdana" w:eastAsia="Verdana" w:cs="Verdana"/>
          <w:b/>
          <w:bCs/>
        </w:rPr>
      </w:pPr>
      <w:r w:rsidRPr="00A365BF">
        <w:rPr>
          <w:rFonts w:ascii="Verdana" w:hAnsi="Verdana" w:eastAsia="Verdana" w:cs="Verdana"/>
          <w:b/>
          <w:bCs/>
        </w:rPr>
        <w:t xml:space="preserve">For more information see: </w:t>
      </w:r>
    </w:p>
    <w:p w:rsidRPr="00A365BF" w:rsidR="002A4D2A" w:rsidP="00181DB4" w:rsidRDefault="2D1B7F8F" w14:paraId="6D5B66C6" w14:textId="6DED8F13">
      <w:pPr>
        <w:spacing w:line="360" w:lineRule="auto"/>
        <w:rPr>
          <w:rFonts w:ascii="Verdana" w:hAnsi="Verdana" w:eastAsia="Verdana" w:cs="Verdana"/>
        </w:rPr>
      </w:pPr>
      <w:hyperlink r:id="rId16">
        <w:r w:rsidRPr="00A365BF">
          <w:rPr>
            <w:rStyle w:val="Hyperlink"/>
            <w:rFonts w:ascii="Verdana" w:hAnsi="Verdana" w:eastAsia="Verdana" w:cs="Verdana"/>
          </w:rPr>
          <w:t xml:space="preserve">WG/UNICEF Child Functioning Module (CFM) - The Washington Group on Disability Statistics </w:t>
        </w:r>
      </w:hyperlink>
    </w:p>
    <w:p w:rsidRPr="00A365BF" w:rsidR="002A4D2A" w:rsidP="00181DB4" w:rsidRDefault="2D1B7F8F" w14:paraId="3E513F2E" w14:textId="02DFCCE2">
      <w:pPr>
        <w:spacing w:line="360" w:lineRule="auto"/>
        <w:rPr>
          <w:rFonts w:ascii="Verdana" w:hAnsi="Verdana" w:eastAsia="Verdana" w:cs="Verdana"/>
        </w:rPr>
      </w:pPr>
      <w:hyperlink r:id="rId17">
        <w:r w:rsidRPr="00A365BF">
          <w:rPr>
            <w:rStyle w:val="Hyperlink"/>
            <w:rFonts w:ascii="Verdana" w:hAnsi="Verdana" w:eastAsia="Verdana" w:cs="Verdana"/>
          </w:rPr>
          <w:t>Module on Child Functioning - UNICEF DATA</w:t>
        </w:r>
      </w:hyperlink>
      <w:r w:rsidRPr="00A365BF">
        <w:rPr>
          <w:rFonts w:ascii="Verdana" w:hAnsi="Verdana" w:eastAsia="Verdana" w:cs="Verdana"/>
        </w:rPr>
        <w:t xml:space="preserve"> </w:t>
      </w:r>
    </w:p>
    <w:p w:rsidRPr="00A365BF" w:rsidR="002A4D2A" w:rsidP="00181DB4" w:rsidRDefault="2D1B7F8F" w14:paraId="6700D230" w14:textId="6991C5E0">
      <w:pPr>
        <w:spacing w:line="360" w:lineRule="auto"/>
        <w:rPr>
          <w:rFonts w:ascii="Verdana" w:hAnsi="Verdana" w:eastAsia="Verdana" w:cs="Verdana"/>
        </w:rPr>
      </w:pPr>
      <w:hyperlink r:id="rId18">
        <w:r w:rsidRPr="00A365BF">
          <w:rPr>
            <w:rStyle w:val="Hyperlink"/>
            <w:rFonts w:ascii="Verdana" w:hAnsi="Verdana" w:eastAsia="Verdana" w:cs="Verdana"/>
          </w:rPr>
          <w:t xml:space="preserve">Guidance note on integrating the module on child functioning in demographic and health surveys - UNICEF DATA  </w:t>
        </w:r>
      </w:hyperlink>
    </w:p>
    <w:p w:rsidRPr="00A365BF" w:rsidR="002A4D2A" w:rsidP="00181DB4" w:rsidRDefault="2D1B7F8F" w14:paraId="7E9ED4CE" w14:textId="74E00A54">
      <w:pPr>
        <w:pStyle w:val="Heading1"/>
        <w:spacing w:line="360" w:lineRule="auto"/>
      </w:pPr>
      <w:bookmarkStart w:name="_Toc232071298" w:id="35"/>
      <w:r w:rsidRPr="00A365BF">
        <w:t>About the data sources</w:t>
      </w:r>
      <w:bookmarkEnd w:id="35"/>
    </w:p>
    <w:p w:rsidRPr="00A365BF" w:rsidR="002A4D2A" w:rsidP="00181DB4" w:rsidRDefault="2D1B7F8F" w14:paraId="088A710F" w14:textId="4588E761">
      <w:pPr>
        <w:pStyle w:val="Heading2"/>
        <w:spacing w:line="360" w:lineRule="auto"/>
      </w:pPr>
      <w:bookmarkStart w:name="_Toc232071299" w:id="36"/>
      <w:r w:rsidRPr="00A365BF">
        <w:t>Census | Stats NZ</w:t>
      </w:r>
      <w:bookmarkEnd w:id="36"/>
      <w:r w:rsidRPr="00A365BF">
        <w:t xml:space="preserve"> </w:t>
      </w:r>
    </w:p>
    <w:p w:rsidRPr="00A365BF" w:rsidR="002A4D2A" w:rsidP="00181DB4" w:rsidRDefault="2D1B7F8F" w14:paraId="1B669C39" w14:textId="314797B6">
      <w:pPr>
        <w:spacing w:line="360" w:lineRule="auto"/>
        <w:rPr>
          <w:rFonts w:ascii="Verdana" w:hAnsi="Verdana" w:eastAsia="Verdana" w:cs="Verdana"/>
        </w:rPr>
      </w:pPr>
      <w:r w:rsidRPr="00A365BF">
        <w:rPr>
          <w:rFonts w:ascii="Verdana" w:hAnsi="Verdana" w:eastAsia="Verdana" w:cs="Verdana"/>
        </w:rPr>
        <w:t>The New Zealand Census is the official count of people and dwellings in New Zealand, usually held every five years. It provides a snapshot of the country at a point in time and helps government, councils, businesses, iwi, and community organisations plan services and make decisions about areas such as education, health, housing, and transport. The 2023 Census used the Washington Group Short Set (WGSS) to identify disabled people.</w:t>
      </w:r>
    </w:p>
    <w:p w:rsidRPr="00A365BF" w:rsidR="002A4D2A" w:rsidP="00181DB4" w:rsidRDefault="2D1B7F8F" w14:paraId="7EA5E470" w14:textId="33B858AB">
      <w:pPr>
        <w:spacing w:line="360" w:lineRule="auto"/>
        <w:rPr>
          <w:rFonts w:ascii="Verdana" w:hAnsi="Verdana" w:eastAsia="Verdana" w:cs="Verdana"/>
        </w:rPr>
      </w:pPr>
      <w:r w:rsidRPr="00A365BF">
        <w:rPr>
          <w:rFonts w:ascii="Verdana" w:hAnsi="Verdana" w:eastAsia="Verdana" w:cs="Verdana"/>
        </w:rPr>
        <w:t>The New Zealand Census is currently undergoing significant changes, and is not expected to take place until 2030.</w:t>
      </w:r>
    </w:p>
    <w:p w:rsidRPr="00A365BF" w:rsidR="002A4D2A" w:rsidP="00181DB4" w:rsidRDefault="2D1B7F8F" w14:paraId="7E2052D1" w14:textId="760D4B10">
      <w:pPr>
        <w:spacing w:line="360" w:lineRule="auto"/>
        <w:rPr>
          <w:rFonts w:ascii="Verdana" w:hAnsi="Verdana" w:eastAsia="Verdana" w:cs="Verdana"/>
        </w:rPr>
      </w:pPr>
      <w:hyperlink r:id="rId19">
        <w:r w:rsidRPr="00A365BF">
          <w:rPr>
            <w:rStyle w:val="Hyperlink"/>
            <w:rFonts w:ascii="Verdana" w:hAnsi="Verdana" w:eastAsia="Verdana" w:cs="Verdana"/>
          </w:rPr>
          <w:t>Link to Census</w:t>
        </w:r>
      </w:hyperlink>
    </w:p>
    <w:p w:rsidRPr="00A365BF" w:rsidR="002A4D2A" w:rsidP="00181DB4" w:rsidRDefault="2D1B7F8F" w14:paraId="1B6420C8" w14:textId="7C941E17">
      <w:pPr>
        <w:pStyle w:val="Heading2"/>
        <w:spacing w:line="360" w:lineRule="auto"/>
      </w:pPr>
      <w:bookmarkStart w:name="_Toc232071300" w:id="37"/>
      <w:r w:rsidRPr="00A365BF">
        <w:t>General Social Survey (GSS) | Stats NZ</w:t>
      </w:r>
      <w:bookmarkEnd w:id="37"/>
      <w:r w:rsidRPr="00A365BF">
        <w:t xml:space="preserve"> </w:t>
      </w:r>
    </w:p>
    <w:p w:rsidRPr="00A365BF" w:rsidR="002A4D2A" w:rsidP="00181DB4" w:rsidRDefault="2D1B7F8F" w14:paraId="164938E3" w14:textId="3489EF3A">
      <w:pPr>
        <w:spacing w:line="360" w:lineRule="auto"/>
        <w:rPr>
          <w:rFonts w:ascii="Verdana" w:hAnsi="Verdana" w:eastAsia="Verdana" w:cs="Verdana"/>
        </w:rPr>
      </w:pPr>
      <w:r w:rsidRPr="00A365BF">
        <w:rPr>
          <w:rFonts w:ascii="Verdana" w:hAnsi="Verdana" w:eastAsia="Verdana" w:cs="Verdana"/>
        </w:rPr>
        <w:t>The General Social Survey (GSS) is a Stats NZ survey run every two years that collects information about the wellbeing of New Zealanders aged 15 years and over. It looks at social and economic outcomes to understand how different populations of people are faring, based on interviews with around 8,000 households across the country. The GSS publishes data based on both the Washington Group Short Set Enhanced (WGSS-E) and Washington Group Short Set (WGSS) to identify disabled people.</w:t>
      </w:r>
    </w:p>
    <w:p w:rsidRPr="00A365BF" w:rsidR="002A4D2A" w:rsidP="00181DB4" w:rsidRDefault="2D1B7F8F" w14:paraId="252DD584" w14:textId="5DA33EC4">
      <w:pPr>
        <w:spacing w:line="360" w:lineRule="auto"/>
        <w:rPr>
          <w:rFonts w:ascii="Verdana" w:hAnsi="Verdana" w:eastAsia="Verdana" w:cs="Verdana"/>
        </w:rPr>
      </w:pPr>
      <w:r w:rsidRPr="00A365BF">
        <w:rPr>
          <w:rFonts w:ascii="Verdana" w:hAnsi="Verdana" w:eastAsia="Verdana" w:cs="Verdana"/>
        </w:rPr>
        <w:t>The data collection period for the next GSS is 1 July 2026 to 30 June 2027, and is expected to be published in late 2027.</w:t>
      </w:r>
    </w:p>
    <w:p w:rsidRPr="00A365BF" w:rsidR="002A4D2A" w:rsidP="00181DB4" w:rsidRDefault="2D1B7F8F" w14:paraId="3A51C5BB" w14:textId="05F5527A">
      <w:pPr>
        <w:spacing w:line="360" w:lineRule="auto"/>
        <w:rPr>
          <w:rFonts w:ascii="Verdana" w:hAnsi="Verdana" w:eastAsia="Verdana" w:cs="Verdana"/>
        </w:rPr>
      </w:pPr>
      <w:hyperlink r:id="rId20">
        <w:r w:rsidRPr="00A365BF">
          <w:rPr>
            <w:rStyle w:val="Hyperlink"/>
            <w:rFonts w:ascii="Verdana" w:hAnsi="Verdana" w:eastAsia="Verdana" w:cs="Verdana"/>
          </w:rPr>
          <w:t>Link to GSS</w:t>
        </w:r>
      </w:hyperlink>
    </w:p>
    <w:p w:rsidRPr="00A365BF" w:rsidR="002A4D2A" w:rsidP="00181DB4" w:rsidRDefault="2D1B7F8F" w14:paraId="663BBA02" w14:textId="4CDC10D6">
      <w:pPr>
        <w:pStyle w:val="Heading2"/>
        <w:spacing w:line="360" w:lineRule="auto"/>
      </w:pPr>
      <w:bookmarkStart w:name="_Toc232071301" w:id="38"/>
      <w:r w:rsidRPr="00A365BF">
        <w:t>Household Income and Living Survey | Stats NZ</w:t>
      </w:r>
      <w:bookmarkEnd w:id="38"/>
      <w:r w:rsidRPr="00A365BF">
        <w:t xml:space="preserve"> </w:t>
      </w:r>
    </w:p>
    <w:p w:rsidRPr="00A365BF" w:rsidR="002A4D2A" w:rsidP="00181DB4" w:rsidRDefault="2D1B7F8F" w14:paraId="6671C022" w14:textId="1DD25CB4">
      <w:pPr>
        <w:spacing w:line="360" w:lineRule="auto"/>
        <w:rPr>
          <w:rFonts w:ascii="Verdana" w:hAnsi="Verdana" w:eastAsia="Verdana" w:cs="Verdana"/>
        </w:rPr>
      </w:pPr>
      <w:r w:rsidRPr="00A365BF">
        <w:rPr>
          <w:rFonts w:ascii="Verdana" w:hAnsi="Verdana" w:eastAsia="Verdana" w:cs="Verdana"/>
        </w:rPr>
        <w:t>The Household Income and Living Survey (HILS) is an annual Stats NZ survey that collects information about New Zealand households’ income, living costs, housing costs, savings, spending, investments, and wellbeing. It helps government agencies, charities, and other organisations understand how people are living and set policies.  The data collecti</w:t>
      </w:r>
      <w:r w:rsidRPr="00A365BF" w:rsidR="51D5A518">
        <w:rPr>
          <w:rFonts w:ascii="Verdana" w:hAnsi="Verdana" w:eastAsia="Verdana" w:cs="Verdana"/>
        </w:rPr>
        <w:t>o</w:t>
      </w:r>
      <w:r w:rsidRPr="00A365BF">
        <w:rPr>
          <w:rFonts w:ascii="Verdana" w:hAnsi="Verdana" w:eastAsia="Verdana" w:cs="Verdana"/>
        </w:rPr>
        <w:t xml:space="preserve">n period is June 1 - July 30 each year. HILS uses the Washington Group Short Set Enhanced (WGSS-E) to identify disabled adults and the Washington Group/UNICEF Child Functioning Module (WG-CFM) to identify disabled children. Since July 2024, HILS has replaced the former Stats NZ Household Economic Survey (HES). </w:t>
      </w:r>
    </w:p>
    <w:p w:rsidRPr="00A365BF" w:rsidR="002A4D2A" w:rsidP="00181DB4" w:rsidRDefault="2D1B7F8F" w14:paraId="307DB912" w14:textId="7C1F9E38">
      <w:pPr>
        <w:spacing w:line="360" w:lineRule="auto"/>
        <w:rPr>
          <w:rFonts w:ascii="Verdana" w:hAnsi="Verdana" w:eastAsia="Verdana" w:cs="Verdana"/>
        </w:rPr>
      </w:pPr>
      <w:r w:rsidRPr="00A365BF">
        <w:rPr>
          <w:rFonts w:ascii="Verdana" w:hAnsi="Verdana" w:eastAsia="Verdana" w:cs="Verdana"/>
        </w:rPr>
        <w:t>The next set of results are expected to be published in early 2027.</w:t>
      </w:r>
    </w:p>
    <w:p w:rsidRPr="00A365BF" w:rsidR="002A4D2A" w:rsidP="00181DB4" w:rsidRDefault="2D1B7F8F" w14:paraId="0D453506" w14:textId="49AA602F">
      <w:pPr>
        <w:spacing w:line="360" w:lineRule="auto"/>
        <w:rPr>
          <w:rFonts w:ascii="Verdana" w:hAnsi="Verdana" w:eastAsia="Verdana" w:cs="Verdana"/>
        </w:rPr>
      </w:pPr>
      <w:hyperlink r:id="rId21">
        <w:r w:rsidRPr="00A365BF">
          <w:rPr>
            <w:rStyle w:val="Hyperlink"/>
            <w:rFonts w:ascii="Verdana" w:hAnsi="Verdana" w:eastAsia="Verdana" w:cs="Verdana"/>
          </w:rPr>
          <w:t>Link to HILS</w:t>
        </w:r>
      </w:hyperlink>
    </w:p>
    <w:p w:rsidRPr="00A365BF" w:rsidR="002A4D2A" w:rsidP="00181DB4" w:rsidRDefault="2D1B7F8F" w14:paraId="036C7C47" w14:textId="6BF9F38D">
      <w:pPr>
        <w:spacing w:line="360" w:lineRule="auto"/>
        <w:rPr>
          <w:rFonts w:ascii="Verdana" w:hAnsi="Verdana" w:eastAsia="Verdana" w:cs="Verdana"/>
        </w:rPr>
      </w:pPr>
      <w:hyperlink r:id="rId22">
        <w:r w:rsidRPr="00A365BF">
          <w:rPr>
            <w:rStyle w:val="Hyperlink"/>
            <w:rFonts w:ascii="Verdana" w:hAnsi="Verdana" w:eastAsia="Verdana" w:cs="Verdana"/>
          </w:rPr>
          <w:t>Link to Child Poverty Statistics</w:t>
        </w:r>
      </w:hyperlink>
    </w:p>
    <w:p w:rsidRPr="00A365BF" w:rsidR="002A4D2A" w:rsidP="00181DB4" w:rsidRDefault="2D1B7F8F" w14:paraId="07679724" w14:textId="39669B38">
      <w:pPr>
        <w:pStyle w:val="Heading2"/>
        <w:spacing w:line="360" w:lineRule="auto"/>
      </w:pPr>
      <w:bookmarkStart w:name="_Toc232071302" w:id="39"/>
      <w:r w:rsidRPr="00A365BF">
        <w:t>Household Economic Survey (HES) | Stats NZ</w:t>
      </w:r>
      <w:bookmarkEnd w:id="39"/>
      <w:r w:rsidRPr="00A365BF">
        <w:t xml:space="preserve"> </w:t>
      </w:r>
    </w:p>
    <w:p w:rsidRPr="00A365BF" w:rsidR="002A4D2A" w:rsidP="00181DB4" w:rsidRDefault="2D1B7F8F" w14:paraId="5A9E2D0E" w14:textId="07714F54">
      <w:pPr>
        <w:spacing w:line="360" w:lineRule="auto"/>
        <w:rPr>
          <w:rFonts w:ascii="Verdana" w:hAnsi="Verdana" w:eastAsia="Verdana" w:cs="Verdana"/>
        </w:rPr>
      </w:pPr>
      <w:r w:rsidRPr="00A365BF">
        <w:rPr>
          <w:rFonts w:ascii="Verdana" w:hAnsi="Verdana" w:eastAsia="Verdana" w:cs="Verdana"/>
        </w:rPr>
        <w:t xml:space="preserve">The Household Economic Survey (HES) was an annual Stats NZ survey that collected information about New Zealand households’ expenditure, income, savings, and overall economic wellbeing. The results help government agencies develop policy, measure things like inflation and poverty, and understand how much households own and owe. HES uses the Washington Group Short Set Enhanced (WGSS-E) to identify disabled adults and the Washington Group/UNICEF Child Functioning Module (WG-CFM) to identify disabled children. Since July 2024, HES has been replaced by the Stats NZ Household Income and Living Survey (HILS). </w:t>
      </w:r>
    </w:p>
    <w:p w:rsidRPr="00A365BF" w:rsidR="002A4D2A" w:rsidP="00181DB4" w:rsidRDefault="2D1B7F8F" w14:paraId="70DDB51A" w14:textId="58E46F4E">
      <w:pPr>
        <w:spacing w:line="360" w:lineRule="auto"/>
        <w:rPr>
          <w:rFonts w:ascii="Verdana" w:hAnsi="Verdana" w:eastAsia="Verdana" w:cs="Verdana"/>
        </w:rPr>
      </w:pPr>
      <w:hyperlink r:id="rId23">
        <w:r w:rsidRPr="00A365BF">
          <w:rPr>
            <w:rStyle w:val="Hyperlink"/>
            <w:rFonts w:ascii="Verdana" w:hAnsi="Verdana" w:eastAsia="Verdana" w:cs="Verdana"/>
          </w:rPr>
          <w:t>Link to HES</w:t>
        </w:r>
      </w:hyperlink>
    </w:p>
    <w:p w:rsidRPr="00A365BF" w:rsidR="002A4D2A" w:rsidP="00181DB4" w:rsidRDefault="2D1B7F8F" w14:paraId="68DD136D" w14:textId="1BEA72F9">
      <w:pPr>
        <w:pStyle w:val="Heading2"/>
        <w:spacing w:line="360" w:lineRule="auto"/>
      </w:pPr>
      <w:bookmarkStart w:name="_Toc232071303" w:id="40"/>
      <w:r w:rsidRPr="00A365BF">
        <w:t>Household Labour Force Survey (HLFS) | Stats NZ</w:t>
      </w:r>
      <w:bookmarkEnd w:id="40"/>
      <w:r w:rsidRPr="00A365BF">
        <w:t xml:space="preserve"> </w:t>
      </w:r>
    </w:p>
    <w:p w:rsidRPr="00A365BF" w:rsidR="002A4D2A" w:rsidP="00181DB4" w:rsidRDefault="2D1B7F8F" w14:paraId="03DC9F18" w14:textId="0AE5AFC9">
      <w:pPr>
        <w:spacing w:line="360" w:lineRule="auto"/>
        <w:rPr>
          <w:rFonts w:ascii="Verdana" w:hAnsi="Verdana" w:eastAsia="Verdana" w:cs="Verdana"/>
        </w:rPr>
      </w:pPr>
      <w:r w:rsidRPr="00A365BF">
        <w:rPr>
          <w:rFonts w:ascii="Verdana" w:hAnsi="Verdana" w:eastAsia="Verdana" w:cs="Verdana"/>
        </w:rPr>
        <w:t>The Household Labour Force Survey (HLFS) is a Stats NZ survey that provides New Zealand’s official measure of employment and unemployment. It collects information from about 15,000 households every three months to help show how the labour market and economy are changing, including where jobs, training, and education support may be needed. HLFS collects both disability data, and income data in June quarters. HLFS uses the Washington Group Short Set (WGSS) to identify disabled people.</w:t>
      </w:r>
    </w:p>
    <w:p w:rsidRPr="00A365BF" w:rsidR="002A4D2A" w:rsidP="00181DB4" w:rsidRDefault="2D1B7F8F" w14:paraId="7DCA1F83" w14:textId="6D14815B">
      <w:pPr>
        <w:spacing w:line="360" w:lineRule="auto"/>
        <w:rPr>
          <w:rFonts w:ascii="Verdana" w:hAnsi="Verdana" w:eastAsia="Verdana" w:cs="Verdana"/>
        </w:rPr>
      </w:pPr>
      <w:r w:rsidRPr="00A365BF">
        <w:rPr>
          <w:rFonts w:ascii="Verdana" w:hAnsi="Verdana" w:eastAsia="Verdana" w:cs="Verdana"/>
        </w:rPr>
        <w:t>The next set of results are expected to be published in August 2026.</w:t>
      </w:r>
    </w:p>
    <w:p w:rsidRPr="00A365BF" w:rsidR="002A4D2A" w:rsidP="00181DB4" w:rsidRDefault="2D1B7F8F" w14:paraId="0CD04867" w14:textId="1816CCAD">
      <w:pPr>
        <w:spacing w:line="360" w:lineRule="auto"/>
        <w:rPr>
          <w:rFonts w:ascii="Verdana" w:hAnsi="Verdana" w:eastAsia="Verdana" w:cs="Verdana"/>
        </w:rPr>
      </w:pPr>
      <w:hyperlink r:id="rId24">
        <w:r w:rsidRPr="00A365BF">
          <w:rPr>
            <w:rStyle w:val="Hyperlink"/>
            <w:rFonts w:ascii="Verdana" w:hAnsi="Verdana" w:eastAsia="Verdana" w:cs="Verdana"/>
          </w:rPr>
          <w:t>Link to HLFS</w:t>
        </w:r>
      </w:hyperlink>
    </w:p>
    <w:p w:rsidRPr="00A365BF" w:rsidR="002A4D2A" w:rsidP="00181DB4" w:rsidRDefault="2D1B7F8F" w14:paraId="591A1B0B" w14:textId="766DF59D">
      <w:pPr>
        <w:pStyle w:val="Heading2"/>
        <w:spacing w:line="360" w:lineRule="auto"/>
      </w:pPr>
      <w:bookmarkStart w:name="_Toc232071304" w:id="41"/>
      <w:r w:rsidRPr="00A365BF">
        <w:t>Patient experience surveys | Health Quality &amp; Safety Commission Te Tāhū Hauora</w:t>
      </w:r>
      <w:bookmarkEnd w:id="41"/>
    </w:p>
    <w:p w:rsidRPr="00A365BF" w:rsidR="002A4D2A" w:rsidP="00181DB4" w:rsidRDefault="2D1B7F8F" w14:paraId="20193CAF" w14:textId="0CF5CEA0">
      <w:pPr>
        <w:spacing w:line="360" w:lineRule="auto"/>
        <w:rPr>
          <w:rFonts w:ascii="Verdana" w:hAnsi="Verdana" w:eastAsia="Verdana" w:cs="Verdana"/>
        </w:rPr>
      </w:pPr>
      <w:r w:rsidRPr="00A365BF">
        <w:rPr>
          <w:rFonts w:ascii="Verdana" w:hAnsi="Verdana" w:eastAsia="Verdana" w:cs="Verdana"/>
        </w:rPr>
        <w:t>The dashboard uses data from 3 Health Quality &amp; Safety Commission Te Tāhū Hauora patient experience surveys: the adult primary care patient experience survey, the adult hospital inpatient experience survey, and the adult hospital outpatient experience survey. By default, patient experience survey indicators used in the dashboard display data from the adult primary care patient experience survey. However, users can switch to inpatient or outpatient survey data using the care-setting filter. To do this, select ‘Explore measure’ for the relevant indicator, then use the drop-down filter to toggle between care settings.</w:t>
      </w:r>
    </w:p>
    <w:p w:rsidRPr="00A365BF" w:rsidR="002A4D2A" w:rsidP="00181DB4" w:rsidRDefault="2D1B7F8F" w14:paraId="6C34B268" w14:textId="37C9E431">
      <w:pPr>
        <w:spacing w:line="360" w:lineRule="auto"/>
        <w:rPr>
          <w:rFonts w:ascii="Verdana" w:hAnsi="Verdana" w:eastAsia="Verdana" w:cs="Verdana"/>
        </w:rPr>
      </w:pPr>
      <w:r w:rsidRPr="00A365BF">
        <w:rPr>
          <w:rFonts w:ascii="Verdana" w:hAnsi="Verdana" w:eastAsia="Verdana" w:cs="Verdana"/>
        </w:rPr>
        <w:t>Patient experience survey data is collected quarterly. For reporting, the Health Quality &amp; Safety Commission Te Tāhū Hauora identifies disabled people using the Washington Group Short Set (WGSS) combined with a question on self-identity. The NZDS dashboard uses only the WGSS to identify disabled people in patient experience survey data, to be more consistent with other data sources used in the NZDS dashboard.</w:t>
      </w:r>
    </w:p>
    <w:p w:rsidRPr="00A365BF" w:rsidR="002A4D2A" w:rsidP="00181DB4" w:rsidRDefault="2D1B7F8F" w14:paraId="7C0EAE40" w14:textId="06B08935">
      <w:pPr>
        <w:pStyle w:val="Heading3"/>
        <w:spacing w:line="360" w:lineRule="auto"/>
      </w:pPr>
      <w:bookmarkStart w:name="_Toc232071305" w:id="42"/>
      <w:r w:rsidRPr="00A365BF">
        <w:t>Adult primary care patient experience survey</w:t>
      </w:r>
      <w:bookmarkEnd w:id="42"/>
    </w:p>
    <w:p w:rsidRPr="00A365BF" w:rsidR="002A4D2A" w:rsidP="00181DB4" w:rsidRDefault="2D1B7F8F" w14:paraId="21A718C1" w14:textId="5D0AE944">
      <w:pPr>
        <w:spacing w:line="360" w:lineRule="auto"/>
        <w:rPr>
          <w:rFonts w:ascii="Verdana" w:hAnsi="Verdana" w:eastAsia="Verdana" w:cs="Verdana"/>
        </w:rPr>
      </w:pPr>
      <w:r w:rsidRPr="00A365BF">
        <w:rPr>
          <w:rFonts w:ascii="Verdana" w:hAnsi="Verdana" w:eastAsia="Verdana" w:cs="Verdana"/>
        </w:rPr>
        <w:t xml:space="preserve">The adult primary care patient experience survey collects feedback from people aged 15 years and over about their experiences with general practice care. It is the largest health survey in New Zealand, with around 30,000 responses every three months. The survey covers key aspects of primary care, including communication, access to care, cultural safety, and physical and emotional needs. The results are used to support improvements in the quality of care across New Zealand. </w:t>
      </w:r>
    </w:p>
    <w:p w:rsidRPr="00A365BF" w:rsidR="002A4D2A" w:rsidP="00181DB4" w:rsidRDefault="2D1B7F8F" w14:paraId="4E6CB81B" w14:textId="478E892F">
      <w:pPr>
        <w:pStyle w:val="Heading3"/>
        <w:spacing w:line="360" w:lineRule="auto"/>
      </w:pPr>
      <w:bookmarkStart w:name="_Toc232071306" w:id="43"/>
      <w:r w:rsidRPr="00A365BF">
        <w:t>Adult hospital inpatient experience survey</w:t>
      </w:r>
      <w:bookmarkEnd w:id="43"/>
    </w:p>
    <w:p w:rsidRPr="00A365BF" w:rsidR="002A4D2A" w:rsidP="00181DB4" w:rsidRDefault="2D1B7F8F" w14:paraId="2D1055FC" w14:textId="1963FFC5">
      <w:pPr>
        <w:spacing w:line="360" w:lineRule="auto"/>
        <w:rPr>
          <w:rFonts w:ascii="Verdana" w:hAnsi="Verdana" w:eastAsia="Verdana" w:cs="Verdana"/>
        </w:rPr>
      </w:pPr>
      <w:r w:rsidRPr="00A365BF">
        <w:rPr>
          <w:rFonts w:ascii="Verdana" w:hAnsi="Verdana" w:eastAsia="Verdana" w:cs="Verdana"/>
        </w:rPr>
        <w:t>The adult hospital inpatient experience survey collects feedback from people aged 15 years and over who stayed at least 1 night in a public hospital about the care they received.</w:t>
      </w:r>
    </w:p>
    <w:p w:rsidRPr="00A365BF" w:rsidR="002A4D2A" w:rsidP="00181DB4" w:rsidRDefault="2D1B7F8F" w14:paraId="53CF7EB5" w14:textId="7762070C">
      <w:pPr>
        <w:pStyle w:val="Heading3"/>
        <w:spacing w:line="360" w:lineRule="auto"/>
      </w:pPr>
      <w:bookmarkStart w:name="_Toc232071307" w:id="44"/>
      <w:r w:rsidRPr="00A365BF">
        <w:t>Adult hospital outpatient experience survey</w:t>
      </w:r>
      <w:bookmarkEnd w:id="44"/>
    </w:p>
    <w:p w:rsidRPr="00A365BF" w:rsidR="002A4D2A" w:rsidP="00181DB4" w:rsidRDefault="2D1B7F8F" w14:paraId="316E25A2" w14:textId="1CB72146">
      <w:pPr>
        <w:spacing w:line="360" w:lineRule="auto"/>
        <w:rPr>
          <w:rFonts w:ascii="Verdana" w:hAnsi="Verdana" w:eastAsia="Verdana" w:cs="Verdana"/>
        </w:rPr>
      </w:pPr>
      <w:r w:rsidRPr="00A365BF">
        <w:rPr>
          <w:rFonts w:ascii="Verdana" w:hAnsi="Verdana" w:eastAsia="Verdana" w:cs="Verdana"/>
        </w:rPr>
        <w:t>The adult hospital outpatient experience survey collects feedback from people aged 15 years and over who attended a public hospital-based outpatient clinic appointment about the care they received.</w:t>
      </w:r>
    </w:p>
    <w:p w:rsidRPr="00A365BF" w:rsidR="002A4D2A" w:rsidP="00181DB4" w:rsidRDefault="2D1B7F8F" w14:paraId="1CCC1188" w14:textId="60402A17">
      <w:pPr>
        <w:spacing w:line="360" w:lineRule="auto"/>
        <w:rPr>
          <w:rFonts w:ascii="Verdana" w:hAnsi="Verdana" w:eastAsia="Verdana" w:cs="Verdana"/>
        </w:rPr>
      </w:pPr>
      <w:r w:rsidRPr="00A365BF">
        <w:rPr>
          <w:rFonts w:ascii="Verdana" w:hAnsi="Verdana" w:eastAsia="Verdana" w:cs="Verdana"/>
        </w:rPr>
        <w:t>Patient experience survey results are publicly available through the experience explorer dashboards. Results are updated quarterly after each survey is conducted.</w:t>
      </w:r>
    </w:p>
    <w:p w:rsidRPr="00A365BF" w:rsidR="002A4D2A" w:rsidP="00181DB4" w:rsidRDefault="2D1B7F8F" w14:paraId="7CAEB6F7" w14:textId="515F68D7">
      <w:pPr>
        <w:spacing w:line="360" w:lineRule="auto"/>
        <w:rPr>
          <w:rFonts w:ascii="Verdana" w:hAnsi="Verdana" w:eastAsia="Verdana" w:cs="Verdana"/>
        </w:rPr>
      </w:pPr>
      <w:hyperlink r:id="rId25">
        <w:r w:rsidRPr="00A365BF">
          <w:rPr>
            <w:rStyle w:val="Hyperlink"/>
            <w:rFonts w:ascii="Verdana" w:hAnsi="Verdana" w:eastAsia="Verdana" w:cs="Verdana"/>
          </w:rPr>
          <w:t>Link to patient experience surveys</w:t>
        </w:r>
      </w:hyperlink>
    </w:p>
    <w:p w:rsidRPr="00A365BF" w:rsidR="002A4D2A" w:rsidP="00181DB4" w:rsidRDefault="2D1B7F8F" w14:paraId="2FF9D384" w14:textId="6C5D61A3">
      <w:pPr>
        <w:pStyle w:val="Heading2"/>
        <w:spacing w:line="360" w:lineRule="auto"/>
      </w:pPr>
      <w:bookmarkStart w:name="_Toc232071308" w:id="45"/>
      <w:r w:rsidRPr="00A365BF">
        <w:t>Public Housing Registers | Ministry of Social Development</w:t>
      </w:r>
      <w:bookmarkEnd w:id="45"/>
      <w:r w:rsidRPr="00A365BF">
        <w:t xml:space="preserve"> </w:t>
      </w:r>
    </w:p>
    <w:p w:rsidRPr="00A365BF" w:rsidR="002A4D2A" w:rsidP="00181DB4" w:rsidRDefault="2D1B7F8F" w14:paraId="542050F3" w14:textId="30946B7D">
      <w:pPr>
        <w:pStyle w:val="Heading3"/>
        <w:spacing w:line="360" w:lineRule="auto"/>
      </w:pPr>
      <w:bookmarkStart w:name="_Toc232071309" w:id="46"/>
      <w:r w:rsidRPr="00A365BF">
        <w:t>Housing Register</w:t>
      </w:r>
      <w:bookmarkEnd w:id="46"/>
      <w:r w:rsidRPr="00A365BF">
        <w:t xml:space="preserve"> </w:t>
      </w:r>
    </w:p>
    <w:p w:rsidRPr="00A365BF" w:rsidR="002A4D2A" w:rsidP="00181DB4" w:rsidRDefault="2D1B7F8F" w14:paraId="633CB124" w14:textId="472EF776">
      <w:pPr>
        <w:spacing w:line="360" w:lineRule="auto"/>
        <w:rPr>
          <w:rFonts w:ascii="Verdana" w:hAnsi="Verdana" w:eastAsia="Verdana" w:cs="Verdana"/>
        </w:rPr>
      </w:pPr>
      <w:r w:rsidRPr="00A365BF">
        <w:rPr>
          <w:rFonts w:ascii="Verdana" w:hAnsi="Verdana" w:eastAsia="Verdana" w:cs="Verdana"/>
        </w:rPr>
        <w:t xml:space="preserve">The Housing Register contains applicants who are not currently in public housing but have been assessed as eligible and are ready to be matched with a suitable home. </w:t>
      </w:r>
    </w:p>
    <w:p w:rsidRPr="00A365BF" w:rsidR="002A4D2A" w:rsidP="00181DB4" w:rsidRDefault="2D1B7F8F" w14:paraId="078D1DED" w14:textId="07047EFD">
      <w:pPr>
        <w:pStyle w:val="Heading3"/>
        <w:spacing w:line="360" w:lineRule="auto"/>
      </w:pPr>
      <w:bookmarkStart w:name="_Toc232071310" w:id="47"/>
      <w:r w:rsidRPr="00A365BF">
        <w:t>Transfer Register</w:t>
      </w:r>
      <w:bookmarkEnd w:id="47"/>
      <w:r w:rsidRPr="00A365BF">
        <w:t xml:space="preserve"> </w:t>
      </w:r>
    </w:p>
    <w:p w:rsidRPr="00A365BF" w:rsidR="002A4D2A" w:rsidP="00181DB4" w:rsidRDefault="2D1B7F8F" w14:paraId="632A79E0" w14:textId="28A582DC">
      <w:pPr>
        <w:spacing w:line="360" w:lineRule="auto"/>
        <w:rPr>
          <w:rFonts w:ascii="Verdana" w:hAnsi="Verdana" w:eastAsia="Verdana" w:cs="Verdana"/>
        </w:rPr>
      </w:pPr>
      <w:r w:rsidRPr="00A365BF">
        <w:rPr>
          <w:rFonts w:ascii="Verdana" w:hAnsi="Verdana" w:eastAsia="Verdana" w:cs="Verdana"/>
        </w:rPr>
        <w:t xml:space="preserve">The Transfer Register contains people or households already living in public housing who need to move to a different property for reasons such as their current home having too few or too many bedrooms, or because of health needs. </w:t>
      </w:r>
    </w:p>
    <w:p w:rsidRPr="00A365BF" w:rsidR="002A4D2A" w:rsidP="00181DB4" w:rsidRDefault="2D1B7F8F" w14:paraId="57D55049" w14:textId="38050168">
      <w:pPr>
        <w:spacing w:line="360" w:lineRule="auto"/>
        <w:rPr>
          <w:rFonts w:ascii="Verdana" w:hAnsi="Verdana" w:eastAsia="Verdana" w:cs="Verdana"/>
        </w:rPr>
      </w:pPr>
      <w:hyperlink r:id="rId26">
        <w:r w:rsidRPr="00A365BF">
          <w:rPr>
            <w:rStyle w:val="Hyperlink"/>
            <w:rFonts w:ascii="Verdana" w:hAnsi="Verdana" w:eastAsia="Verdana" w:cs="Verdana"/>
          </w:rPr>
          <w:t>Link to Housing Register</w:t>
        </w:r>
      </w:hyperlink>
    </w:p>
    <w:p w:rsidRPr="00A365BF" w:rsidR="002A4D2A" w:rsidP="00181DB4" w:rsidRDefault="2D1B7F8F" w14:paraId="16D0E1B9" w14:textId="1B7902D6">
      <w:pPr>
        <w:spacing w:line="360" w:lineRule="auto"/>
        <w:rPr>
          <w:rFonts w:ascii="Verdana" w:hAnsi="Verdana" w:eastAsia="Verdana" w:cs="Verdana"/>
        </w:rPr>
      </w:pPr>
      <w:hyperlink r:id="rId27">
        <w:r w:rsidRPr="00A365BF">
          <w:rPr>
            <w:rStyle w:val="Hyperlink"/>
            <w:rFonts w:ascii="Verdana" w:hAnsi="Verdana" w:eastAsia="Verdana" w:cs="Verdana"/>
          </w:rPr>
          <w:t>Link to Transfer Register</w:t>
        </w:r>
      </w:hyperlink>
    </w:p>
    <w:p w:rsidRPr="00A365BF" w:rsidR="002A4D2A" w:rsidP="00181DB4" w:rsidRDefault="2D1B7F8F" w14:paraId="5A22989E" w14:textId="69C27ADA">
      <w:pPr>
        <w:pStyle w:val="Heading2"/>
        <w:spacing w:line="360" w:lineRule="auto"/>
      </w:pPr>
      <w:bookmarkStart w:name="_Toc232071311" w:id="48"/>
      <w:r w:rsidRPr="00A365BF">
        <w:t>New Zealand Crime and Victims Survey (NZCVS) | Ministry of Justice</w:t>
      </w:r>
      <w:bookmarkEnd w:id="48"/>
      <w:r w:rsidRPr="00A365BF">
        <w:t xml:space="preserve"> </w:t>
      </w:r>
    </w:p>
    <w:p w:rsidRPr="00A365BF" w:rsidR="002A4D2A" w:rsidP="00181DB4" w:rsidRDefault="2D1B7F8F" w14:paraId="01D9586E" w14:textId="17F88855">
      <w:pPr>
        <w:spacing w:line="360" w:lineRule="auto"/>
        <w:rPr>
          <w:rFonts w:ascii="Verdana" w:hAnsi="Verdana" w:eastAsia="Verdana" w:cs="Verdana"/>
        </w:rPr>
      </w:pPr>
      <w:r w:rsidRPr="00A365BF">
        <w:rPr>
          <w:rFonts w:ascii="Verdana" w:hAnsi="Verdana" w:eastAsia="Verdana" w:cs="Verdana"/>
        </w:rPr>
        <w:t>The New Zealand Crime and Victims Survey is an annual Ministry of Justice survey that collects information about New Zealanders’ experiences of crime. It collects data from around 8,000-8,500 people aged 15 years and over about whether they have experienced crime, how it affected them, and whether they reported it, to help government agencies better understand victimisation and support safer communities. The data collection period is typically October to October. NZCVS uses the Washington Group Short Set (WGSS) to identify disabled people.</w:t>
      </w:r>
    </w:p>
    <w:p w:rsidRPr="00A365BF" w:rsidR="002A4D2A" w:rsidP="00181DB4" w:rsidRDefault="2D1B7F8F" w14:paraId="466AC433" w14:textId="42732B65">
      <w:pPr>
        <w:spacing w:line="360" w:lineRule="auto"/>
        <w:rPr>
          <w:rFonts w:ascii="Verdana" w:hAnsi="Verdana" w:eastAsia="Verdana" w:cs="Verdana"/>
        </w:rPr>
      </w:pPr>
      <w:r w:rsidRPr="00A365BF">
        <w:rPr>
          <w:rFonts w:ascii="Verdana" w:hAnsi="Verdana" w:eastAsia="Verdana" w:cs="Verdana"/>
        </w:rPr>
        <w:t xml:space="preserve">The next set of results are expected to be published </w:t>
      </w:r>
      <w:r w:rsidRPr="00A365BF" w:rsidR="00C1219C">
        <w:rPr>
          <w:rFonts w:ascii="Verdana" w:hAnsi="Verdana" w:eastAsia="Verdana" w:cs="Verdana"/>
        </w:rPr>
        <w:t>mid-2027</w:t>
      </w:r>
      <w:r w:rsidRPr="00A365BF">
        <w:rPr>
          <w:rFonts w:ascii="Verdana" w:hAnsi="Verdana" w:eastAsia="Verdana" w:cs="Verdana"/>
        </w:rPr>
        <w:t>.</w:t>
      </w:r>
    </w:p>
    <w:p w:rsidRPr="00A365BF" w:rsidR="002A4D2A" w:rsidP="00181DB4" w:rsidRDefault="2D1B7F8F" w14:paraId="637AAC16" w14:textId="7D647F59">
      <w:pPr>
        <w:spacing w:line="360" w:lineRule="auto"/>
        <w:rPr>
          <w:rFonts w:ascii="Verdana" w:hAnsi="Verdana" w:eastAsia="Verdana" w:cs="Verdana"/>
        </w:rPr>
      </w:pPr>
      <w:hyperlink r:id="rId28">
        <w:r w:rsidRPr="00A365BF">
          <w:rPr>
            <w:rStyle w:val="Hyperlink"/>
            <w:rFonts w:ascii="Verdana" w:hAnsi="Verdana" w:eastAsia="Verdana" w:cs="Verdana"/>
          </w:rPr>
          <w:t>Link to NZCVS</w:t>
        </w:r>
      </w:hyperlink>
    </w:p>
    <w:p w:rsidRPr="00A365BF" w:rsidR="002A4D2A" w:rsidP="00181DB4" w:rsidRDefault="2D1B7F8F" w14:paraId="57549A4C" w14:textId="0F1F72ED">
      <w:pPr>
        <w:pStyle w:val="Heading2"/>
        <w:spacing w:line="360" w:lineRule="auto"/>
      </w:pPr>
      <w:bookmarkStart w:name="_Toc232071312" w:id="49"/>
      <w:r w:rsidRPr="00A365BF">
        <w:t>New Zealand Health Survey (NZHS) | Ministry of Health</w:t>
      </w:r>
      <w:bookmarkEnd w:id="49"/>
      <w:r w:rsidRPr="00A365BF">
        <w:t xml:space="preserve"> </w:t>
      </w:r>
    </w:p>
    <w:p w:rsidRPr="00A365BF" w:rsidR="002A4D2A" w:rsidP="00181DB4" w:rsidRDefault="2D1B7F8F" w14:paraId="008B3D0F" w14:textId="2488670B">
      <w:pPr>
        <w:spacing w:line="360" w:lineRule="auto"/>
        <w:rPr>
          <w:rFonts w:ascii="Verdana" w:hAnsi="Verdana" w:eastAsia="Verdana" w:cs="Verdana"/>
        </w:rPr>
      </w:pPr>
      <w:r w:rsidRPr="00A365BF">
        <w:rPr>
          <w:rFonts w:ascii="Verdana" w:hAnsi="Verdana" w:eastAsia="Verdana" w:cs="Verdana"/>
        </w:rPr>
        <w:t>The New Zealand Health Survey is an annual Ministry of Health survey that collects information about the health and wellbeing of adults and children in New Zealand. Its results are published annually and help inform health services, policy, and strategy across the country. The data collection period covers July to June each year. The NZHS uses the Washington Group Short Set (WGSS) to identify disabled adults and the Washington Group/UNICEF Child Functioning Module (WG-CFM) to identify disabled children.</w:t>
      </w:r>
    </w:p>
    <w:p w:rsidRPr="00A365BF" w:rsidR="002A4D2A" w:rsidP="00181DB4" w:rsidRDefault="2D1B7F8F" w14:paraId="534B4503" w14:textId="7482A51D">
      <w:pPr>
        <w:spacing w:line="360" w:lineRule="auto"/>
        <w:rPr>
          <w:rFonts w:ascii="Verdana" w:hAnsi="Verdana" w:eastAsia="Verdana" w:cs="Verdana"/>
        </w:rPr>
      </w:pPr>
      <w:r w:rsidRPr="00A365BF">
        <w:rPr>
          <w:rFonts w:ascii="Verdana" w:hAnsi="Verdana" w:eastAsia="Verdana" w:cs="Verdana"/>
        </w:rPr>
        <w:t>The next set of results are expected to be published in late 2026.</w:t>
      </w:r>
    </w:p>
    <w:p w:rsidRPr="00A365BF" w:rsidR="002A4D2A" w:rsidP="00181DB4" w:rsidRDefault="2D1B7F8F" w14:paraId="69F303E4" w14:textId="1CDD0CAE">
      <w:pPr>
        <w:spacing w:line="360" w:lineRule="auto"/>
        <w:rPr>
          <w:rFonts w:ascii="Verdana" w:hAnsi="Verdana" w:eastAsia="Verdana" w:cs="Verdana"/>
        </w:rPr>
      </w:pPr>
      <w:hyperlink r:id="rId29">
        <w:r w:rsidRPr="00A365BF">
          <w:rPr>
            <w:rStyle w:val="Hyperlink"/>
            <w:rFonts w:ascii="Verdana" w:hAnsi="Verdana" w:eastAsia="Verdana" w:cs="Verdana"/>
          </w:rPr>
          <w:t>Link to NZHS</w:t>
        </w:r>
      </w:hyperlink>
    </w:p>
    <w:p w:rsidRPr="00A365BF" w:rsidR="002A4D2A" w:rsidP="00181DB4" w:rsidRDefault="2D1B7F8F" w14:paraId="104F6F1C" w14:textId="1928F9F9">
      <w:pPr>
        <w:pStyle w:val="Heading2"/>
        <w:spacing w:line="360" w:lineRule="auto"/>
      </w:pPr>
      <w:bookmarkStart w:name="_Toc232071313" w:id="50"/>
      <w:r w:rsidRPr="00A365BF">
        <w:t>Youth Health and Wellbeing Survey (YHWS) | Ministry of Social Development</w:t>
      </w:r>
      <w:bookmarkEnd w:id="50"/>
      <w:r w:rsidRPr="00A365BF">
        <w:t xml:space="preserve"> </w:t>
      </w:r>
    </w:p>
    <w:p w:rsidRPr="00A365BF" w:rsidR="002A4D2A" w:rsidP="00181DB4" w:rsidRDefault="2D1B7F8F" w14:paraId="32DFDAEF" w14:textId="353BE486">
      <w:pPr>
        <w:spacing w:line="360" w:lineRule="auto"/>
        <w:rPr>
          <w:rFonts w:ascii="Verdana" w:hAnsi="Verdana" w:eastAsia="Verdana" w:cs="Verdana"/>
        </w:rPr>
      </w:pPr>
      <w:r w:rsidRPr="00A365BF">
        <w:rPr>
          <w:rFonts w:ascii="Verdana" w:hAnsi="Verdana" w:eastAsia="Verdana" w:cs="Verdana"/>
        </w:rPr>
        <w:t>The Youth Health and Wellbeing Survey (YHWS) is a Ministry of Social Development administered survey that asks questions relating to health, mental health, wellbeing, and wider life experiences. The YHWS 2025 collected information from young people aged 13 to 19 who attend secondary school, with surveys delivered in schools. It merged and continued two long-running sources of youth wellbeing evidence in New Zealand (the Youth2000 survey and the What about Me survey) in helping government, researchers, and community organisations understand how young people in New Zealand are doing and track changes over time. The data collection period in the 2025 YHWS was March 2025 to September 2025. The YHWS uses the Washington Group Short Set (WGSS) as one of the ways of identifying disabled people.</w:t>
      </w:r>
    </w:p>
    <w:p w:rsidRPr="00A365BF" w:rsidR="002A4D2A" w:rsidP="00181DB4" w:rsidRDefault="2D1B7F8F" w14:paraId="2A7B76E4" w14:textId="404BE187">
      <w:pPr>
        <w:spacing w:line="360" w:lineRule="auto"/>
        <w:rPr>
          <w:rFonts w:ascii="Verdana" w:hAnsi="Verdana" w:eastAsia="Verdana" w:cs="Verdana"/>
        </w:rPr>
      </w:pPr>
      <w:r w:rsidRPr="00A365BF">
        <w:rPr>
          <w:rFonts w:ascii="Verdana" w:hAnsi="Verdana" w:eastAsia="Verdana" w:cs="Verdana"/>
        </w:rPr>
        <w:t>The next survey is expected to take place in 2028.</w:t>
      </w:r>
    </w:p>
    <w:p w:rsidR="002A4D2A" w:rsidP="00181DB4" w:rsidRDefault="2D1B7F8F" w14:paraId="6EA770FD" w14:textId="290161F3">
      <w:pPr>
        <w:spacing w:line="360" w:lineRule="auto"/>
        <w:rPr>
          <w:rFonts w:ascii="Verdana" w:hAnsi="Verdana" w:eastAsia="Verdana" w:cs="Verdana"/>
        </w:rPr>
      </w:pPr>
      <w:hyperlink r:id="rId30">
        <w:r w:rsidRPr="00A365BF">
          <w:rPr>
            <w:rStyle w:val="Hyperlink"/>
            <w:rFonts w:ascii="Verdana" w:hAnsi="Verdana" w:eastAsia="Verdana" w:cs="Verdana"/>
          </w:rPr>
          <w:t>Link to YHWS</w:t>
        </w:r>
      </w:hyperlink>
    </w:p>
    <w:p w:rsidR="002A4D2A" w:rsidP="00181DB4" w:rsidRDefault="002A4D2A" w14:paraId="4278186A" w14:textId="336470E0">
      <w:pPr>
        <w:spacing w:line="360" w:lineRule="auto"/>
        <w:rPr>
          <w:rFonts w:ascii="Verdana" w:hAnsi="Verdana" w:eastAsia="Verdana" w:cs="Verdana"/>
          <w:b/>
          <w:bCs/>
        </w:rPr>
      </w:pPr>
    </w:p>
    <w:sectPr w:rsidR="002A4D2A">
      <w:headerReference w:type="even" r:id="rId31"/>
      <w:headerReference w:type="default" r:id="rId32"/>
      <w:footerReference w:type="default" r:id="rId33"/>
      <w:headerReference w:type="first" r:id="rId3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02DC" w:rsidP="00DD313A" w:rsidRDefault="00B002DC" w14:paraId="17075CC4" w14:textId="77777777">
      <w:pPr>
        <w:spacing w:after="0" w:line="240" w:lineRule="auto"/>
      </w:pPr>
      <w:r>
        <w:separator/>
      </w:r>
    </w:p>
  </w:endnote>
  <w:endnote w:type="continuationSeparator" w:id="0">
    <w:p w:rsidR="00B002DC" w:rsidP="00DD313A" w:rsidRDefault="00B002DC" w14:paraId="5FDFEA1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5819347"/>
      <w:docPartObj>
        <w:docPartGallery w:val="Page Numbers (Bottom of Page)"/>
        <w:docPartUnique/>
      </w:docPartObj>
    </w:sdtPr>
    <w:sdtEndPr>
      <w:rPr>
        <w:noProof/>
      </w:rPr>
    </w:sdtEndPr>
    <w:sdtContent>
      <w:p w:rsidR="00E23D2C" w:rsidRDefault="00E23D2C" w14:paraId="2307B7E2" w14:textId="2474D0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23D2C" w:rsidRDefault="00E23D2C" w14:paraId="765A0D7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02DC" w:rsidP="00DD313A" w:rsidRDefault="00B002DC" w14:paraId="627D8F43" w14:textId="77777777">
      <w:pPr>
        <w:spacing w:after="0" w:line="240" w:lineRule="auto"/>
      </w:pPr>
      <w:r>
        <w:separator/>
      </w:r>
    </w:p>
  </w:footnote>
  <w:footnote w:type="continuationSeparator" w:id="0">
    <w:p w:rsidR="00B002DC" w:rsidP="00DD313A" w:rsidRDefault="00B002DC" w14:paraId="11537DA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D313A" w:rsidRDefault="00DD313A" w14:paraId="54B8F7AE" w14:textId="04801357">
    <w:pPr>
      <w:pStyle w:val="Header"/>
    </w:pPr>
    <w:r>
      <w:rPr>
        <w:noProof/>
      </w:rPr>
      <mc:AlternateContent>
        <mc:Choice Requires="wps">
          <w:drawing>
            <wp:anchor distT="0" distB="0" distL="0" distR="0" simplePos="0" relativeHeight="251658241" behindDoc="0" locked="0" layoutInCell="1" allowOverlap="1" wp14:anchorId="40729A0B" wp14:editId="2DBC42FC">
              <wp:simplePos x="635" y="635"/>
              <wp:positionH relativeFrom="page">
                <wp:align>center</wp:align>
              </wp:positionH>
              <wp:positionV relativeFrom="page">
                <wp:align>top</wp:align>
              </wp:positionV>
              <wp:extent cx="904875" cy="371475"/>
              <wp:effectExtent l="0" t="0" r="9525" b="9525"/>
              <wp:wrapNone/>
              <wp:docPr id="1817069316"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4875" cy="371475"/>
                      </a:xfrm>
                      <a:prstGeom prst="rect">
                        <a:avLst/>
                      </a:prstGeom>
                      <a:noFill/>
                      <a:ln>
                        <a:noFill/>
                      </a:ln>
                    </wps:spPr>
                    <wps:txbx>
                      <w:txbxContent>
                        <w:p w:rsidRPr="00DD313A" w:rsidR="00DD313A" w:rsidP="00DD313A" w:rsidRDefault="00DD313A" w14:paraId="27F7DCD7" w14:textId="6ADFFB65">
                          <w:pPr>
                            <w:spacing w:after="0"/>
                            <w:rPr>
                              <w:rFonts w:ascii="Aptos" w:hAnsi="Aptos" w:eastAsia="Aptos" w:cs="Aptos"/>
                              <w:noProof/>
                              <w:color w:val="000000"/>
                              <w:sz w:val="20"/>
                              <w:szCs w:val="20"/>
                            </w:rPr>
                          </w:pPr>
                          <w:r w:rsidRPr="00DD313A">
                            <w:rPr>
                              <w:rFonts w:ascii="Aptos" w:hAnsi="Aptos" w:eastAsia="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40729A0B">
              <v:stroke joinstyle="miter"/>
              <v:path gradientshapeok="t" o:connecttype="rect"/>
            </v:shapetype>
            <v:shape id="Text Box 2" style="position:absolute;margin-left:0;margin-top:0;width:71.25pt;height:29.25pt;z-index:251658241;visibility:visible;mso-wrap-style:none;mso-wrap-distance-left:0;mso-wrap-distance-top:0;mso-wrap-distance-right:0;mso-wrap-distance-bottom:0;mso-position-horizontal:center;mso-position-horizontal-relative:page;mso-position-vertical:top;mso-position-vertical-relative:page;v-text-anchor:top" alt="IN-CONFIDENC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">
              <v:textbox style="mso-fit-shape-to-text:t" inset="0,15pt,0,0">
                <w:txbxContent>
                  <w:p w:rsidRPr="00DD313A" w:rsidR="00DD313A" w:rsidP="00DD313A" w:rsidRDefault="00DD313A" w14:paraId="27F7DCD7" w14:textId="6ADFFB65">
                    <w:pPr>
                      <w:spacing w:after="0"/>
                      <w:rPr>
                        <w:rFonts w:ascii="Aptos" w:hAnsi="Aptos" w:eastAsia="Aptos" w:cs="Aptos"/>
                        <w:noProof/>
                        <w:color w:val="000000"/>
                        <w:sz w:val="20"/>
                        <w:szCs w:val="20"/>
                      </w:rPr>
                    </w:pPr>
                    <w:r w:rsidRPr="00DD313A">
                      <w:rPr>
                        <w:rFonts w:ascii="Aptos" w:hAnsi="Aptos" w:eastAsia="Aptos" w:cs="Aptos"/>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D313A" w:rsidRDefault="00DD313A" w14:paraId="202BBBE6" w14:textId="21459A6F">
    <w:pPr>
      <w:pStyle w:val="Header"/>
    </w:pPr>
    <w:r>
      <w:rPr>
        <w:noProof/>
      </w:rPr>
      <mc:AlternateContent>
        <mc:Choice Requires="wps">
          <w:drawing>
            <wp:anchor distT="0" distB="0" distL="0" distR="0" simplePos="0" relativeHeight="251658242" behindDoc="0" locked="0" layoutInCell="1" allowOverlap="1" wp14:anchorId="064264BA" wp14:editId="59F9DBAD">
              <wp:simplePos x="635" y="635"/>
              <wp:positionH relativeFrom="page">
                <wp:align>center</wp:align>
              </wp:positionH>
              <wp:positionV relativeFrom="page">
                <wp:align>top</wp:align>
              </wp:positionV>
              <wp:extent cx="904875" cy="371475"/>
              <wp:effectExtent l="0" t="0" r="9525" b="9525"/>
              <wp:wrapNone/>
              <wp:docPr id="427356636"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4875" cy="371475"/>
                      </a:xfrm>
                      <a:prstGeom prst="rect">
                        <a:avLst/>
                      </a:prstGeom>
                      <a:noFill/>
                      <a:ln>
                        <a:noFill/>
                      </a:ln>
                    </wps:spPr>
                    <wps:txbx>
                      <w:txbxContent>
                        <w:p w:rsidRPr="00DD313A" w:rsidR="00DD313A" w:rsidP="00DD313A" w:rsidRDefault="00DD313A" w14:paraId="0098B8E0" w14:textId="7DF9247D">
                          <w:pPr>
                            <w:spacing w:after="0"/>
                            <w:rPr>
                              <w:rFonts w:ascii="Aptos" w:hAnsi="Aptos" w:eastAsia="Aptos" w:cs="Aptos"/>
                              <w:noProof/>
                              <w:color w:val="000000"/>
                              <w:sz w:val="20"/>
                              <w:szCs w:val="20"/>
                            </w:rPr>
                          </w:pPr>
                          <w:r w:rsidRPr="00DD313A">
                            <w:rPr>
                              <w:rFonts w:ascii="Aptos" w:hAnsi="Aptos" w:eastAsia="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064264BA">
              <v:stroke joinstyle="miter"/>
              <v:path gradientshapeok="t" o:connecttype="rect"/>
            </v:shapetype>
            <v:shape id="Text Box 3" style="position:absolute;margin-left:0;margin-top:0;width:71.25pt;height:29.25pt;z-index:251658242;visibility:visible;mso-wrap-style:none;mso-wrap-distance-left:0;mso-wrap-distance-top:0;mso-wrap-distance-right:0;mso-wrap-distance-bottom:0;mso-position-horizontal:center;mso-position-horizontal-relative:page;mso-position-vertical:top;mso-position-vertical-relative:page;v-text-anchor:top" alt="IN-CONFIDENC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">
              <v:textbox style="mso-fit-shape-to-text:t" inset="0,15pt,0,0">
                <w:txbxContent>
                  <w:p w:rsidRPr="00DD313A" w:rsidR="00DD313A" w:rsidP="00DD313A" w:rsidRDefault="00DD313A" w14:paraId="0098B8E0" w14:textId="7DF9247D">
                    <w:pPr>
                      <w:spacing w:after="0"/>
                      <w:rPr>
                        <w:rFonts w:ascii="Aptos" w:hAnsi="Aptos" w:eastAsia="Aptos" w:cs="Aptos"/>
                        <w:noProof/>
                        <w:color w:val="000000"/>
                        <w:sz w:val="20"/>
                        <w:szCs w:val="20"/>
                      </w:rPr>
                    </w:pPr>
                    <w:r w:rsidRPr="00DD313A">
                      <w:rPr>
                        <w:rFonts w:ascii="Aptos" w:hAnsi="Aptos" w:eastAsia="Aptos" w:cs="Aptos"/>
                        <w:noProof/>
                        <w:color w:val="000000"/>
                        <w:sz w:val="2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D313A" w:rsidRDefault="00DD313A" w14:paraId="05734228" w14:textId="30D837B0">
    <w:pPr>
      <w:pStyle w:val="Header"/>
    </w:pPr>
    <w:r>
      <w:rPr>
        <w:noProof/>
      </w:rPr>
      <mc:AlternateContent>
        <mc:Choice Requires="wps">
          <w:drawing>
            <wp:anchor distT="0" distB="0" distL="0" distR="0" simplePos="0" relativeHeight="251658240" behindDoc="0" locked="0" layoutInCell="1" allowOverlap="1" wp14:anchorId="71DD16F4" wp14:editId="112DF07A">
              <wp:simplePos x="635" y="635"/>
              <wp:positionH relativeFrom="page">
                <wp:align>center</wp:align>
              </wp:positionH>
              <wp:positionV relativeFrom="page">
                <wp:align>top</wp:align>
              </wp:positionV>
              <wp:extent cx="904875" cy="371475"/>
              <wp:effectExtent l="0" t="0" r="9525" b="9525"/>
              <wp:wrapNone/>
              <wp:docPr id="2141116910"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4875" cy="371475"/>
                      </a:xfrm>
                      <a:prstGeom prst="rect">
                        <a:avLst/>
                      </a:prstGeom>
                      <a:noFill/>
                      <a:ln>
                        <a:noFill/>
                      </a:ln>
                    </wps:spPr>
                    <wps:txbx>
                      <w:txbxContent>
                        <w:p w:rsidRPr="00DD313A" w:rsidR="00DD313A" w:rsidP="00DD313A" w:rsidRDefault="00DD313A" w14:paraId="141B0ACA" w14:textId="6C79A14D">
                          <w:pPr>
                            <w:spacing w:after="0"/>
                            <w:rPr>
                              <w:rFonts w:ascii="Aptos" w:hAnsi="Aptos" w:eastAsia="Aptos" w:cs="Aptos"/>
                              <w:noProof/>
                              <w:color w:val="000000"/>
                              <w:sz w:val="20"/>
                              <w:szCs w:val="20"/>
                            </w:rPr>
                          </w:pPr>
                          <w:r w:rsidRPr="00DD313A">
                            <w:rPr>
                              <w:rFonts w:ascii="Aptos" w:hAnsi="Aptos" w:eastAsia="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71DD16F4">
              <v:stroke joinstyle="miter"/>
              <v:path gradientshapeok="t" o:connecttype="rect"/>
            </v:shapetype>
            <v:shape id="Text Box 1" style="position:absolute;margin-left:0;margin-top:0;width:71.25pt;height:29.25pt;z-index:251658240;visibility:visible;mso-wrap-style:none;mso-wrap-distance-left:0;mso-wrap-distance-top:0;mso-wrap-distance-right:0;mso-wrap-distance-bottom:0;mso-position-horizontal:center;mso-position-horizontal-relative:page;mso-position-vertical:top;mso-position-vertical-relative:page;v-text-anchor:top" alt="IN-CONFIDENCE"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">
              <v:textbox style="mso-fit-shape-to-text:t" inset="0,15pt,0,0">
                <w:txbxContent>
                  <w:p w:rsidRPr="00DD313A" w:rsidR="00DD313A" w:rsidP="00DD313A" w:rsidRDefault="00DD313A" w14:paraId="141B0ACA" w14:textId="6C79A14D">
                    <w:pPr>
                      <w:spacing w:after="0"/>
                      <w:rPr>
                        <w:rFonts w:ascii="Aptos" w:hAnsi="Aptos" w:eastAsia="Aptos" w:cs="Aptos"/>
                        <w:noProof/>
                        <w:color w:val="000000"/>
                        <w:sz w:val="20"/>
                        <w:szCs w:val="20"/>
                      </w:rPr>
                    </w:pPr>
                    <w:r w:rsidRPr="00DD313A">
                      <w:rPr>
                        <w:rFonts w:ascii="Aptos" w:hAnsi="Aptos" w:eastAsia="Aptos" w:cs="Aptos"/>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95993"/>
    <w:multiLevelType w:val="hybridMultilevel"/>
    <w:tmpl w:val="FFFFFFFF"/>
    <w:lvl w:ilvl="0" w:tplc="0012170C">
      <w:start w:val="1"/>
      <w:numFmt w:val="bullet"/>
      <w:lvlText w:val=""/>
      <w:lvlJc w:val="left"/>
      <w:pPr>
        <w:ind w:left="360" w:hanging="360"/>
      </w:pPr>
      <w:rPr>
        <w:rFonts w:hint="default" w:ascii="Symbol" w:hAnsi="Symbol"/>
      </w:rPr>
    </w:lvl>
    <w:lvl w:ilvl="1" w:tplc="70DE8BB8">
      <w:start w:val="1"/>
      <w:numFmt w:val="bullet"/>
      <w:lvlText w:val="o"/>
      <w:lvlJc w:val="left"/>
      <w:pPr>
        <w:ind w:left="1080" w:hanging="360"/>
      </w:pPr>
      <w:rPr>
        <w:rFonts w:hint="default" w:ascii="Courier New" w:hAnsi="Courier New"/>
      </w:rPr>
    </w:lvl>
    <w:lvl w:ilvl="2" w:tplc="A6DE46BC">
      <w:start w:val="1"/>
      <w:numFmt w:val="bullet"/>
      <w:lvlText w:val=""/>
      <w:lvlJc w:val="left"/>
      <w:pPr>
        <w:ind w:left="1800" w:hanging="360"/>
      </w:pPr>
      <w:rPr>
        <w:rFonts w:hint="default" w:ascii="Wingdings" w:hAnsi="Wingdings"/>
      </w:rPr>
    </w:lvl>
    <w:lvl w:ilvl="3" w:tplc="2B5AA1AE">
      <w:start w:val="1"/>
      <w:numFmt w:val="bullet"/>
      <w:lvlText w:val=""/>
      <w:lvlJc w:val="left"/>
      <w:pPr>
        <w:ind w:left="2520" w:hanging="360"/>
      </w:pPr>
      <w:rPr>
        <w:rFonts w:hint="default" w:ascii="Symbol" w:hAnsi="Symbol"/>
      </w:rPr>
    </w:lvl>
    <w:lvl w:ilvl="4" w:tplc="020603BC">
      <w:start w:val="1"/>
      <w:numFmt w:val="bullet"/>
      <w:lvlText w:val="o"/>
      <w:lvlJc w:val="left"/>
      <w:pPr>
        <w:ind w:left="3240" w:hanging="360"/>
      </w:pPr>
      <w:rPr>
        <w:rFonts w:hint="default" w:ascii="Courier New" w:hAnsi="Courier New"/>
      </w:rPr>
    </w:lvl>
    <w:lvl w:ilvl="5" w:tplc="A4363C8C">
      <w:start w:val="1"/>
      <w:numFmt w:val="bullet"/>
      <w:lvlText w:val=""/>
      <w:lvlJc w:val="left"/>
      <w:pPr>
        <w:ind w:left="3960" w:hanging="360"/>
      </w:pPr>
      <w:rPr>
        <w:rFonts w:hint="default" w:ascii="Wingdings" w:hAnsi="Wingdings"/>
      </w:rPr>
    </w:lvl>
    <w:lvl w:ilvl="6" w:tplc="2F9CC86E">
      <w:start w:val="1"/>
      <w:numFmt w:val="bullet"/>
      <w:lvlText w:val=""/>
      <w:lvlJc w:val="left"/>
      <w:pPr>
        <w:ind w:left="4680" w:hanging="360"/>
      </w:pPr>
      <w:rPr>
        <w:rFonts w:hint="default" w:ascii="Symbol" w:hAnsi="Symbol"/>
      </w:rPr>
    </w:lvl>
    <w:lvl w:ilvl="7" w:tplc="C7082F34">
      <w:start w:val="1"/>
      <w:numFmt w:val="bullet"/>
      <w:lvlText w:val="o"/>
      <w:lvlJc w:val="left"/>
      <w:pPr>
        <w:ind w:left="5400" w:hanging="360"/>
      </w:pPr>
      <w:rPr>
        <w:rFonts w:hint="default" w:ascii="Courier New" w:hAnsi="Courier New"/>
      </w:rPr>
    </w:lvl>
    <w:lvl w:ilvl="8" w:tplc="3CF26A2E">
      <w:start w:val="1"/>
      <w:numFmt w:val="bullet"/>
      <w:lvlText w:val=""/>
      <w:lvlJc w:val="left"/>
      <w:pPr>
        <w:ind w:left="6120" w:hanging="360"/>
      </w:pPr>
      <w:rPr>
        <w:rFonts w:hint="default" w:ascii="Wingdings" w:hAnsi="Wingdings"/>
      </w:rPr>
    </w:lvl>
  </w:abstractNum>
  <w:abstractNum w:abstractNumId="1" w15:restartNumberingAfterBreak="0">
    <w:nsid w:val="3D2EC169"/>
    <w:multiLevelType w:val="hybridMultilevel"/>
    <w:tmpl w:val="FFFFFFFF"/>
    <w:lvl w:ilvl="0" w:tplc="0F06CBE6">
      <w:start w:val="1"/>
      <w:numFmt w:val="bullet"/>
      <w:lvlText w:val=""/>
      <w:lvlJc w:val="left"/>
      <w:pPr>
        <w:ind w:left="360" w:hanging="360"/>
      </w:pPr>
      <w:rPr>
        <w:rFonts w:hint="default" w:ascii="Symbol" w:hAnsi="Symbol"/>
      </w:rPr>
    </w:lvl>
    <w:lvl w:ilvl="1" w:tplc="EA64C714">
      <w:start w:val="1"/>
      <w:numFmt w:val="bullet"/>
      <w:lvlText w:val="o"/>
      <w:lvlJc w:val="left"/>
      <w:pPr>
        <w:ind w:left="1080" w:hanging="360"/>
      </w:pPr>
      <w:rPr>
        <w:rFonts w:hint="default" w:ascii="Courier New" w:hAnsi="Courier New"/>
      </w:rPr>
    </w:lvl>
    <w:lvl w:ilvl="2" w:tplc="EB664B3E">
      <w:start w:val="1"/>
      <w:numFmt w:val="bullet"/>
      <w:lvlText w:val=""/>
      <w:lvlJc w:val="left"/>
      <w:pPr>
        <w:ind w:left="1800" w:hanging="360"/>
      </w:pPr>
      <w:rPr>
        <w:rFonts w:hint="default" w:ascii="Wingdings" w:hAnsi="Wingdings"/>
      </w:rPr>
    </w:lvl>
    <w:lvl w:ilvl="3" w:tplc="0E1C9CFA">
      <w:start w:val="1"/>
      <w:numFmt w:val="bullet"/>
      <w:lvlText w:val=""/>
      <w:lvlJc w:val="left"/>
      <w:pPr>
        <w:ind w:left="2520" w:hanging="360"/>
      </w:pPr>
      <w:rPr>
        <w:rFonts w:hint="default" w:ascii="Symbol" w:hAnsi="Symbol"/>
      </w:rPr>
    </w:lvl>
    <w:lvl w:ilvl="4" w:tplc="AB4023E8">
      <w:start w:val="1"/>
      <w:numFmt w:val="bullet"/>
      <w:lvlText w:val="o"/>
      <w:lvlJc w:val="left"/>
      <w:pPr>
        <w:ind w:left="3240" w:hanging="360"/>
      </w:pPr>
      <w:rPr>
        <w:rFonts w:hint="default" w:ascii="Courier New" w:hAnsi="Courier New"/>
      </w:rPr>
    </w:lvl>
    <w:lvl w:ilvl="5" w:tplc="03D07EDE">
      <w:start w:val="1"/>
      <w:numFmt w:val="bullet"/>
      <w:lvlText w:val=""/>
      <w:lvlJc w:val="left"/>
      <w:pPr>
        <w:ind w:left="3960" w:hanging="360"/>
      </w:pPr>
      <w:rPr>
        <w:rFonts w:hint="default" w:ascii="Wingdings" w:hAnsi="Wingdings"/>
      </w:rPr>
    </w:lvl>
    <w:lvl w:ilvl="6" w:tplc="66DA3770">
      <w:start w:val="1"/>
      <w:numFmt w:val="bullet"/>
      <w:lvlText w:val=""/>
      <w:lvlJc w:val="left"/>
      <w:pPr>
        <w:ind w:left="4680" w:hanging="360"/>
      </w:pPr>
      <w:rPr>
        <w:rFonts w:hint="default" w:ascii="Symbol" w:hAnsi="Symbol"/>
      </w:rPr>
    </w:lvl>
    <w:lvl w:ilvl="7" w:tplc="5210A23C">
      <w:start w:val="1"/>
      <w:numFmt w:val="bullet"/>
      <w:lvlText w:val="o"/>
      <w:lvlJc w:val="left"/>
      <w:pPr>
        <w:ind w:left="5400" w:hanging="360"/>
      </w:pPr>
      <w:rPr>
        <w:rFonts w:hint="default" w:ascii="Courier New" w:hAnsi="Courier New"/>
      </w:rPr>
    </w:lvl>
    <w:lvl w:ilvl="8" w:tplc="4FDC0504">
      <w:start w:val="1"/>
      <w:numFmt w:val="bullet"/>
      <w:lvlText w:val=""/>
      <w:lvlJc w:val="left"/>
      <w:pPr>
        <w:ind w:left="6120" w:hanging="360"/>
      </w:pPr>
      <w:rPr>
        <w:rFonts w:hint="default" w:ascii="Wingdings" w:hAnsi="Wingdings"/>
      </w:rPr>
    </w:lvl>
  </w:abstractNum>
  <w:num w:numId="1" w16cid:durableId="1397900775">
    <w:abstractNumId w:val="1"/>
  </w:num>
  <w:num w:numId="2" w16cid:durableId="1397971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91E77B"/>
    <w:rsid w:val="00001387"/>
    <w:rsid w:val="00001F05"/>
    <w:rsid w:val="0000256D"/>
    <w:rsid w:val="000027D3"/>
    <w:rsid w:val="00004ADC"/>
    <w:rsid w:val="00006862"/>
    <w:rsid w:val="000101CC"/>
    <w:rsid w:val="00012581"/>
    <w:rsid w:val="00014934"/>
    <w:rsid w:val="000179B2"/>
    <w:rsid w:val="00021BD9"/>
    <w:rsid w:val="00023FAC"/>
    <w:rsid w:val="00025638"/>
    <w:rsid w:val="00030912"/>
    <w:rsid w:val="000318F5"/>
    <w:rsid w:val="0003233B"/>
    <w:rsid w:val="00033B7D"/>
    <w:rsid w:val="000362B9"/>
    <w:rsid w:val="00040139"/>
    <w:rsid w:val="00041817"/>
    <w:rsid w:val="00043B02"/>
    <w:rsid w:val="0004472C"/>
    <w:rsid w:val="000535F0"/>
    <w:rsid w:val="000564CF"/>
    <w:rsid w:val="00056FBD"/>
    <w:rsid w:val="00063520"/>
    <w:rsid w:val="00066CF4"/>
    <w:rsid w:val="00094287"/>
    <w:rsid w:val="00095F22"/>
    <w:rsid w:val="000A3133"/>
    <w:rsid w:val="000A6B59"/>
    <w:rsid w:val="000B124C"/>
    <w:rsid w:val="000B4744"/>
    <w:rsid w:val="000B5BAF"/>
    <w:rsid w:val="000D0904"/>
    <w:rsid w:val="000D4575"/>
    <w:rsid w:val="000D6523"/>
    <w:rsid w:val="000F45BA"/>
    <w:rsid w:val="000F63ED"/>
    <w:rsid w:val="001024D0"/>
    <w:rsid w:val="00102AA2"/>
    <w:rsid w:val="0010736D"/>
    <w:rsid w:val="00111381"/>
    <w:rsid w:val="00111E94"/>
    <w:rsid w:val="00112336"/>
    <w:rsid w:val="001151DF"/>
    <w:rsid w:val="001177EA"/>
    <w:rsid w:val="00117E14"/>
    <w:rsid w:val="0013310E"/>
    <w:rsid w:val="001434F8"/>
    <w:rsid w:val="00145D38"/>
    <w:rsid w:val="0015387E"/>
    <w:rsid w:val="00157F12"/>
    <w:rsid w:val="00165464"/>
    <w:rsid w:val="00171E1A"/>
    <w:rsid w:val="001779FB"/>
    <w:rsid w:val="00181DB4"/>
    <w:rsid w:val="0019267B"/>
    <w:rsid w:val="0019630A"/>
    <w:rsid w:val="001A026D"/>
    <w:rsid w:val="001A6EC5"/>
    <w:rsid w:val="001B1AA7"/>
    <w:rsid w:val="001B6312"/>
    <w:rsid w:val="001B6537"/>
    <w:rsid w:val="001B7633"/>
    <w:rsid w:val="001C0913"/>
    <w:rsid w:val="001C4A72"/>
    <w:rsid w:val="001C4F74"/>
    <w:rsid w:val="001C5074"/>
    <w:rsid w:val="001C55C6"/>
    <w:rsid w:val="001D008B"/>
    <w:rsid w:val="001D0BE3"/>
    <w:rsid w:val="001D1EB3"/>
    <w:rsid w:val="001D5C79"/>
    <w:rsid w:val="001F100E"/>
    <w:rsid w:val="001F37EF"/>
    <w:rsid w:val="001F6D97"/>
    <w:rsid w:val="00211D7B"/>
    <w:rsid w:val="002164DE"/>
    <w:rsid w:val="002220F9"/>
    <w:rsid w:val="002261E7"/>
    <w:rsid w:val="0023144F"/>
    <w:rsid w:val="00231716"/>
    <w:rsid w:val="00231DCB"/>
    <w:rsid w:val="00245A55"/>
    <w:rsid w:val="0025419D"/>
    <w:rsid w:val="00256CAF"/>
    <w:rsid w:val="002619C8"/>
    <w:rsid w:val="00261FC2"/>
    <w:rsid w:val="00263D12"/>
    <w:rsid w:val="002648F3"/>
    <w:rsid w:val="00266220"/>
    <w:rsid w:val="00266427"/>
    <w:rsid w:val="002714AF"/>
    <w:rsid w:val="0027455F"/>
    <w:rsid w:val="002775E7"/>
    <w:rsid w:val="00281127"/>
    <w:rsid w:val="0028112C"/>
    <w:rsid w:val="002858B0"/>
    <w:rsid w:val="00293504"/>
    <w:rsid w:val="00293883"/>
    <w:rsid w:val="002938AC"/>
    <w:rsid w:val="00294F9C"/>
    <w:rsid w:val="002A1271"/>
    <w:rsid w:val="002A2B6C"/>
    <w:rsid w:val="002A4D2A"/>
    <w:rsid w:val="002A4F3D"/>
    <w:rsid w:val="002A799A"/>
    <w:rsid w:val="002B04E1"/>
    <w:rsid w:val="002B2161"/>
    <w:rsid w:val="002B652A"/>
    <w:rsid w:val="002C0A42"/>
    <w:rsid w:val="002C2141"/>
    <w:rsid w:val="002C2E46"/>
    <w:rsid w:val="002D06A0"/>
    <w:rsid w:val="002D32F2"/>
    <w:rsid w:val="002D5D15"/>
    <w:rsid w:val="002E0285"/>
    <w:rsid w:val="002E4BD0"/>
    <w:rsid w:val="002F0F73"/>
    <w:rsid w:val="002F1510"/>
    <w:rsid w:val="002F4F77"/>
    <w:rsid w:val="003041B3"/>
    <w:rsid w:val="00304A4C"/>
    <w:rsid w:val="00305583"/>
    <w:rsid w:val="00306B15"/>
    <w:rsid w:val="00310E9A"/>
    <w:rsid w:val="00313361"/>
    <w:rsid w:val="003155FB"/>
    <w:rsid w:val="0031695F"/>
    <w:rsid w:val="00316B05"/>
    <w:rsid w:val="0032541B"/>
    <w:rsid w:val="00326C27"/>
    <w:rsid w:val="00326C37"/>
    <w:rsid w:val="003308BA"/>
    <w:rsid w:val="00330FC3"/>
    <w:rsid w:val="00342F79"/>
    <w:rsid w:val="00347DF5"/>
    <w:rsid w:val="003530A2"/>
    <w:rsid w:val="003547FA"/>
    <w:rsid w:val="0036038C"/>
    <w:rsid w:val="00360C0E"/>
    <w:rsid w:val="00360C50"/>
    <w:rsid w:val="003618ED"/>
    <w:rsid w:val="00362166"/>
    <w:rsid w:val="0036347B"/>
    <w:rsid w:val="003639A3"/>
    <w:rsid w:val="00371782"/>
    <w:rsid w:val="0037540C"/>
    <w:rsid w:val="00375712"/>
    <w:rsid w:val="003773D6"/>
    <w:rsid w:val="00377FAE"/>
    <w:rsid w:val="00384E59"/>
    <w:rsid w:val="00396A0C"/>
    <w:rsid w:val="00397009"/>
    <w:rsid w:val="003A6770"/>
    <w:rsid w:val="003B19C1"/>
    <w:rsid w:val="003B236C"/>
    <w:rsid w:val="003B31F9"/>
    <w:rsid w:val="003B5198"/>
    <w:rsid w:val="003B6BE0"/>
    <w:rsid w:val="003C1591"/>
    <w:rsid w:val="003C2953"/>
    <w:rsid w:val="003C2C68"/>
    <w:rsid w:val="003C521F"/>
    <w:rsid w:val="003C56F1"/>
    <w:rsid w:val="003C7B9F"/>
    <w:rsid w:val="003D232D"/>
    <w:rsid w:val="003D3653"/>
    <w:rsid w:val="003D4005"/>
    <w:rsid w:val="003E44AE"/>
    <w:rsid w:val="003E6AAB"/>
    <w:rsid w:val="003F03A2"/>
    <w:rsid w:val="003F1C8B"/>
    <w:rsid w:val="003F3A79"/>
    <w:rsid w:val="003F420C"/>
    <w:rsid w:val="003F715A"/>
    <w:rsid w:val="00401440"/>
    <w:rsid w:val="0040164D"/>
    <w:rsid w:val="00405F14"/>
    <w:rsid w:val="004068B4"/>
    <w:rsid w:val="00413BB4"/>
    <w:rsid w:val="004158ED"/>
    <w:rsid w:val="00422216"/>
    <w:rsid w:val="00423D4B"/>
    <w:rsid w:val="004267A2"/>
    <w:rsid w:val="00431895"/>
    <w:rsid w:val="00431B02"/>
    <w:rsid w:val="0043339E"/>
    <w:rsid w:val="0043349E"/>
    <w:rsid w:val="00433919"/>
    <w:rsid w:val="004366A4"/>
    <w:rsid w:val="00445396"/>
    <w:rsid w:val="00445E7B"/>
    <w:rsid w:val="00447A65"/>
    <w:rsid w:val="004529C1"/>
    <w:rsid w:val="00460BD7"/>
    <w:rsid w:val="0046410F"/>
    <w:rsid w:val="00484D8E"/>
    <w:rsid w:val="00485E07"/>
    <w:rsid w:val="004863E8"/>
    <w:rsid w:val="00490431"/>
    <w:rsid w:val="00492376"/>
    <w:rsid w:val="004961A4"/>
    <w:rsid w:val="004A0709"/>
    <w:rsid w:val="004A3561"/>
    <w:rsid w:val="004A3945"/>
    <w:rsid w:val="004A7618"/>
    <w:rsid w:val="004B03E6"/>
    <w:rsid w:val="004B23FF"/>
    <w:rsid w:val="004B33CB"/>
    <w:rsid w:val="004B34BF"/>
    <w:rsid w:val="004B446A"/>
    <w:rsid w:val="004C6771"/>
    <w:rsid w:val="004C69CA"/>
    <w:rsid w:val="004D1153"/>
    <w:rsid w:val="004D2B82"/>
    <w:rsid w:val="004D6858"/>
    <w:rsid w:val="004D76DB"/>
    <w:rsid w:val="004F02F3"/>
    <w:rsid w:val="004F2B0F"/>
    <w:rsid w:val="004F6858"/>
    <w:rsid w:val="005001D6"/>
    <w:rsid w:val="00501812"/>
    <w:rsid w:val="0050245C"/>
    <w:rsid w:val="0050583A"/>
    <w:rsid w:val="0051263F"/>
    <w:rsid w:val="0051415B"/>
    <w:rsid w:val="00523926"/>
    <w:rsid w:val="00525FF7"/>
    <w:rsid w:val="00526681"/>
    <w:rsid w:val="0053032E"/>
    <w:rsid w:val="0053115F"/>
    <w:rsid w:val="00541C12"/>
    <w:rsid w:val="00550B51"/>
    <w:rsid w:val="0055100C"/>
    <w:rsid w:val="005529E0"/>
    <w:rsid w:val="005553D3"/>
    <w:rsid w:val="00561285"/>
    <w:rsid w:val="005635D7"/>
    <w:rsid w:val="00563CAC"/>
    <w:rsid w:val="005648E5"/>
    <w:rsid w:val="00567524"/>
    <w:rsid w:val="005701F4"/>
    <w:rsid w:val="00571D10"/>
    <w:rsid w:val="005740FC"/>
    <w:rsid w:val="0058515D"/>
    <w:rsid w:val="005A2CC9"/>
    <w:rsid w:val="005A5B22"/>
    <w:rsid w:val="005A7331"/>
    <w:rsid w:val="005C159F"/>
    <w:rsid w:val="005C38BC"/>
    <w:rsid w:val="005C3EC5"/>
    <w:rsid w:val="005C59E6"/>
    <w:rsid w:val="005D2B25"/>
    <w:rsid w:val="005D6B22"/>
    <w:rsid w:val="005D70F2"/>
    <w:rsid w:val="005E0211"/>
    <w:rsid w:val="005E0B3A"/>
    <w:rsid w:val="005E1F1C"/>
    <w:rsid w:val="005E6E90"/>
    <w:rsid w:val="005F7E32"/>
    <w:rsid w:val="006008D9"/>
    <w:rsid w:val="00603267"/>
    <w:rsid w:val="0060383B"/>
    <w:rsid w:val="00610BFC"/>
    <w:rsid w:val="00612514"/>
    <w:rsid w:val="006214CB"/>
    <w:rsid w:val="0062352C"/>
    <w:rsid w:val="0062726F"/>
    <w:rsid w:val="00630EE0"/>
    <w:rsid w:val="00634227"/>
    <w:rsid w:val="00637A27"/>
    <w:rsid w:val="0065058F"/>
    <w:rsid w:val="00652019"/>
    <w:rsid w:val="00654F42"/>
    <w:rsid w:val="00657010"/>
    <w:rsid w:val="00672EDF"/>
    <w:rsid w:val="006751DD"/>
    <w:rsid w:val="0068028B"/>
    <w:rsid w:val="00680CB1"/>
    <w:rsid w:val="00681AAC"/>
    <w:rsid w:val="00683EC3"/>
    <w:rsid w:val="00684882"/>
    <w:rsid w:val="00685BA6"/>
    <w:rsid w:val="006909B1"/>
    <w:rsid w:val="006919D1"/>
    <w:rsid w:val="0069246C"/>
    <w:rsid w:val="006978F1"/>
    <w:rsid w:val="006A520E"/>
    <w:rsid w:val="006B381A"/>
    <w:rsid w:val="006B634E"/>
    <w:rsid w:val="006B7909"/>
    <w:rsid w:val="006C1DE8"/>
    <w:rsid w:val="006C24C7"/>
    <w:rsid w:val="006C6827"/>
    <w:rsid w:val="006C70B4"/>
    <w:rsid w:val="006E53D3"/>
    <w:rsid w:val="006E566E"/>
    <w:rsid w:val="006F195E"/>
    <w:rsid w:val="00702C33"/>
    <w:rsid w:val="00703635"/>
    <w:rsid w:val="00704BA3"/>
    <w:rsid w:val="007050BD"/>
    <w:rsid w:val="00706D7F"/>
    <w:rsid w:val="007302F3"/>
    <w:rsid w:val="00731C9F"/>
    <w:rsid w:val="00743254"/>
    <w:rsid w:val="00744786"/>
    <w:rsid w:val="00744891"/>
    <w:rsid w:val="0076395C"/>
    <w:rsid w:val="00764E7F"/>
    <w:rsid w:val="00770649"/>
    <w:rsid w:val="00776DA5"/>
    <w:rsid w:val="00776E57"/>
    <w:rsid w:val="00780C77"/>
    <w:rsid w:val="00787A1B"/>
    <w:rsid w:val="00791CB2"/>
    <w:rsid w:val="007A3960"/>
    <w:rsid w:val="007A4AB7"/>
    <w:rsid w:val="007B0747"/>
    <w:rsid w:val="007B1BE7"/>
    <w:rsid w:val="007B23A9"/>
    <w:rsid w:val="007B621C"/>
    <w:rsid w:val="007C2F83"/>
    <w:rsid w:val="007C691F"/>
    <w:rsid w:val="007E14FE"/>
    <w:rsid w:val="007E167C"/>
    <w:rsid w:val="007E3A04"/>
    <w:rsid w:val="007E3DC5"/>
    <w:rsid w:val="007E5292"/>
    <w:rsid w:val="007E643B"/>
    <w:rsid w:val="007F1B48"/>
    <w:rsid w:val="007F2D1F"/>
    <w:rsid w:val="007F37C1"/>
    <w:rsid w:val="007F7BE7"/>
    <w:rsid w:val="008048CC"/>
    <w:rsid w:val="008165D6"/>
    <w:rsid w:val="00822BFE"/>
    <w:rsid w:val="0082322C"/>
    <w:rsid w:val="0082421A"/>
    <w:rsid w:val="008250CD"/>
    <w:rsid w:val="00830054"/>
    <w:rsid w:val="00831CCF"/>
    <w:rsid w:val="00837EBC"/>
    <w:rsid w:val="00842118"/>
    <w:rsid w:val="00852825"/>
    <w:rsid w:val="0085374F"/>
    <w:rsid w:val="00854466"/>
    <w:rsid w:val="00864E75"/>
    <w:rsid w:val="0086569C"/>
    <w:rsid w:val="0086610B"/>
    <w:rsid w:val="00881159"/>
    <w:rsid w:val="00881346"/>
    <w:rsid w:val="00886A23"/>
    <w:rsid w:val="00892239"/>
    <w:rsid w:val="008929EB"/>
    <w:rsid w:val="00895EAC"/>
    <w:rsid w:val="008964EF"/>
    <w:rsid w:val="00896D6A"/>
    <w:rsid w:val="008A3CAC"/>
    <w:rsid w:val="008B49CA"/>
    <w:rsid w:val="008C2237"/>
    <w:rsid w:val="008C2701"/>
    <w:rsid w:val="008D05B8"/>
    <w:rsid w:val="008D50B0"/>
    <w:rsid w:val="008D6E21"/>
    <w:rsid w:val="008D7F15"/>
    <w:rsid w:val="008E0219"/>
    <w:rsid w:val="008E3568"/>
    <w:rsid w:val="008E3BB6"/>
    <w:rsid w:val="008F16E4"/>
    <w:rsid w:val="008F1835"/>
    <w:rsid w:val="008F27D1"/>
    <w:rsid w:val="008F29C5"/>
    <w:rsid w:val="009012F8"/>
    <w:rsid w:val="0090316F"/>
    <w:rsid w:val="0090381C"/>
    <w:rsid w:val="00910B7E"/>
    <w:rsid w:val="0091217D"/>
    <w:rsid w:val="00916B17"/>
    <w:rsid w:val="009353F9"/>
    <w:rsid w:val="00950736"/>
    <w:rsid w:val="009515FE"/>
    <w:rsid w:val="009527A4"/>
    <w:rsid w:val="00953EE9"/>
    <w:rsid w:val="00963876"/>
    <w:rsid w:val="00966B76"/>
    <w:rsid w:val="00967CD6"/>
    <w:rsid w:val="00975A94"/>
    <w:rsid w:val="00975C5C"/>
    <w:rsid w:val="00976942"/>
    <w:rsid w:val="0098126E"/>
    <w:rsid w:val="00986C24"/>
    <w:rsid w:val="009879EE"/>
    <w:rsid w:val="00990F75"/>
    <w:rsid w:val="009940F4"/>
    <w:rsid w:val="009A230E"/>
    <w:rsid w:val="009A384F"/>
    <w:rsid w:val="009A46BF"/>
    <w:rsid w:val="009A79A9"/>
    <w:rsid w:val="009B270D"/>
    <w:rsid w:val="009B7AC2"/>
    <w:rsid w:val="009C075A"/>
    <w:rsid w:val="009C5B9D"/>
    <w:rsid w:val="009D2702"/>
    <w:rsid w:val="009D357D"/>
    <w:rsid w:val="009D4BAD"/>
    <w:rsid w:val="009D5FA3"/>
    <w:rsid w:val="009D61D6"/>
    <w:rsid w:val="009D7EDB"/>
    <w:rsid w:val="009E1F3E"/>
    <w:rsid w:val="009E237C"/>
    <w:rsid w:val="009E3BF3"/>
    <w:rsid w:val="009E5544"/>
    <w:rsid w:val="009E6994"/>
    <w:rsid w:val="009F61A9"/>
    <w:rsid w:val="009F74EF"/>
    <w:rsid w:val="00A03153"/>
    <w:rsid w:val="00A03B8F"/>
    <w:rsid w:val="00A05B9E"/>
    <w:rsid w:val="00A06766"/>
    <w:rsid w:val="00A156B3"/>
    <w:rsid w:val="00A1601A"/>
    <w:rsid w:val="00A175C6"/>
    <w:rsid w:val="00A25FDE"/>
    <w:rsid w:val="00A309C1"/>
    <w:rsid w:val="00A3143B"/>
    <w:rsid w:val="00A326BF"/>
    <w:rsid w:val="00A32A0C"/>
    <w:rsid w:val="00A365BF"/>
    <w:rsid w:val="00A3767A"/>
    <w:rsid w:val="00A41910"/>
    <w:rsid w:val="00A43B1B"/>
    <w:rsid w:val="00A46E25"/>
    <w:rsid w:val="00A52480"/>
    <w:rsid w:val="00A55689"/>
    <w:rsid w:val="00A55B1A"/>
    <w:rsid w:val="00A55CE7"/>
    <w:rsid w:val="00A572CE"/>
    <w:rsid w:val="00A622A2"/>
    <w:rsid w:val="00A67889"/>
    <w:rsid w:val="00A70211"/>
    <w:rsid w:val="00A706F1"/>
    <w:rsid w:val="00A7500D"/>
    <w:rsid w:val="00A772FF"/>
    <w:rsid w:val="00A8483B"/>
    <w:rsid w:val="00A93D44"/>
    <w:rsid w:val="00A967FE"/>
    <w:rsid w:val="00A96F06"/>
    <w:rsid w:val="00AA09EF"/>
    <w:rsid w:val="00AA1DF0"/>
    <w:rsid w:val="00AA7686"/>
    <w:rsid w:val="00AB213C"/>
    <w:rsid w:val="00AB5DAF"/>
    <w:rsid w:val="00AB6B17"/>
    <w:rsid w:val="00AC056C"/>
    <w:rsid w:val="00AC6334"/>
    <w:rsid w:val="00AC6D2E"/>
    <w:rsid w:val="00AD1DBC"/>
    <w:rsid w:val="00AD6A04"/>
    <w:rsid w:val="00AD7147"/>
    <w:rsid w:val="00AE02FA"/>
    <w:rsid w:val="00AE1452"/>
    <w:rsid w:val="00AE3B9F"/>
    <w:rsid w:val="00AF1C54"/>
    <w:rsid w:val="00AF5D1A"/>
    <w:rsid w:val="00AF5DDD"/>
    <w:rsid w:val="00B002DC"/>
    <w:rsid w:val="00B07337"/>
    <w:rsid w:val="00B07B8A"/>
    <w:rsid w:val="00B11474"/>
    <w:rsid w:val="00B11B4C"/>
    <w:rsid w:val="00B13972"/>
    <w:rsid w:val="00B16778"/>
    <w:rsid w:val="00B21A6B"/>
    <w:rsid w:val="00B22EB3"/>
    <w:rsid w:val="00B2792D"/>
    <w:rsid w:val="00B27C50"/>
    <w:rsid w:val="00B27D66"/>
    <w:rsid w:val="00B31B45"/>
    <w:rsid w:val="00B32C0D"/>
    <w:rsid w:val="00B3379C"/>
    <w:rsid w:val="00B37353"/>
    <w:rsid w:val="00B41B53"/>
    <w:rsid w:val="00B424B0"/>
    <w:rsid w:val="00B45CBF"/>
    <w:rsid w:val="00B531CD"/>
    <w:rsid w:val="00B537DC"/>
    <w:rsid w:val="00B56A36"/>
    <w:rsid w:val="00B628B4"/>
    <w:rsid w:val="00B661B6"/>
    <w:rsid w:val="00B72C0A"/>
    <w:rsid w:val="00B74659"/>
    <w:rsid w:val="00B77358"/>
    <w:rsid w:val="00B9536D"/>
    <w:rsid w:val="00B96B87"/>
    <w:rsid w:val="00BA6F91"/>
    <w:rsid w:val="00BB1D9B"/>
    <w:rsid w:val="00BB2E92"/>
    <w:rsid w:val="00BB436B"/>
    <w:rsid w:val="00BC6F6B"/>
    <w:rsid w:val="00BD062F"/>
    <w:rsid w:val="00BD1122"/>
    <w:rsid w:val="00BD582F"/>
    <w:rsid w:val="00BD62E8"/>
    <w:rsid w:val="00BD7A4C"/>
    <w:rsid w:val="00BF762A"/>
    <w:rsid w:val="00C11458"/>
    <w:rsid w:val="00C1219C"/>
    <w:rsid w:val="00C121C5"/>
    <w:rsid w:val="00C13CE7"/>
    <w:rsid w:val="00C150FE"/>
    <w:rsid w:val="00C16672"/>
    <w:rsid w:val="00C16AD9"/>
    <w:rsid w:val="00C17D9D"/>
    <w:rsid w:val="00C2233A"/>
    <w:rsid w:val="00C247EF"/>
    <w:rsid w:val="00C265DE"/>
    <w:rsid w:val="00C4200A"/>
    <w:rsid w:val="00C43DAC"/>
    <w:rsid w:val="00C44324"/>
    <w:rsid w:val="00C47DB2"/>
    <w:rsid w:val="00C5134D"/>
    <w:rsid w:val="00C51681"/>
    <w:rsid w:val="00C52819"/>
    <w:rsid w:val="00C530D8"/>
    <w:rsid w:val="00C63593"/>
    <w:rsid w:val="00C72140"/>
    <w:rsid w:val="00C72E82"/>
    <w:rsid w:val="00C75324"/>
    <w:rsid w:val="00C75F00"/>
    <w:rsid w:val="00C80CC3"/>
    <w:rsid w:val="00C81604"/>
    <w:rsid w:val="00C857DB"/>
    <w:rsid w:val="00C87114"/>
    <w:rsid w:val="00C872EC"/>
    <w:rsid w:val="00C9542F"/>
    <w:rsid w:val="00CA1133"/>
    <w:rsid w:val="00CA2F93"/>
    <w:rsid w:val="00CA535E"/>
    <w:rsid w:val="00CB0DF8"/>
    <w:rsid w:val="00CB4AFB"/>
    <w:rsid w:val="00CB648F"/>
    <w:rsid w:val="00CB68C7"/>
    <w:rsid w:val="00CB7004"/>
    <w:rsid w:val="00CC0280"/>
    <w:rsid w:val="00CC1019"/>
    <w:rsid w:val="00CC1123"/>
    <w:rsid w:val="00CC220E"/>
    <w:rsid w:val="00CD126C"/>
    <w:rsid w:val="00CD1EED"/>
    <w:rsid w:val="00CD3F4A"/>
    <w:rsid w:val="00CE0D52"/>
    <w:rsid w:val="00CE1C03"/>
    <w:rsid w:val="00CE3F03"/>
    <w:rsid w:val="00CE4737"/>
    <w:rsid w:val="00CE694B"/>
    <w:rsid w:val="00CF241A"/>
    <w:rsid w:val="00CF2E28"/>
    <w:rsid w:val="00CF5884"/>
    <w:rsid w:val="00D002ED"/>
    <w:rsid w:val="00D03FC9"/>
    <w:rsid w:val="00D05CD3"/>
    <w:rsid w:val="00D060EA"/>
    <w:rsid w:val="00D108B9"/>
    <w:rsid w:val="00D14469"/>
    <w:rsid w:val="00D22D59"/>
    <w:rsid w:val="00D30A36"/>
    <w:rsid w:val="00D32EC1"/>
    <w:rsid w:val="00D370EF"/>
    <w:rsid w:val="00D37643"/>
    <w:rsid w:val="00D436DE"/>
    <w:rsid w:val="00D469AC"/>
    <w:rsid w:val="00D50EDD"/>
    <w:rsid w:val="00D52A14"/>
    <w:rsid w:val="00D531B8"/>
    <w:rsid w:val="00D5480A"/>
    <w:rsid w:val="00D6200E"/>
    <w:rsid w:val="00D657DF"/>
    <w:rsid w:val="00D7372F"/>
    <w:rsid w:val="00D77741"/>
    <w:rsid w:val="00D77BB7"/>
    <w:rsid w:val="00D8127E"/>
    <w:rsid w:val="00D86B7C"/>
    <w:rsid w:val="00D87620"/>
    <w:rsid w:val="00D925A6"/>
    <w:rsid w:val="00D92D8A"/>
    <w:rsid w:val="00D9429F"/>
    <w:rsid w:val="00D95273"/>
    <w:rsid w:val="00DA2F19"/>
    <w:rsid w:val="00DA58C8"/>
    <w:rsid w:val="00DA757C"/>
    <w:rsid w:val="00DB17AD"/>
    <w:rsid w:val="00DC3092"/>
    <w:rsid w:val="00DC5971"/>
    <w:rsid w:val="00DC720E"/>
    <w:rsid w:val="00DD2856"/>
    <w:rsid w:val="00DD313A"/>
    <w:rsid w:val="00DE14B4"/>
    <w:rsid w:val="00DE66AC"/>
    <w:rsid w:val="00DE6D68"/>
    <w:rsid w:val="00DF0006"/>
    <w:rsid w:val="00DF1751"/>
    <w:rsid w:val="00E14D4B"/>
    <w:rsid w:val="00E20CC5"/>
    <w:rsid w:val="00E23C4E"/>
    <w:rsid w:val="00E23D2C"/>
    <w:rsid w:val="00E24607"/>
    <w:rsid w:val="00E2737D"/>
    <w:rsid w:val="00E30678"/>
    <w:rsid w:val="00E320DD"/>
    <w:rsid w:val="00E3640D"/>
    <w:rsid w:val="00E40F8B"/>
    <w:rsid w:val="00E45287"/>
    <w:rsid w:val="00E47B9C"/>
    <w:rsid w:val="00E53EE1"/>
    <w:rsid w:val="00E5585A"/>
    <w:rsid w:val="00E55CD1"/>
    <w:rsid w:val="00E57AC3"/>
    <w:rsid w:val="00E60B6F"/>
    <w:rsid w:val="00E64980"/>
    <w:rsid w:val="00E663FF"/>
    <w:rsid w:val="00E677EE"/>
    <w:rsid w:val="00E7577C"/>
    <w:rsid w:val="00E8317B"/>
    <w:rsid w:val="00E83734"/>
    <w:rsid w:val="00E8761A"/>
    <w:rsid w:val="00E9058C"/>
    <w:rsid w:val="00E91A0D"/>
    <w:rsid w:val="00E947C6"/>
    <w:rsid w:val="00E95DD4"/>
    <w:rsid w:val="00EA3508"/>
    <w:rsid w:val="00EA4FBB"/>
    <w:rsid w:val="00EB4F8A"/>
    <w:rsid w:val="00EC03FF"/>
    <w:rsid w:val="00EC506D"/>
    <w:rsid w:val="00EC56E7"/>
    <w:rsid w:val="00EC68C8"/>
    <w:rsid w:val="00ED2345"/>
    <w:rsid w:val="00ED6B73"/>
    <w:rsid w:val="00ED7B66"/>
    <w:rsid w:val="00EE3BA1"/>
    <w:rsid w:val="00EE5499"/>
    <w:rsid w:val="00EE6BEF"/>
    <w:rsid w:val="00EF0577"/>
    <w:rsid w:val="00EF7301"/>
    <w:rsid w:val="00EF7A1E"/>
    <w:rsid w:val="00F03CBF"/>
    <w:rsid w:val="00F1410B"/>
    <w:rsid w:val="00F146D2"/>
    <w:rsid w:val="00F208B0"/>
    <w:rsid w:val="00F27C79"/>
    <w:rsid w:val="00F3080D"/>
    <w:rsid w:val="00F32AD7"/>
    <w:rsid w:val="00F32C39"/>
    <w:rsid w:val="00F43262"/>
    <w:rsid w:val="00F53061"/>
    <w:rsid w:val="00F5322C"/>
    <w:rsid w:val="00F630AD"/>
    <w:rsid w:val="00F65367"/>
    <w:rsid w:val="00F67C01"/>
    <w:rsid w:val="00F71BC6"/>
    <w:rsid w:val="00F72535"/>
    <w:rsid w:val="00F7284E"/>
    <w:rsid w:val="00F83216"/>
    <w:rsid w:val="00F857A5"/>
    <w:rsid w:val="00F86614"/>
    <w:rsid w:val="00FA1DE7"/>
    <w:rsid w:val="00FA24C5"/>
    <w:rsid w:val="00FA4865"/>
    <w:rsid w:val="00FA5BBC"/>
    <w:rsid w:val="00FA742E"/>
    <w:rsid w:val="00FC3570"/>
    <w:rsid w:val="00FC6B61"/>
    <w:rsid w:val="00FC737D"/>
    <w:rsid w:val="00FD62B7"/>
    <w:rsid w:val="00FE013B"/>
    <w:rsid w:val="00FE5D94"/>
    <w:rsid w:val="00FF0E1F"/>
    <w:rsid w:val="00FF1118"/>
    <w:rsid w:val="00FF4B04"/>
    <w:rsid w:val="026A31E6"/>
    <w:rsid w:val="0291E77B"/>
    <w:rsid w:val="03B3F688"/>
    <w:rsid w:val="03B5718E"/>
    <w:rsid w:val="04DDED36"/>
    <w:rsid w:val="053870F9"/>
    <w:rsid w:val="06337171"/>
    <w:rsid w:val="0652554C"/>
    <w:rsid w:val="06622C58"/>
    <w:rsid w:val="0864BB0B"/>
    <w:rsid w:val="0868FAD1"/>
    <w:rsid w:val="09875236"/>
    <w:rsid w:val="0A512925"/>
    <w:rsid w:val="0B3BC1C0"/>
    <w:rsid w:val="0BCAB118"/>
    <w:rsid w:val="0EAC2440"/>
    <w:rsid w:val="0EB5CA55"/>
    <w:rsid w:val="0EC737D6"/>
    <w:rsid w:val="0F13358A"/>
    <w:rsid w:val="112E6130"/>
    <w:rsid w:val="11A1FD0F"/>
    <w:rsid w:val="1203FE73"/>
    <w:rsid w:val="149362FE"/>
    <w:rsid w:val="1605C048"/>
    <w:rsid w:val="1698DF54"/>
    <w:rsid w:val="17A58F16"/>
    <w:rsid w:val="1967C145"/>
    <w:rsid w:val="19B03206"/>
    <w:rsid w:val="1A3810D8"/>
    <w:rsid w:val="1B575984"/>
    <w:rsid w:val="1DAA6BA5"/>
    <w:rsid w:val="1E15C185"/>
    <w:rsid w:val="1E66912E"/>
    <w:rsid w:val="1F8FDFAA"/>
    <w:rsid w:val="1FBCD600"/>
    <w:rsid w:val="2079C2B5"/>
    <w:rsid w:val="207B809E"/>
    <w:rsid w:val="20BCE6C0"/>
    <w:rsid w:val="20EA7F58"/>
    <w:rsid w:val="2159EB16"/>
    <w:rsid w:val="2450FCBB"/>
    <w:rsid w:val="25943446"/>
    <w:rsid w:val="25E5C4F5"/>
    <w:rsid w:val="27B56887"/>
    <w:rsid w:val="27F23B26"/>
    <w:rsid w:val="287E78B5"/>
    <w:rsid w:val="28884542"/>
    <w:rsid w:val="28E13F85"/>
    <w:rsid w:val="2B8F8FA0"/>
    <w:rsid w:val="2C00702F"/>
    <w:rsid w:val="2C43983D"/>
    <w:rsid w:val="2D1B7F8F"/>
    <w:rsid w:val="2F2267C9"/>
    <w:rsid w:val="2F79188A"/>
    <w:rsid w:val="2F9A8C29"/>
    <w:rsid w:val="30AE5D53"/>
    <w:rsid w:val="3138BA65"/>
    <w:rsid w:val="315BBB68"/>
    <w:rsid w:val="317E6C41"/>
    <w:rsid w:val="3247DC87"/>
    <w:rsid w:val="324AC9E3"/>
    <w:rsid w:val="32F4564D"/>
    <w:rsid w:val="3319AB21"/>
    <w:rsid w:val="3377C698"/>
    <w:rsid w:val="33A78E65"/>
    <w:rsid w:val="33F5F04A"/>
    <w:rsid w:val="34881B63"/>
    <w:rsid w:val="367F2DCB"/>
    <w:rsid w:val="37CC7084"/>
    <w:rsid w:val="37E0D138"/>
    <w:rsid w:val="39841D07"/>
    <w:rsid w:val="39F90D36"/>
    <w:rsid w:val="3A941925"/>
    <w:rsid w:val="3B471AA4"/>
    <w:rsid w:val="3D38855E"/>
    <w:rsid w:val="405139D0"/>
    <w:rsid w:val="414FE0CB"/>
    <w:rsid w:val="419CB0A5"/>
    <w:rsid w:val="42208F99"/>
    <w:rsid w:val="4226CDE3"/>
    <w:rsid w:val="43475A19"/>
    <w:rsid w:val="446B420B"/>
    <w:rsid w:val="46981135"/>
    <w:rsid w:val="46B57020"/>
    <w:rsid w:val="4825AF66"/>
    <w:rsid w:val="48745260"/>
    <w:rsid w:val="49369517"/>
    <w:rsid w:val="497A1B7A"/>
    <w:rsid w:val="497A1EAA"/>
    <w:rsid w:val="4A5E875D"/>
    <w:rsid w:val="4C9B2397"/>
    <w:rsid w:val="4CE49CBC"/>
    <w:rsid w:val="4E2D1F22"/>
    <w:rsid w:val="4F1AAECF"/>
    <w:rsid w:val="4F50E1F1"/>
    <w:rsid w:val="5041EE58"/>
    <w:rsid w:val="50966878"/>
    <w:rsid w:val="50F722BC"/>
    <w:rsid w:val="51039889"/>
    <w:rsid w:val="516CED5D"/>
    <w:rsid w:val="51D5A518"/>
    <w:rsid w:val="52BAA84D"/>
    <w:rsid w:val="53F920AB"/>
    <w:rsid w:val="54D49F25"/>
    <w:rsid w:val="54FA655E"/>
    <w:rsid w:val="5575950C"/>
    <w:rsid w:val="55EA93A4"/>
    <w:rsid w:val="5742BD96"/>
    <w:rsid w:val="57C74607"/>
    <w:rsid w:val="58E91D95"/>
    <w:rsid w:val="5904220A"/>
    <w:rsid w:val="5939B2EE"/>
    <w:rsid w:val="5972A86C"/>
    <w:rsid w:val="5A45C4D1"/>
    <w:rsid w:val="5AE2E198"/>
    <w:rsid w:val="5B15F62F"/>
    <w:rsid w:val="5B311C45"/>
    <w:rsid w:val="5C21C9F4"/>
    <w:rsid w:val="5C32288F"/>
    <w:rsid w:val="5CCBB49F"/>
    <w:rsid w:val="5DA6FA35"/>
    <w:rsid w:val="5DE101DE"/>
    <w:rsid w:val="5DE48FD3"/>
    <w:rsid w:val="5EB1111C"/>
    <w:rsid w:val="5EE0881D"/>
    <w:rsid w:val="5EF7DB46"/>
    <w:rsid w:val="5F9618B3"/>
    <w:rsid w:val="5F97D7F9"/>
    <w:rsid w:val="612ACBCB"/>
    <w:rsid w:val="617875E8"/>
    <w:rsid w:val="62E163CB"/>
    <w:rsid w:val="6409CE2A"/>
    <w:rsid w:val="648054FF"/>
    <w:rsid w:val="659D5408"/>
    <w:rsid w:val="66232E7B"/>
    <w:rsid w:val="66673C76"/>
    <w:rsid w:val="6669C895"/>
    <w:rsid w:val="66A60DFA"/>
    <w:rsid w:val="679E9A08"/>
    <w:rsid w:val="67D542FE"/>
    <w:rsid w:val="681BE58C"/>
    <w:rsid w:val="6945C4DE"/>
    <w:rsid w:val="69DFB077"/>
    <w:rsid w:val="6A0BEDA4"/>
    <w:rsid w:val="6A687911"/>
    <w:rsid w:val="6A8003B5"/>
    <w:rsid w:val="6BE29896"/>
    <w:rsid w:val="6C20426B"/>
    <w:rsid w:val="6D180890"/>
    <w:rsid w:val="6D4BF162"/>
    <w:rsid w:val="6E01CFC7"/>
    <w:rsid w:val="6EA0D6D1"/>
    <w:rsid w:val="6EAD1750"/>
    <w:rsid w:val="708B6532"/>
    <w:rsid w:val="70936C84"/>
    <w:rsid w:val="70EF3596"/>
    <w:rsid w:val="715F5775"/>
    <w:rsid w:val="71C247B8"/>
    <w:rsid w:val="7202CCC7"/>
    <w:rsid w:val="73304E8B"/>
    <w:rsid w:val="73C9D25D"/>
    <w:rsid w:val="7572D207"/>
    <w:rsid w:val="75A37D49"/>
    <w:rsid w:val="76476774"/>
    <w:rsid w:val="767E30B4"/>
    <w:rsid w:val="768FBD72"/>
    <w:rsid w:val="76B536E2"/>
    <w:rsid w:val="784CDA90"/>
    <w:rsid w:val="794E0728"/>
    <w:rsid w:val="798C46F2"/>
    <w:rsid w:val="799180CE"/>
    <w:rsid w:val="79C2518F"/>
    <w:rsid w:val="7AEB0D5F"/>
    <w:rsid w:val="7AF99E23"/>
    <w:rsid w:val="7B3CE2DD"/>
    <w:rsid w:val="7BDB9A71"/>
    <w:rsid w:val="7EDA2DEB"/>
    <w:rsid w:val="7F14CD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C82DB"/>
  <w15:chartTrackingRefBased/>
  <w15:docId w15:val="{C70E9C22-883E-42FE-95BB-EA2A9232F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529E0"/>
    <w:pPr>
      <w:keepNext/>
      <w:keepLines/>
      <w:spacing w:before="240" w:after="0"/>
      <w:outlineLvl w:val="0"/>
    </w:pPr>
    <w:rPr>
      <w:rFonts w:asciiTheme="majorHAnsi" w:hAnsiTheme="majorHAnsi" w:eastAsiaTheme="majorEastAsia" w:cstheme="majorBidi"/>
      <w:color w:val="39215B" w:themeColor="accent1" w:themeShade="BF"/>
      <w:sz w:val="32"/>
      <w:szCs w:val="32"/>
    </w:rPr>
  </w:style>
  <w:style w:type="paragraph" w:styleId="Heading2">
    <w:name w:val="heading 2"/>
    <w:basedOn w:val="Normal"/>
    <w:next w:val="Normal"/>
    <w:link w:val="Heading2Char"/>
    <w:uiPriority w:val="9"/>
    <w:unhideWhenUsed/>
    <w:qFormat/>
    <w:rsid w:val="002A4D2A"/>
    <w:pPr>
      <w:keepNext/>
      <w:keepLines/>
      <w:spacing w:before="40" w:after="0"/>
      <w:outlineLvl w:val="1"/>
    </w:pPr>
    <w:rPr>
      <w:rFonts w:asciiTheme="majorHAnsi" w:hAnsiTheme="majorHAnsi" w:eastAsiaTheme="majorEastAsia" w:cstheme="majorBidi"/>
      <w:color w:val="39215B" w:themeColor="accent1" w:themeShade="BF"/>
      <w:sz w:val="26"/>
      <w:szCs w:val="26"/>
    </w:rPr>
  </w:style>
  <w:style w:type="paragraph" w:styleId="Heading3">
    <w:name w:val="heading 3"/>
    <w:basedOn w:val="Normal"/>
    <w:next w:val="Normal"/>
    <w:link w:val="Heading3Char"/>
    <w:uiPriority w:val="9"/>
    <w:unhideWhenUsed/>
    <w:qFormat/>
    <w:rsid w:val="00181DB4"/>
    <w:pPr>
      <w:keepNext/>
      <w:keepLines/>
      <w:spacing w:before="40" w:after="0"/>
      <w:outlineLvl w:val="2"/>
    </w:pPr>
    <w:rPr>
      <w:rFonts w:asciiTheme="majorHAnsi" w:hAnsiTheme="majorHAnsi" w:eastAsiaTheme="majorEastAsia" w:cstheme="majorBidi"/>
      <w:color w:val="26163C"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D313A"/>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313A"/>
  </w:style>
  <w:style w:type="paragraph" w:styleId="Footer">
    <w:name w:val="footer"/>
    <w:basedOn w:val="Normal"/>
    <w:link w:val="FooterChar"/>
    <w:uiPriority w:val="99"/>
    <w:unhideWhenUsed/>
    <w:rsid w:val="00AF5DDD"/>
    <w:pPr>
      <w:tabs>
        <w:tab w:val="center" w:pos="4513"/>
        <w:tab w:val="right" w:pos="9026"/>
      </w:tabs>
      <w:spacing w:after="0" w:line="240" w:lineRule="auto"/>
    </w:pPr>
  </w:style>
  <w:style w:type="character" w:styleId="FooterChar" w:customStyle="1">
    <w:name w:val="Footer Char"/>
    <w:basedOn w:val="DefaultParagraphFont"/>
    <w:link w:val="Footer"/>
    <w:uiPriority w:val="99"/>
    <w:rsid w:val="00AF5DDD"/>
  </w:style>
  <w:style w:type="character" w:styleId="Heading1Char" w:customStyle="1">
    <w:name w:val="Heading 1 Char"/>
    <w:basedOn w:val="DefaultParagraphFont"/>
    <w:link w:val="Heading1"/>
    <w:uiPriority w:val="9"/>
    <w:rsid w:val="005529E0"/>
    <w:rPr>
      <w:rFonts w:asciiTheme="majorHAnsi" w:hAnsiTheme="majorHAnsi" w:eastAsiaTheme="majorEastAsia" w:cstheme="majorBidi"/>
      <w:color w:val="39215B" w:themeColor="accent1" w:themeShade="BF"/>
      <w:sz w:val="32"/>
      <w:szCs w:val="32"/>
    </w:rPr>
  </w:style>
  <w:style w:type="character" w:styleId="Heading2Char" w:customStyle="1">
    <w:name w:val="Heading 2 Char"/>
    <w:basedOn w:val="DefaultParagraphFont"/>
    <w:link w:val="Heading2"/>
    <w:uiPriority w:val="9"/>
    <w:rsid w:val="002A4D2A"/>
    <w:rPr>
      <w:rFonts w:asciiTheme="majorHAnsi" w:hAnsiTheme="majorHAnsi" w:eastAsiaTheme="majorEastAsia" w:cstheme="majorBidi"/>
      <w:color w:val="39215B" w:themeColor="accent1" w:themeShade="BF"/>
      <w:sz w:val="26"/>
      <w:szCs w:val="26"/>
    </w:rPr>
  </w:style>
  <w:style w:type="character" w:styleId="CommentReference">
    <w:name w:val="annotation reference"/>
    <w:basedOn w:val="DefaultParagraphFont"/>
    <w:uiPriority w:val="99"/>
    <w:semiHidden/>
    <w:unhideWhenUsed/>
    <w:rsid w:val="002A1271"/>
    <w:rPr>
      <w:sz w:val="16"/>
      <w:szCs w:val="16"/>
    </w:rPr>
  </w:style>
  <w:style w:type="paragraph" w:styleId="CommentText">
    <w:name w:val="annotation text"/>
    <w:basedOn w:val="Normal"/>
    <w:link w:val="CommentTextChar"/>
    <w:uiPriority w:val="99"/>
    <w:unhideWhenUsed/>
    <w:rsid w:val="002A1271"/>
    <w:pPr>
      <w:spacing w:line="240" w:lineRule="auto"/>
    </w:pPr>
    <w:rPr>
      <w:sz w:val="20"/>
      <w:szCs w:val="20"/>
    </w:rPr>
  </w:style>
  <w:style w:type="character" w:styleId="CommentTextChar" w:customStyle="1">
    <w:name w:val="Comment Text Char"/>
    <w:basedOn w:val="DefaultParagraphFont"/>
    <w:link w:val="CommentText"/>
    <w:uiPriority w:val="99"/>
    <w:rsid w:val="002A1271"/>
    <w:rPr>
      <w:sz w:val="20"/>
      <w:szCs w:val="20"/>
    </w:rPr>
  </w:style>
  <w:style w:type="paragraph" w:styleId="CommentSubject">
    <w:name w:val="annotation subject"/>
    <w:basedOn w:val="CommentText"/>
    <w:next w:val="CommentText"/>
    <w:link w:val="CommentSubjectChar"/>
    <w:uiPriority w:val="99"/>
    <w:semiHidden/>
    <w:unhideWhenUsed/>
    <w:rsid w:val="002A1271"/>
    <w:rPr>
      <w:b/>
      <w:bCs/>
    </w:rPr>
  </w:style>
  <w:style w:type="character" w:styleId="CommentSubjectChar" w:customStyle="1">
    <w:name w:val="Comment Subject Char"/>
    <w:basedOn w:val="CommentTextChar"/>
    <w:link w:val="CommentSubject"/>
    <w:uiPriority w:val="99"/>
    <w:semiHidden/>
    <w:rsid w:val="002A1271"/>
    <w:rPr>
      <w:b/>
      <w:bCs/>
      <w:sz w:val="20"/>
      <w:szCs w:val="20"/>
    </w:rPr>
  </w:style>
  <w:style w:type="character" w:styleId="Mention">
    <w:name w:val="Mention"/>
    <w:basedOn w:val="DefaultParagraphFont"/>
    <w:uiPriority w:val="99"/>
    <w:unhideWhenUsed/>
    <w:rsid w:val="002A1271"/>
    <w:rPr>
      <w:color w:val="2B579A"/>
      <w:shd w:val="clear" w:color="auto" w:fill="E1DFDD"/>
    </w:rPr>
  </w:style>
  <w:style w:type="character" w:styleId="Hyperlink">
    <w:name w:val="Hyperlink"/>
    <w:basedOn w:val="DefaultParagraphFont"/>
    <w:uiPriority w:val="99"/>
    <w:unhideWhenUsed/>
    <w:rsid w:val="00525FF7"/>
    <w:rPr>
      <w:color w:val="467886"/>
      <w:u w:val="single"/>
    </w:rPr>
  </w:style>
  <w:style w:type="paragraph" w:styleId="ListParagraph">
    <w:name w:val="List Paragraph"/>
    <w:basedOn w:val="Normal"/>
    <w:uiPriority w:val="34"/>
    <w:qFormat/>
    <w:rsid w:val="00525FF7"/>
    <w:pPr>
      <w:ind w:left="720"/>
      <w:contextualSpacing/>
    </w:pPr>
  </w:style>
  <w:style w:type="character" w:styleId="normaltextrun" w:customStyle="1">
    <w:name w:val="normaltextrun"/>
    <w:basedOn w:val="DefaultParagraphFont"/>
    <w:rsid w:val="00A706F1"/>
  </w:style>
  <w:style w:type="character" w:styleId="Heading3Char" w:customStyle="1">
    <w:name w:val="Heading 3 Char"/>
    <w:basedOn w:val="DefaultParagraphFont"/>
    <w:link w:val="Heading3"/>
    <w:uiPriority w:val="9"/>
    <w:rsid w:val="00181DB4"/>
    <w:rPr>
      <w:rFonts w:asciiTheme="majorHAnsi" w:hAnsiTheme="majorHAnsi" w:eastAsiaTheme="majorEastAsia" w:cstheme="majorBidi"/>
      <w:color w:val="26163C" w:themeColor="accent1" w:themeShade="7F"/>
    </w:rPr>
  </w:style>
  <w:style w:type="paragraph" w:styleId="TOCHeading">
    <w:name w:val="TOC Heading"/>
    <w:basedOn w:val="Heading1"/>
    <w:next w:val="Normal"/>
    <w:uiPriority w:val="39"/>
    <w:unhideWhenUsed/>
    <w:qFormat/>
    <w:rsid w:val="00FE5D94"/>
    <w:pPr>
      <w:spacing w:line="259" w:lineRule="auto"/>
      <w:outlineLvl w:val="9"/>
    </w:pPr>
    <w:rPr>
      <w:lang w:eastAsia="en-US"/>
    </w:rPr>
  </w:style>
  <w:style w:type="paragraph" w:styleId="TOC1">
    <w:name w:val="toc 1"/>
    <w:basedOn w:val="Normal"/>
    <w:next w:val="Normal"/>
    <w:autoRedefine/>
    <w:uiPriority w:val="39"/>
    <w:unhideWhenUsed/>
    <w:rsid w:val="00FE5D94"/>
    <w:pPr>
      <w:spacing w:after="100"/>
    </w:pPr>
  </w:style>
  <w:style w:type="paragraph" w:styleId="TOC2">
    <w:name w:val="toc 2"/>
    <w:basedOn w:val="Normal"/>
    <w:next w:val="Normal"/>
    <w:autoRedefine/>
    <w:uiPriority w:val="39"/>
    <w:unhideWhenUsed/>
    <w:rsid w:val="00FE5D94"/>
    <w:pPr>
      <w:spacing w:after="100"/>
      <w:ind w:left="240"/>
    </w:pPr>
  </w:style>
  <w:style w:type="paragraph" w:styleId="TOC3">
    <w:name w:val="toc 3"/>
    <w:basedOn w:val="Normal"/>
    <w:next w:val="Normal"/>
    <w:autoRedefine/>
    <w:uiPriority w:val="39"/>
    <w:unhideWhenUsed/>
    <w:rsid w:val="00FE5D94"/>
    <w:pPr>
      <w:spacing w:after="100"/>
      <w:ind w:left="480"/>
    </w:pPr>
  </w:style>
  <w:style w:type="character" w:styleId="FollowedHyperlink">
    <w:name w:val="FollowedHyperlink"/>
    <w:basedOn w:val="DefaultParagraphFont"/>
    <w:uiPriority w:val="99"/>
    <w:semiHidden/>
    <w:unhideWhenUsed/>
    <w:rsid w:val="00892239"/>
    <w:rPr>
      <w:color w:val="954F72" w:themeColor="followedHyperlink"/>
      <w:u w:val="single"/>
    </w:rPr>
  </w:style>
  <w:style w:type="paragraph" w:styleId="Title">
    <w:name w:val="Title"/>
    <w:basedOn w:val="Normal"/>
    <w:next w:val="Normal"/>
    <w:link w:val="TitleChar"/>
    <w:uiPriority w:val="10"/>
    <w:qFormat/>
    <w:rsid w:val="00892239"/>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92239"/>
    <w:rPr>
      <w:rFonts w:asciiTheme="majorHAnsi" w:hAnsiTheme="majorHAnsi" w:eastAsiaTheme="majorEastAs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ashingtongroup-disability.com/question-sets/wg-short-set-on-functioning-wg-ss/" TargetMode="External" Id="rId13" /><Relationship Type="http://schemas.openxmlformats.org/officeDocument/2006/relationships/hyperlink" Target="https://data.unicef.org/resources/guidance-note-on-integrating-the-module-on-child-functioning-in-demographic-and-health-surveys/" TargetMode="External" Id="rId18" /><Relationship Type="http://schemas.openxmlformats.org/officeDocument/2006/relationships/hyperlink" Target="https://www.msd.govt.nz/about-msd-and-our-work/publications-resources/statistics/housing/housing-register.html" TargetMode="External" Id="rId26" /><Relationship Type="http://schemas.openxmlformats.org/officeDocument/2006/relationships/customXml" Target="../customXml/item3.xml" Id="rId3" /><Relationship Type="http://schemas.openxmlformats.org/officeDocument/2006/relationships/hyperlink" Target="https://www.stats.govt.nz/information-releases/household-income-and-housing-cost-statistics-year-ended-june-2025/" TargetMode="External" Id="rId21" /><Relationship Type="http://schemas.openxmlformats.org/officeDocument/2006/relationships/header" Target="header3.xml" Id="rId34" /><Relationship Type="http://schemas.openxmlformats.org/officeDocument/2006/relationships/styles" Target="styles.xml" Id="rId7" /><Relationship Type="http://schemas.openxmlformats.org/officeDocument/2006/relationships/hyperlink" Target="https://www.whaikaha.govt.nz/resources/guidance-and-advice/resources-for-communities-and-educators/the-washington-group-short-set-of-questions-on-functioning" TargetMode="External" Id="rId12" /><Relationship Type="http://schemas.openxmlformats.org/officeDocument/2006/relationships/hyperlink" Target="https://data.unicef.org/topic/child-disability/data-collection-tools/module-on-child-functioning/" TargetMode="External" Id="rId17" /><Relationship Type="http://schemas.openxmlformats.org/officeDocument/2006/relationships/hyperlink" Target="https://www.hqsc.govt.nz/our-data/patient-reported-measures/patient-experience/" TargetMode="External" Id="rId25"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hyperlink" Target="https://www.washingtongroup-disability.com/question-sets/wg-unicef-child-functioning-module-cfm/" TargetMode="External" Id="rId16" /><Relationship Type="http://schemas.openxmlformats.org/officeDocument/2006/relationships/hyperlink" Target="https://www.stats.govt.nz/information-releases/wellbeing-statistics-2023/" TargetMode="External" Id="rId20" /><Relationship Type="http://schemas.openxmlformats.org/officeDocument/2006/relationships/hyperlink" Target="https://www.health.govt.nz/monitoring-statistics/surveys/new-zealand-health-survey"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stats.govt.nz/information-releases/labour-market-statistics-june-2025-quarter/" TargetMode="External" Id="rId24" /><Relationship Type="http://schemas.openxmlformats.org/officeDocument/2006/relationships/header" Target="header2.xml" Id="rId32" /><Relationship Type="http://schemas.openxmlformats.org/officeDocument/2006/relationships/customXml" Target="../customXml/item5.xml" Id="rId5" /><Relationship Type="http://schemas.openxmlformats.org/officeDocument/2006/relationships/hyperlink" Target="https://www.washingtongroup-disability.com/question-sets/wg-short-set-on-functioning-enhanced-wg-ss-enhanced/" TargetMode="External" Id="rId15" /><Relationship Type="http://schemas.openxmlformats.org/officeDocument/2006/relationships/hyperlink" Target="https://www.stats.govt.nz/information-releases/household-income-and-housing-cost-statistics-year-ended-june-2024/" TargetMode="External" Id="rId23" /><Relationship Type="http://schemas.openxmlformats.org/officeDocument/2006/relationships/hyperlink" Target="https://www.justice.govt.nz/justice-sector-policy/research-data/nzcvs/" TargetMode="External" Id="rId28" /><Relationship Type="http://schemas.openxmlformats.org/officeDocument/2006/relationships/theme" Target="theme/theme1.xml" Id="rId36" /><Relationship Type="http://schemas.openxmlformats.org/officeDocument/2006/relationships/footnotes" Target="footnotes.xml" Id="rId10" /><Relationship Type="http://schemas.openxmlformats.org/officeDocument/2006/relationships/hyperlink" Target="https://www.stats.govt.nz/2023-census/" TargetMode="External" Id="rId19" /><Relationship Type="http://schemas.openxmlformats.org/officeDocument/2006/relationships/header" Target="header1.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who.int/standards/classifications/international-classification-of-functioning-disability-and-health" TargetMode="External" Id="rId14" /><Relationship Type="http://schemas.openxmlformats.org/officeDocument/2006/relationships/hyperlink" Target="https://www.stats.govt.nz/information-releases/child-poverty-statistics-year-ended-june-2025/" TargetMode="External" Id="rId22" /><Relationship Type="http://schemas.openxmlformats.org/officeDocument/2006/relationships/hyperlink" Target="https://www.msd.govt.nz/about-msd-and-our-work/publications-resources/statistics/housing/transfer-register.html" TargetMode="External" Id="rId27" /><Relationship Type="http://schemas.openxmlformats.org/officeDocument/2006/relationships/hyperlink" Target="https://www.msd.govt.nz/about-msd-and-our-work/publications-resources/consultations/youth-health-and-wellbeing-survey-results/index.html" TargetMode="External" Id="rId30" /><Relationship Type="http://schemas.openxmlformats.org/officeDocument/2006/relationships/fontTable" Target="fontTable.xml" Id="rId35" /><Relationship Type="http://schemas.openxmlformats.org/officeDocument/2006/relationships/settings" Target="settings.xml" Id="rId8" /></Relationships>
</file>

<file path=word/theme/theme1.xml><?xml version="1.0" encoding="utf-8"?>
<a:theme xmlns:a="http://schemas.openxmlformats.org/drawingml/2006/main" xmlns:thm15="http://schemas.microsoft.com/office/thememl/2012/main" name="Whaikaha">
  <a:themeElements>
    <a:clrScheme name="whaikaha2">
      <a:dk1>
        <a:srgbClr val="000000"/>
      </a:dk1>
      <a:lt1>
        <a:srgbClr val="FFFFFF"/>
      </a:lt1>
      <a:dk2>
        <a:srgbClr val="253E51"/>
      </a:dk2>
      <a:lt2>
        <a:srgbClr val="F4F5E0"/>
      </a:lt2>
      <a:accent1>
        <a:srgbClr val="4D2D7A"/>
      </a:accent1>
      <a:accent2>
        <a:srgbClr val="D4D17B"/>
      </a:accent2>
      <a:accent3>
        <a:srgbClr val="C7DCFF"/>
      </a:accent3>
      <a:accent4>
        <a:srgbClr val="FBFFA6"/>
      </a:accent4>
      <a:accent5>
        <a:srgbClr val="322950"/>
      </a:accent5>
      <a:accent6>
        <a:srgbClr val="E7E6E6"/>
      </a:accent6>
      <a:hlink>
        <a:srgbClr val="0563C1"/>
      </a:hlink>
      <a:folHlink>
        <a:srgbClr val="954F72"/>
      </a:folHlink>
    </a:clrScheme>
    <a:fontScheme name="Whaikaha main">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Whaikaha" id="{2598CDEB-963F-4818-87EC-C2F5C1380990}" vid="{EC183075-F6B3-4796-9A61-6B95978A64F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f17ac-3aa9-4118-aa0c-6f3fb024fe8b">INFO-952724834-4714</_dlc_DocId>
    <TaxCatchAll xmlns="71cf17ac-3aa9-4118-aa0c-6f3fb024fe8b">
      <Value>10</Value>
    </TaxCatchAll>
    <i0f84bba906045b4af568ee102a52dcb xmlns="71cf17ac-3aa9-4118-aa0c-6f3fb024fe8b">
      <Terms xmlns="http://schemas.microsoft.com/office/infopath/2007/PartnerControls">
        <TermInfo xmlns="http://schemas.microsoft.com/office/infopath/2007/PartnerControls">
          <TermName xmlns="http://schemas.microsoft.com/office/infopath/2007/PartnerControls">BUSINESS UNIT MANAGEMENT</TermName>
          <TermId xmlns="http://schemas.microsoft.com/office/infopath/2007/PartnerControls">78593d4a-e474-4f8c-9c40-8861e4397df9</TermId>
        </TermInfo>
      </Terms>
    </i0f84bba906045b4af568ee102a52dcb>
    <_dlc_DocIdUrl xmlns="71cf17ac-3aa9-4118-aa0c-6f3fb024fe8b">
      <Url>https://msdgovtnz.sharepoint.com/sites/whaikaha-ORG-Data-and-Insights-Team/_layouts/15/DocIdRedir.aspx?ID=INFO-952724834-4714</Url>
      <Description>INFO-952724834-4714</Description>
    </_dlc_DocIdUrl>
    <DatePublished xmlns="741b2568-daee-436e-a9d4-dd85aba4bf11" xsi:nil="true"/>
    <PublishedBy xmlns="741b2568-daee-436e-a9d4-dd85aba4bf11" xsi:nil="true"/>
    <lcf76f155ced4ddcb4097134ff3c332f xmlns="741b2568-daee-436e-a9d4-dd85aba4bf11">
      <Terms xmlns="http://schemas.microsoft.com/office/infopath/2007/PartnerControls"/>
    </lcf76f155ced4ddcb4097134ff3c332f>
    <LinktoWebsite xmlns="741b2568-daee-436e-a9d4-dd85aba4bf11">
      <Url xsi:nil="true"/>
      <Description xsi:nil="true"/>
    </LinktoWebsite>
    <Focusarea xmlns="741b2568-daee-436e-a9d4-dd85aba4bf11" xsi:nil="true"/>
    <Youtubeurl xmlns="741b2568-daee-436e-a9d4-dd85aba4bf11" xsi:nil="true"/>
    <Topics xmlns="741b2568-daee-436e-a9d4-dd85aba4bf11" xsi:nil="true"/>
    <Category xmlns="741b2568-daee-436e-a9d4-dd85aba4bf11" xsi:nil="true"/>
    <YouTubecode xmlns="741b2568-daee-436e-a9d4-dd85aba4bf1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EAEAAD890E3A14E9AE970EC1859A780" ma:contentTypeVersion="25" ma:contentTypeDescription="Create a new document." ma:contentTypeScope="" ma:versionID="3b1062655aae3129e72870bdf5e0481d">
  <xsd:schema xmlns:xsd="http://www.w3.org/2001/XMLSchema" xmlns:xs="http://www.w3.org/2001/XMLSchema" xmlns:p="http://schemas.microsoft.com/office/2006/metadata/properties" xmlns:ns2="71cf17ac-3aa9-4118-aa0c-6f3fb024fe8b" xmlns:ns3="741b2568-daee-436e-a9d4-dd85aba4bf11" targetNamespace="http://schemas.microsoft.com/office/2006/metadata/properties" ma:root="true" ma:fieldsID="29f3b5b762adef6c7b0765099a7e68ad" ns2:_="" ns3:_="">
    <xsd:import namespace="71cf17ac-3aa9-4118-aa0c-6f3fb024fe8b"/>
    <xsd:import namespace="741b2568-daee-436e-a9d4-dd85aba4bf1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Focusarea" minOccurs="0"/>
                <xsd:element ref="ns3:DatePublished" minOccurs="0"/>
                <xsd:element ref="ns3:PublishedBy" minOccurs="0"/>
                <xsd:element ref="ns3:LinktoWebsite" minOccurs="0"/>
                <xsd:element ref="ns3:Topics" minOccurs="0"/>
                <xsd:element ref="ns3:Category" minOccurs="0"/>
                <xsd:element ref="ns2:i0f84bba906045b4af568ee102a52dcb" minOccurs="0"/>
                <xsd:element ref="ns3:YouTubecode" minOccurs="0"/>
                <xsd:element ref="ns3:Youtub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f17ac-3aa9-4118-aa0c-6f3fb024fe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46a3e4a-f51a-4079-a0e2-0e4a71faf5ad}" ma:internalName="TaxCatchAll" ma:showField="CatchAllData" ma:web="71cf17ac-3aa9-4118-aa0c-6f3fb024fe8b">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32" nillable="true" ma:taxonomy="true" ma:internalName="i0f84bba906045b4af568ee102a52dcb" ma:taxonomyFieldName="RevIMBCS" ma:displayName="AvePoint Classification" ma:indexed="true" ma:default="10;#BUSINESS UNIT MANAGEMENT|78593d4a-e474-4f8c-9c40-8861e4397df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1b2568-daee-436e-a9d4-dd85aba4bf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Focusarea" ma:index="25" nillable="true" ma:displayName="Focus area" ma:format="Dropdown" ma:internalName="Focusarea">
      <xsd:complexType>
        <xsd:complexContent>
          <xsd:extension base="dms:MultiChoice">
            <xsd:sequence>
              <xsd:element name="Value" maxOccurs="unbounded" minOccurs="0" nillable="true">
                <xsd:simpleType>
                  <xsd:restriction base="dms:Choice">
                    <xsd:enumeration value="Housing"/>
                    <xsd:enumeration value="Education"/>
                    <xsd:enumeration value="Employment"/>
                    <xsd:enumeration value="Justice"/>
                    <xsd:enumeration value="Health"/>
                    <xsd:enumeration value="Other"/>
                  </xsd:restriction>
                </xsd:simpleType>
              </xsd:element>
            </xsd:sequence>
          </xsd:extension>
        </xsd:complexContent>
      </xsd:complexType>
    </xsd:element>
    <xsd:element name="DatePublished" ma:index="26" nillable="true" ma:displayName="Date Published" ma:format="DateOnly" ma:indexed="true" ma:internalName="DatePublished">
      <xsd:simpleType>
        <xsd:restriction base="dms:DateTime"/>
      </xsd:simpleType>
    </xsd:element>
    <xsd:element name="PublishedBy" ma:index="27" nillable="true" ma:displayName="Published By" ma:format="Dropdown" ma:internalName="PublishedBy">
      <xsd:complexType>
        <xsd:complexContent>
          <xsd:extension base="dms:MultiChoiceFillIn">
            <xsd:sequence>
              <xsd:element name="Value" maxOccurs="unbounded" minOccurs="0" nillable="true">
                <xsd:simpleType>
                  <xsd:union memberTypes="dms:Text">
                    <xsd:simpleType>
                      <xsd:restriction base="dms:Choice">
                        <xsd:enumeration value="Stats NZ"/>
                        <xsd:enumeration value="Ministry of Health"/>
                        <xsd:enumeration value="Ministry of Justice"/>
                        <xsd:enumeration value="Donald Beasley Institute"/>
                      </xsd:restriction>
                    </xsd:simpleType>
                  </xsd:union>
                </xsd:simpleType>
              </xsd:element>
            </xsd:sequence>
          </xsd:extension>
        </xsd:complexContent>
      </xsd:complexType>
    </xsd:element>
    <xsd:element name="LinktoWebsite" ma:index="28" nillable="true" ma:displayName="Link to Website" ma:format="Hyperlink" ma:internalName="LinktoWebsite">
      <xsd:complexType>
        <xsd:complexContent>
          <xsd:extension base="dms:URL">
            <xsd:sequence>
              <xsd:element name="Url" type="dms:ValidUrl" minOccurs="0" nillable="true"/>
              <xsd:element name="Description" type="xsd:string" nillable="true"/>
            </xsd:sequence>
          </xsd:extension>
        </xsd:complexContent>
      </xsd:complexType>
    </xsd:element>
    <xsd:element name="Topics" ma:index="29" nillable="true" ma:displayName="Topics" ma:format="Dropdown" ma:internalName="Topics">
      <xsd:complexType>
        <xsd:complexContent>
          <xsd:extension base="dms:MultiChoiceFillIn">
            <xsd:sequence>
              <xsd:element name="Value" maxOccurs="unbounded" minOccurs="0" nillable="true">
                <xsd:simpleType>
                  <xsd:union memberTypes="dms:Text">
                    <xsd:simpleType>
                      <xsd:restriction base="dms:Choice">
                        <xsd:enumeration value="FASD"/>
                        <xsd:enumeration value="FVSV"/>
                        <xsd:enumeration value="Child Poverty"/>
                        <xsd:enumeration value="Wellbeing"/>
                        <xsd:enumeration value="Accessibility"/>
                        <xsd:enumeration value="Workforce"/>
                        <xsd:enumeration value="Economic Wellbeing"/>
                        <xsd:enumeration value="Trust"/>
                        <xsd:enumeration value="Discrimination"/>
                      </xsd:restriction>
                    </xsd:simpleType>
                  </xsd:union>
                </xsd:simpleType>
              </xsd:element>
            </xsd:sequence>
          </xsd:extension>
        </xsd:complexContent>
      </xsd:complexType>
    </xsd:element>
    <xsd:element name="Category" ma:index="30" nillable="true" ma:displayName="Category" ma:format="Dropdown" ma:internalName="Category">
      <xsd:simpleType>
        <xsd:restriction base="dms:Choice">
          <xsd:enumeration value="Data"/>
          <xsd:enumeration value="Choice 2"/>
          <xsd:enumeration value="Choice 3"/>
        </xsd:restriction>
      </xsd:simpleType>
    </xsd:element>
    <xsd:element name="YouTubecode" ma:index="33" nillable="true" ma:displayName="YouTube code" ma:format="Dropdown" ma:internalName="YouTubecode">
      <xsd:simpleType>
        <xsd:restriction base="dms:Text">
          <xsd:maxLength value="255"/>
        </xsd:restriction>
      </xsd:simpleType>
    </xsd:element>
    <xsd:element name="Youtubeurl" ma:index="34" nillable="true" ma:displayName="Youtube url" ma:format="Dropdown" ma:internalName="Youtubeur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6AEB04-4AF3-4084-B977-7C8F9DF52391}">
  <ds:schemaRefs>
    <ds:schemaRef ds:uri="http://schemas.openxmlformats.org/officeDocument/2006/bibliography"/>
  </ds:schemaRefs>
</ds:datastoreItem>
</file>

<file path=customXml/itemProps2.xml><?xml version="1.0" encoding="utf-8"?>
<ds:datastoreItem xmlns:ds="http://schemas.openxmlformats.org/officeDocument/2006/customXml" ds:itemID="{8D940917-71F9-4F6E-A339-F0068E214045}">
  <ds:schemaRefs>
    <ds:schemaRef ds:uri="http://schemas.microsoft.com/sharepoint/v3/contenttype/forms"/>
  </ds:schemaRefs>
</ds:datastoreItem>
</file>

<file path=customXml/itemProps3.xml><?xml version="1.0" encoding="utf-8"?>
<ds:datastoreItem xmlns:ds="http://schemas.openxmlformats.org/officeDocument/2006/customXml" ds:itemID="{CA73AF20-47CC-4FED-AE33-46A2F147418F}">
  <ds:schemaRefs>
    <ds:schemaRef ds:uri="http://schemas.microsoft.com/sharepoint/events"/>
  </ds:schemaRefs>
</ds:datastoreItem>
</file>

<file path=customXml/itemProps4.xml><?xml version="1.0" encoding="utf-8"?>
<ds:datastoreItem xmlns:ds="http://schemas.openxmlformats.org/officeDocument/2006/customXml" ds:itemID="{C7CB97D3-FE23-4467-887D-547ADA2CC3DE}">
  <ds:schemaRefs>
    <ds:schemaRef ds:uri="http://schemas.microsoft.com/office/2006/metadata/properties"/>
    <ds:schemaRef ds:uri="http://schemas.microsoft.com/office/infopath/2007/PartnerControls"/>
    <ds:schemaRef ds:uri="71cf17ac-3aa9-4118-aa0c-6f3fb024fe8b"/>
    <ds:schemaRef ds:uri="741b2568-daee-436e-a9d4-dd85aba4bf11"/>
  </ds:schemaRefs>
</ds:datastoreItem>
</file>

<file path=customXml/itemProps5.xml><?xml version="1.0" encoding="utf-8"?>
<ds:datastoreItem xmlns:ds="http://schemas.openxmlformats.org/officeDocument/2006/customXml" ds:itemID="{448140E2-4A46-4EAE-A87A-B268EB952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f17ac-3aa9-4118-aa0c-6f3fb024fe8b"/>
    <ds:schemaRef ds:uri="741b2568-daee-436e-a9d4-dd85aba4b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Moore</dc:creator>
  <cp:keywords/>
  <dc:description/>
  <cp:lastModifiedBy>Claire Bretherton</cp:lastModifiedBy>
  <cp:revision>310</cp:revision>
  <dcterms:created xsi:type="dcterms:W3CDTF">2026-05-23T15:25:00Z</dcterms:created>
  <dcterms:modified xsi:type="dcterms:W3CDTF">2026-06-11T21:29:49Z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0x0101002EAEAAD890E3A14E9AE970EC1859A780</vt:lpwstr>
  </property>
  <property fmtid="{D5CDD505-2E9C-101B-9397-08002B2CF9AE}" pid="3" name="RevIMBCS">
    <vt:lpwstr>10;#BUSINESS UNIT MANAGEMENT|78593d4a-e474-4f8c-9c40-8861e4397df9</vt:lpwstr>
  </property>
  <property fmtid="{D5CDD505-2E9C-101B-9397-08002B2CF9AE}" pid="4" name="_dlc_DocIdItemGuid">
    <vt:lpwstr>51657084-5be6-42d3-bac8-4a4180af9ff3</vt:lpwstr>
  </property>
  <property fmtid="{D5CDD505-2E9C-101B-9397-08002B2CF9AE}" pid="5" name="MediaServiceImageTags">
    <vt:lpwstr/>
  </property>
  <property fmtid="{D5CDD505-2E9C-101B-9397-08002B2CF9AE}" pid="6" name="ClassificationContentMarkingHeaderShapeIds">
    <vt:lpwstr>7f9ed9ee,6c4e4704,1978f1dc</vt:lpwstr>
  </property>
  <property fmtid="{D5CDD505-2E9C-101B-9397-08002B2CF9AE}" pid="7" name="ClassificationContentMarkingHeaderFontProps">
    <vt:lpwstr>#000000,10,Aptos</vt:lpwstr>
  </property>
  <property fmtid="{D5CDD505-2E9C-101B-9397-08002B2CF9AE}" pid="8" name="ClassificationContentMarkingHeaderText">
    <vt:lpwstr>IN-CONFIDENCE</vt:lpwstr>
  </property>
  <property fmtid="{D5CDD505-2E9C-101B-9397-08002B2CF9AE}" pid="9" name="MSIP_Label_f43e46a9-9901-46e9-bfae-bb6189d4cb66_Enabled">
    <vt:lpwstr>true</vt:lpwstr>
  </property>
  <property fmtid="{D5CDD505-2E9C-101B-9397-08002B2CF9AE}" pid="10" name="MSIP_Label_f43e46a9-9901-46e9-bfae-bb6189d4cb66_SetDate">
    <vt:lpwstr>2026-05-22T01:25:16Z</vt:lpwstr>
  </property>
  <property fmtid="{D5CDD505-2E9C-101B-9397-08002B2CF9AE}" pid="11" name="MSIP_Label_f43e46a9-9901-46e9-bfae-bb6189d4cb66_Method">
    <vt:lpwstr>Standard</vt:lpwstr>
  </property>
  <property fmtid="{D5CDD505-2E9C-101B-9397-08002B2CF9AE}" pid="12" name="MSIP_Label_f43e46a9-9901-46e9-bfae-bb6189d4cb66_Name">
    <vt:lpwstr>In-confidence</vt:lpwstr>
  </property>
  <property fmtid="{D5CDD505-2E9C-101B-9397-08002B2CF9AE}" pid="13" name="MSIP_Label_f43e46a9-9901-46e9-bfae-bb6189d4cb66_SiteId">
    <vt:lpwstr>e40c4f52-99bd-4d4f-bf7e-d001a2ca6556</vt:lpwstr>
  </property>
  <property fmtid="{D5CDD505-2E9C-101B-9397-08002B2CF9AE}" pid="14" name="MSIP_Label_f43e46a9-9901-46e9-bfae-bb6189d4cb66_ActionId">
    <vt:lpwstr>94c42523-cf6a-4729-b8aa-2c868b6a4880</vt:lpwstr>
  </property>
  <property fmtid="{D5CDD505-2E9C-101B-9397-08002B2CF9AE}" pid="15" name="MSIP_Label_f43e46a9-9901-46e9-bfae-bb6189d4cb66_ContentBits">
    <vt:lpwstr>1</vt:lpwstr>
  </property>
  <property fmtid="{D5CDD505-2E9C-101B-9397-08002B2CF9AE}" pid="16" name="MSIP_Label_f43e46a9-9901-46e9-bfae-bb6189d4cb66_Tag">
    <vt:lpwstr>10, 3, 0, 2</vt:lpwstr>
  </property>
  <property fmtid="{D5CDD505-2E9C-101B-9397-08002B2CF9AE}" pid="17" name="docLang">
    <vt:lpwstr>en</vt:lpwstr>
  </property>
</Properties>
</file>