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1800F" w14:textId="77777777" w:rsidR="00B716F7" w:rsidRPr="000C4D58" w:rsidRDefault="007B5EB0" w:rsidP="0094498E">
      <w:pPr>
        <w:spacing w:before="240"/>
      </w:pPr>
      <w:r w:rsidRPr="000C4D58">
        <w:rPr>
          <w:noProof/>
          <w:lang w:eastAsia="en-NZ"/>
        </w:rPr>
        <w:drawing>
          <wp:anchor distT="0" distB="0" distL="114300" distR="114300" simplePos="0" relativeHeight="251656704" behindDoc="0" locked="0" layoutInCell="1" allowOverlap="1" wp14:anchorId="1EBD65A1" wp14:editId="62F0943F">
            <wp:simplePos x="0" y="0"/>
            <wp:positionH relativeFrom="column">
              <wp:posOffset>-635</wp:posOffset>
            </wp:positionH>
            <wp:positionV relativeFrom="page">
              <wp:posOffset>845820</wp:posOffset>
            </wp:positionV>
            <wp:extent cx="2216785" cy="532765"/>
            <wp:effectExtent l="0" t="0" r="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Z Logo Colour CMYK no clear space for Word.jpg"/>
                    <pic:cNvPicPr/>
                  </pic:nvPicPr>
                  <pic:blipFill>
                    <a:blip r:embed="rId12">
                      <a:extLst>
                        <a:ext uri="{28A0092B-C50C-407E-A947-70E740481C1C}">
                          <a14:useLocalDpi xmlns:a14="http://schemas.microsoft.com/office/drawing/2010/main" val="0"/>
                        </a:ext>
                      </a:extLst>
                    </a:blip>
                    <a:stretch>
                      <a:fillRect/>
                    </a:stretch>
                  </pic:blipFill>
                  <pic:spPr>
                    <a:xfrm>
                      <a:off x="0" y="0"/>
                      <a:ext cx="2216785" cy="532765"/>
                    </a:xfrm>
                    <a:prstGeom prst="rect">
                      <a:avLst/>
                    </a:prstGeom>
                  </pic:spPr>
                </pic:pic>
              </a:graphicData>
            </a:graphic>
            <wp14:sizeRelH relativeFrom="margin">
              <wp14:pctWidth>0</wp14:pctWidth>
            </wp14:sizeRelH>
            <wp14:sizeRelV relativeFrom="margin">
              <wp14:pctHeight>0</wp14:pctHeight>
            </wp14:sizeRelV>
          </wp:anchor>
        </w:drawing>
      </w:r>
      <w:r w:rsidR="00B716F7" w:rsidRPr="000C4D58">
        <w:rPr>
          <w:noProof/>
          <w:lang w:eastAsia="en-NZ"/>
        </w:rPr>
        <mc:AlternateContent>
          <mc:Choice Requires="wps">
            <w:drawing>
              <wp:anchor distT="0" distB="0" distL="114300" distR="114300" simplePos="0" relativeHeight="251654656" behindDoc="1" locked="0" layoutInCell="1" allowOverlap="1" wp14:anchorId="42742F05" wp14:editId="7E3CAF80">
                <wp:simplePos x="0" y="0"/>
                <wp:positionH relativeFrom="column">
                  <wp:posOffset>2809641</wp:posOffset>
                </wp:positionH>
                <wp:positionV relativeFrom="margin">
                  <wp:posOffset>-163496</wp:posOffset>
                </wp:positionV>
                <wp:extent cx="3744000" cy="9000000"/>
                <wp:effectExtent l="0" t="0" r="8890" b="0"/>
                <wp:wrapNone/>
                <wp:docPr id="3" name="Rectangle 3"/>
                <wp:cNvGraphicFramePr/>
                <a:graphic xmlns:a="http://schemas.openxmlformats.org/drawingml/2006/main">
                  <a:graphicData uri="http://schemas.microsoft.com/office/word/2010/wordprocessingShape">
                    <wps:wsp>
                      <wps:cNvSpPr/>
                      <wps:spPr>
                        <a:xfrm>
                          <a:off x="0" y="0"/>
                          <a:ext cx="3744000" cy="900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78F7937">
              <v:rect id="Rectangle 3" style="position:absolute;margin-left:221.25pt;margin-top:-12.85pt;width:294.8pt;height:70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spid="_x0000_s1026" fillcolor="#45bfd3 [3205]" stroked="f" strokeweight="1pt" w14:anchorId="771166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">
                <w10:wrap anchory="margin"/>
              </v:rect>
            </w:pict>
          </mc:Fallback>
        </mc:AlternateContent>
      </w:r>
    </w:p>
    <w:p w14:paraId="2FF44F11" w14:textId="77777777" w:rsidR="00844C99" w:rsidRPr="00155196" w:rsidRDefault="000C4D58" w:rsidP="00155196">
      <w:pPr>
        <w:rPr>
          <w:sz w:val="32"/>
          <w:szCs w:val="36"/>
        </w:rPr>
      </w:pPr>
      <w:r w:rsidRPr="000C4D58">
        <w:rPr>
          <w:noProof/>
          <w:lang w:eastAsia="en-NZ"/>
        </w:rPr>
        <mc:AlternateContent>
          <mc:Choice Requires="wps">
            <w:drawing>
              <wp:anchor distT="45720" distB="45720" distL="114300" distR="114300" simplePos="0" relativeHeight="251658752" behindDoc="0" locked="0" layoutInCell="1" allowOverlap="1" wp14:anchorId="0BDF8B98" wp14:editId="238E3873">
                <wp:simplePos x="0" y="0"/>
                <wp:positionH relativeFrom="column">
                  <wp:posOffset>141312</wp:posOffset>
                </wp:positionH>
                <wp:positionV relativeFrom="page">
                  <wp:posOffset>3566111</wp:posOffset>
                </wp:positionV>
                <wp:extent cx="5681345" cy="51854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345" cy="5185410"/>
                        </a:xfrm>
                        <a:prstGeom prst="rect">
                          <a:avLst/>
                        </a:prstGeom>
                        <a:noFill/>
                        <a:ln w="9525">
                          <a:noFill/>
                          <a:miter lim="800000"/>
                          <a:headEnd/>
                          <a:tailEnd/>
                        </a:ln>
                      </wps:spPr>
                      <wps:txbx>
                        <w:txbxContent>
                          <w:p w14:paraId="659C468D" w14:textId="77777777" w:rsidR="00EB678A" w:rsidRDefault="00EB678A" w:rsidP="000C4D58">
                            <w:pPr>
                              <w:pStyle w:val="MainTitle"/>
                              <w:rPr>
                                <w:color w:val="FFFFFF" w:themeColor="background1"/>
                              </w:rPr>
                            </w:pPr>
                          </w:p>
                          <w:p w14:paraId="59B59DC3" w14:textId="5288FCC6" w:rsidR="00EB678A" w:rsidRDefault="00EB678A" w:rsidP="000C4D58">
                            <w:pPr>
                              <w:pStyle w:val="MainTitle"/>
                              <w:rPr>
                                <w:color w:val="FFFFFF" w:themeColor="background1"/>
                              </w:rPr>
                            </w:pPr>
                            <w:r w:rsidRPr="00EB678A">
                              <w:rPr>
                                <w:color w:val="FFFFFF" w:themeColor="background1"/>
                              </w:rPr>
                              <w:t>NZS 4121:</w:t>
                            </w:r>
                            <w:r w:rsidR="00491D65">
                              <w:rPr>
                                <w:color w:val="FFFFFF" w:themeColor="background1"/>
                              </w:rPr>
                              <w:t>2001</w:t>
                            </w:r>
                            <w:r w:rsidRPr="00EB678A">
                              <w:rPr>
                                <w:color w:val="FFFFFF" w:themeColor="background1"/>
                              </w:rPr>
                              <w:t xml:space="preserve"> Environmental Scan and Scoping Exercise</w:t>
                            </w:r>
                          </w:p>
                          <w:p w14:paraId="79E51FAA" w14:textId="4A27C1B3" w:rsidR="000C4D58" w:rsidRPr="00054973" w:rsidRDefault="000C4D58" w:rsidP="000C4D58">
                            <w:pPr>
                              <w:pStyle w:val="MainTitle"/>
                              <w:rPr>
                                <w:color w:val="45BFD3" w:themeColor="accent2"/>
                                <w:sz w:val="24"/>
                                <w:szCs w:val="28"/>
                              </w:rPr>
                            </w:pPr>
                            <w:r w:rsidRPr="00054973">
                              <w:rPr>
                                <w:color w:val="45BFD3" w:themeColor="accent2"/>
                                <w:sz w:val="24"/>
                                <w:szCs w:val="28"/>
                              </w:rPr>
                              <w:t xml:space="preserve">Report to </w:t>
                            </w:r>
                            <w:r w:rsidR="00844C99">
                              <w:rPr>
                                <w:color w:val="45BFD3" w:themeColor="accent2"/>
                                <w:sz w:val="24"/>
                                <w:szCs w:val="28"/>
                              </w:rPr>
                              <w:t xml:space="preserve">Whaikaha </w:t>
                            </w:r>
                            <w:r w:rsidR="00EB678A">
                              <w:rPr>
                                <w:color w:val="45BFD3" w:themeColor="accent2"/>
                                <w:sz w:val="24"/>
                                <w:szCs w:val="28"/>
                              </w:rPr>
                              <w:t>–</w:t>
                            </w:r>
                            <w:r w:rsidR="00844C99">
                              <w:rPr>
                                <w:color w:val="45BFD3" w:themeColor="accent2"/>
                                <w:sz w:val="24"/>
                                <w:szCs w:val="28"/>
                              </w:rPr>
                              <w:t xml:space="preserve"> </w:t>
                            </w:r>
                            <w:r w:rsidR="00EB678A">
                              <w:rPr>
                                <w:color w:val="45BFD3" w:themeColor="accent2"/>
                                <w:sz w:val="24"/>
                                <w:szCs w:val="28"/>
                              </w:rPr>
                              <w:t>Ministry of Disabled People</w:t>
                            </w:r>
                          </w:p>
                          <w:p w14:paraId="65FCA5F5" w14:textId="033C74C3" w:rsidR="000C4D58" w:rsidRPr="009A56D0" w:rsidRDefault="00476C6C" w:rsidP="000C4D58">
                            <w:pPr>
                              <w:pStyle w:val="SNZBodyHeader"/>
                              <w:rPr>
                                <w:color w:val="45BFD3" w:themeColor="accent2"/>
                              </w:rPr>
                            </w:pPr>
                            <w:r>
                              <w:rPr>
                                <w:color w:val="45BFD3" w:themeColor="accent2"/>
                              </w:rPr>
                              <w:t>April</w:t>
                            </w:r>
                            <w:r w:rsidR="000C4D58">
                              <w:rPr>
                                <w:color w:val="45BFD3" w:themeColor="accent2"/>
                              </w:rPr>
                              <w:t xml:space="preserve"> 202</w:t>
                            </w:r>
                            <w:r w:rsidR="00844C99">
                              <w:rPr>
                                <w:color w:val="45BFD3" w:themeColor="accent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DF8B98" id="_x0000_t202" coordsize="21600,21600" o:spt="202" path="m,l,21600r21600,l21600,xe">
                <v:stroke joinstyle="miter"/>
                <v:path gradientshapeok="t" o:connecttype="rect"/>
              </v:shapetype>
              <v:shape id="Text Box 2" o:spid="_x0000_s1026" type="#_x0000_t202" style="position:absolute;margin-left:11.15pt;margin-top:280.8pt;width:447.35pt;height:408.3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" filled="f" stroked="f">
                <v:textbox>
                  <w:txbxContent>
                    <w:p w14:paraId="659C468D" w14:textId="77777777" w:rsidR="00EB678A" w:rsidRDefault="00EB678A" w:rsidP="000C4D58">
                      <w:pPr>
                        <w:pStyle w:val="MainTitle"/>
                        <w:rPr>
                          <w:color w:val="FFFFFF" w:themeColor="background1"/>
                        </w:rPr>
                      </w:pPr>
                    </w:p>
                    <w:p w14:paraId="59B59DC3" w14:textId="5288FCC6" w:rsidR="00EB678A" w:rsidRDefault="00EB678A" w:rsidP="000C4D58">
                      <w:pPr>
                        <w:pStyle w:val="MainTitle"/>
                        <w:rPr>
                          <w:color w:val="FFFFFF" w:themeColor="background1"/>
                        </w:rPr>
                      </w:pPr>
                      <w:r w:rsidRPr="00EB678A">
                        <w:rPr>
                          <w:color w:val="FFFFFF" w:themeColor="background1"/>
                        </w:rPr>
                        <w:t>NZS 4121:</w:t>
                      </w:r>
                      <w:r w:rsidR="00491D65">
                        <w:rPr>
                          <w:color w:val="FFFFFF" w:themeColor="background1"/>
                        </w:rPr>
                        <w:t>2001</w:t>
                      </w:r>
                      <w:r w:rsidRPr="00EB678A">
                        <w:rPr>
                          <w:color w:val="FFFFFF" w:themeColor="background1"/>
                        </w:rPr>
                        <w:t xml:space="preserve"> Environmental Scan and Scoping Exercise</w:t>
                      </w:r>
                    </w:p>
                    <w:p w14:paraId="79E51FAA" w14:textId="4A27C1B3" w:rsidR="000C4D58" w:rsidRPr="00054973" w:rsidRDefault="000C4D58" w:rsidP="000C4D58">
                      <w:pPr>
                        <w:pStyle w:val="MainTitle"/>
                        <w:rPr>
                          <w:color w:val="45BFD3" w:themeColor="accent2"/>
                          <w:sz w:val="24"/>
                          <w:szCs w:val="28"/>
                        </w:rPr>
                      </w:pPr>
                      <w:r w:rsidRPr="00054973">
                        <w:rPr>
                          <w:color w:val="45BFD3" w:themeColor="accent2"/>
                          <w:sz w:val="24"/>
                          <w:szCs w:val="28"/>
                        </w:rPr>
                        <w:t xml:space="preserve">Report to </w:t>
                      </w:r>
                      <w:r w:rsidR="00844C99">
                        <w:rPr>
                          <w:color w:val="45BFD3" w:themeColor="accent2"/>
                          <w:sz w:val="24"/>
                          <w:szCs w:val="28"/>
                        </w:rPr>
                        <w:t xml:space="preserve">Whaikaha </w:t>
                      </w:r>
                      <w:r w:rsidR="00EB678A">
                        <w:rPr>
                          <w:color w:val="45BFD3" w:themeColor="accent2"/>
                          <w:sz w:val="24"/>
                          <w:szCs w:val="28"/>
                        </w:rPr>
                        <w:t>–</w:t>
                      </w:r>
                      <w:r w:rsidR="00844C99">
                        <w:rPr>
                          <w:color w:val="45BFD3" w:themeColor="accent2"/>
                          <w:sz w:val="24"/>
                          <w:szCs w:val="28"/>
                        </w:rPr>
                        <w:t xml:space="preserve"> </w:t>
                      </w:r>
                      <w:r w:rsidR="00EB678A">
                        <w:rPr>
                          <w:color w:val="45BFD3" w:themeColor="accent2"/>
                          <w:sz w:val="24"/>
                          <w:szCs w:val="28"/>
                        </w:rPr>
                        <w:t>Ministry of Disabled People</w:t>
                      </w:r>
                    </w:p>
                    <w:p w14:paraId="65FCA5F5" w14:textId="033C74C3" w:rsidR="000C4D58" w:rsidRPr="009A56D0" w:rsidRDefault="00476C6C" w:rsidP="000C4D58">
                      <w:pPr>
                        <w:pStyle w:val="SNZBodyHeader"/>
                        <w:rPr>
                          <w:color w:val="45BFD3" w:themeColor="accent2"/>
                        </w:rPr>
                      </w:pPr>
                      <w:r>
                        <w:rPr>
                          <w:color w:val="45BFD3" w:themeColor="accent2"/>
                        </w:rPr>
                        <w:t>April</w:t>
                      </w:r>
                      <w:r w:rsidR="000C4D58">
                        <w:rPr>
                          <w:color w:val="45BFD3" w:themeColor="accent2"/>
                        </w:rPr>
                        <w:t xml:space="preserve"> 202</w:t>
                      </w:r>
                      <w:r w:rsidR="00844C99">
                        <w:rPr>
                          <w:color w:val="45BFD3" w:themeColor="accent2"/>
                        </w:rPr>
                        <w:t>6</w:t>
                      </w:r>
                    </w:p>
                  </w:txbxContent>
                </v:textbox>
                <w10:wrap type="square" anchory="page"/>
              </v:shape>
            </w:pict>
          </mc:Fallback>
        </mc:AlternateContent>
      </w:r>
      <w:r w:rsidR="00284646" w:rsidRPr="000C4D58">
        <w:rPr>
          <w:noProof/>
          <w:lang w:eastAsia="en-NZ"/>
        </w:rPr>
        <w:drawing>
          <wp:anchor distT="0" distB="0" distL="114300" distR="114300" simplePos="0" relativeHeight="251657728" behindDoc="0" locked="0" layoutInCell="1" allowOverlap="1" wp14:anchorId="7925B5C9" wp14:editId="08B896DF">
            <wp:simplePos x="0" y="0"/>
            <wp:positionH relativeFrom="margin">
              <wp:align>right</wp:align>
            </wp:positionH>
            <wp:positionV relativeFrom="page">
              <wp:posOffset>10101580</wp:posOffset>
            </wp:positionV>
            <wp:extent cx="1260000" cy="187200"/>
            <wp:effectExtent l="0" t="0" r="0" b="3810"/>
            <wp:wrapThrough wrapText="bothSides">
              <wp:wrapPolygon edited="0">
                <wp:start x="0" y="0"/>
                <wp:lineTo x="0" y="19837"/>
                <wp:lineTo x="18290" y="19837"/>
                <wp:lineTo x="21230" y="6612"/>
                <wp:lineTo x="21230" y="0"/>
                <wp:lineTo x="1731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1260000" cy="187200"/>
                    </a:xfrm>
                    <a:prstGeom prst="rect">
                      <a:avLst/>
                    </a:prstGeom>
                  </pic:spPr>
                </pic:pic>
              </a:graphicData>
            </a:graphic>
            <wp14:sizeRelH relativeFrom="page">
              <wp14:pctWidth>0</wp14:pctWidth>
            </wp14:sizeRelH>
            <wp14:sizeRelV relativeFrom="page">
              <wp14:pctHeight>0</wp14:pctHeight>
            </wp14:sizeRelV>
          </wp:anchor>
        </w:drawing>
      </w:r>
      <w:r w:rsidR="008720E9">
        <w:rPr>
          <w:noProof/>
        </w:rPr>
        <w:pict w14:anchorId="79F784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789.45pt;width:139.05pt;height:25.5pt;z-index:-251655680;mso-position-horizontal-relative:margin;mso-position-vertical-relative:page">
            <v:imagedata r:id="rId14" o:title="MBIE-logo-pos-MINIMUM-40%"/>
            <w10:wrap anchorx="margin" anchory="page"/>
          </v:shape>
        </w:pict>
      </w:r>
      <w:r w:rsidR="00B716F7" w:rsidRPr="000C4D58">
        <w:rPr>
          <w:noProof/>
          <w:lang w:eastAsia="en-NZ"/>
        </w:rPr>
        <mc:AlternateContent>
          <mc:Choice Requires="wps">
            <w:drawing>
              <wp:anchor distT="0" distB="0" distL="114300" distR="114300" simplePos="0" relativeHeight="251655680" behindDoc="1" locked="0" layoutInCell="1" allowOverlap="1" wp14:anchorId="27B13ABA" wp14:editId="5526B1A2">
                <wp:simplePos x="0" y="0"/>
                <wp:positionH relativeFrom="margin">
                  <wp:posOffset>2273</wp:posOffset>
                </wp:positionH>
                <wp:positionV relativeFrom="page">
                  <wp:posOffset>1748589</wp:posOffset>
                </wp:positionV>
                <wp:extent cx="4067810" cy="7199630"/>
                <wp:effectExtent l="0" t="0" r="8890" b="1270"/>
                <wp:wrapNone/>
                <wp:docPr id="4" name="Rectangle 4"/>
                <wp:cNvGraphicFramePr/>
                <a:graphic xmlns:a="http://schemas.openxmlformats.org/drawingml/2006/main">
                  <a:graphicData uri="http://schemas.microsoft.com/office/word/2010/wordprocessingShape">
                    <wps:wsp>
                      <wps:cNvSpPr/>
                      <wps:spPr>
                        <a:xfrm>
                          <a:off x="0" y="0"/>
                          <a:ext cx="4067810" cy="719963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8554952">
              <v:rect id="Rectangle 4" style="position:absolute;margin-left:.2pt;margin-top:137.7pt;width:320.3pt;height:566.9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151842 [3215]" stroked="f" strokeweight="1pt" w14:anchorId="7720AD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">
                <w10:wrap anchorx="margin" anchory="page"/>
              </v:rect>
            </w:pict>
          </mc:Fallback>
        </mc:AlternateContent>
      </w:r>
      <w:r w:rsidR="00B716F7" w:rsidRPr="000C4D58">
        <w:br w:type="page"/>
      </w:r>
      <w:r w:rsidR="00844C99" w:rsidRPr="00155196">
        <w:rPr>
          <w:sz w:val="32"/>
          <w:szCs w:val="36"/>
        </w:rPr>
        <w:lastRenderedPageBreak/>
        <w:t xml:space="preserve">Table of contents </w:t>
      </w:r>
    </w:p>
    <w:p w14:paraId="206D5BD9" w14:textId="41C1034A" w:rsidR="00FB5A8B" w:rsidRDefault="00041DCA">
      <w:pPr>
        <w:pStyle w:val="TOC1"/>
        <w:tabs>
          <w:tab w:val="right" w:leader="dot" w:pos="8630"/>
        </w:tabs>
        <w:rPr>
          <w:rFonts w:eastAsiaTheme="minorEastAsia"/>
          <w:noProof/>
          <w:color w:val="auto"/>
          <w:kern w:val="2"/>
          <w:sz w:val="24"/>
          <w:szCs w:val="24"/>
          <w:lang w:eastAsia="en-NZ"/>
          <w14:ligatures w14:val="standardContextual"/>
        </w:rPr>
      </w:pPr>
      <w:r w:rsidRPr="002762AC">
        <w:rPr>
          <w:rFonts w:ascii="Calibri" w:eastAsia="MS Mincho" w:hAnsi="Calibri" w:cs="Calibri"/>
          <w:color w:val="auto"/>
          <w:sz w:val="22"/>
        </w:rPr>
        <w:fldChar w:fldCharType="begin"/>
      </w:r>
      <w:r w:rsidRPr="002762AC">
        <w:rPr>
          <w:rFonts w:ascii="Calibri" w:eastAsia="MS Mincho" w:hAnsi="Calibri" w:cs="Calibri"/>
          <w:color w:val="auto"/>
          <w:sz w:val="22"/>
        </w:rPr>
        <w:instrText xml:space="preserve"> TOC \o "1-2" \h \z \u </w:instrText>
      </w:r>
      <w:r w:rsidRPr="002762AC">
        <w:rPr>
          <w:rFonts w:ascii="Calibri" w:eastAsia="MS Mincho" w:hAnsi="Calibri" w:cs="Calibri"/>
          <w:color w:val="auto"/>
          <w:sz w:val="22"/>
        </w:rPr>
        <w:fldChar w:fldCharType="separate"/>
      </w:r>
      <w:hyperlink w:anchor="_Toc227156471" w:history="1">
        <w:r w:rsidR="00FB5A8B" w:rsidRPr="00780DFF">
          <w:rPr>
            <w:rStyle w:val="Hyperlink"/>
            <w:rFonts w:eastAsia="MS Gothic"/>
            <w:noProof/>
          </w:rPr>
          <w:t>Acknowledgements</w:t>
        </w:r>
        <w:r w:rsidR="00FB5A8B">
          <w:rPr>
            <w:noProof/>
            <w:webHidden/>
          </w:rPr>
          <w:tab/>
        </w:r>
        <w:r w:rsidR="00FB5A8B">
          <w:rPr>
            <w:noProof/>
            <w:webHidden/>
          </w:rPr>
          <w:fldChar w:fldCharType="begin"/>
        </w:r>
        <w:r w:rsidR="00FB5A8B">
          <w:rPr>
            <w:noProof/>
            <w:webHidden/>
          </w:rPr>
          <w:instrText xml:space="preserve"> PAGEREF _Toc227156471 \h </w:instrText>
        </w:r>
        <w:r w:rsidR="00FB5A8B">
          <w:rPr>
            <w:noProof/>
            <w:webHidden/>
          </w:rPr>
        </w:r>
        <w:r w:rsidR="00FB5A8B">
          <w:rPr>
            <w:noProof/>
            <w:webHidden/>
          </w:rPr>
          <w:fldChar w:fldCharType="separate"/>
        </w:r>
        <w:r w:rsidR="00E72ABF">
          <w:rPr>
            <w:noProof/>
            <w:webHidden/>
          </w:rPr>
          <w:t>3</w:t>
        </w:r>
        <w:r w:rsidR="00FB5A8B">
          <w:rPr>
            <w:noProof/>
            <w:webHidden/>
          </w:rPr>
          <w:fldChar w:fldCharType="end"/>
        </w:r>
      </w:hyperlink>
    </w:p>
    <w:p w14:paraId="1E69655B" w14:textId="02A017D1" w:rsidR="00FB5A8B" w:rsidRDefault="00FB5A8B">
      <w:pPr>
        <w:pStyle w:val="TOC1"/>
        <w:tabs>
          <w:tab w:val="right" w:leader="dot" w:pos="8630"/>
        </w:tabs>
        <w:rPr>
          <w:rFonts w:eastAsiaTheme="minorEastAsia"/>
          <w:noProof/>
          <w:color w:val="auto"/>
          <w:kern w:val="2"/>
          <w:sz w:val="24"/>
          <w:szCs w:val="24"/>
          <w:lang w:eastAsia="en-NZ"/>
          <w14:ligatures w14:val="standardContextual"/>
        </w:rPr>
      </w:pPr>
      <w:hyperlink w:anchor="_Toc227156472" w:history="1">
        <w:r w:rsidRPr="00780DFF">
          <w:rPr>
            <w:rStyle w:val="Hyperlink"/>
            <w:rFonts w:eastAsia="MS Gothic"/>
            <w:noProof/>
          </w:rPr>
          <w:t>Executive Summary</w:t>
        </w:r>
        <w:r>
          <w:rPr>
            <w:noProof/>
            <w:webHidden/>
          </w:rPr>
          <w:tab/>
        </w:r>
        <w:r>
          <w:rPr>
            <w:noProof/>
            <w:webHidden/>
          </w:rPr>
          <w:fldChar w:fldCharType="begin"/>
        </w:r>
        <w:r>
          <w:rPr>
            <w:noProof/>
            <w:webHidden/>
          </w:rPr>
          <w:instrText xml:space="preserve"> PAGEREF _Toc227156472 \h </w:instrText>
        </w:r>
        <w:r>
          <w:rPr>
            <w:noProof/>
            <w:webHidden/>
          </w:rPr>
        </w:r>
        <w:r>
          <w:rPr>
            <w:noProof/>
            <w:webHidden/>
          </w:rPr>
          <w:fldChar w:fldCharType="separate"/>
        </w:r>
        <w:r w:rsidR="00E72ABF">
          <w:rPr>
            <w:noProof/>
            <w:webHidden/>
          </w:rPr>
          <w:t>4</w:t>
        </w:r>
        <w:r>
          <w:rPr>
            <w:noProof/>
            <w:webHidden/>
          </w:rPr>
          <w:fldChar w:fldCharType="end"/>
        </w:r>
      </w:hyperlink>
    </w:p>
    <w:p w14:paraId="4C621F83" w14:textId="6BB62A67" w:rsidR="00FB5A8B" w:rsidRDefault="00FB5A8B">
      <w:pPr>
        <w:pStyle w:val="TOC1"/>
        <w:tabs>
          <w:tab w:val="right" w:leader="dot" w:pos="8630"/>
        </w:tabs>
        <w:rPr>
          <w:rFonts w:eastAsiaTheme="minorEastAsia"/>
          <w:noProof/>
          <w:color w:val="auto"/>
          <w:kern w:val="2"/>
          <w:sz w:val="24"/>
          <w:szCs w:val="24"/>
          <w:lang w:eastAsia="en-NZ"/>
          <w14:ligatures w14:val="standardContextual"/>
        </w:rPr>
      </w:pPr>
      <w:hyperlink w:anchor="_Toc227156473" w:history="1">
        <w:r w:rsidRPr="00780DFF">
          <w:rPr>
            <w:rStyle w:val="Hyperlink"/>
            <w:rFonts w:eastAsia="MS Gothic"/>
            <w:noProof/>
          </w:rPr>
          <w:t>Background on NZS 4121:2001</w:t>
        </w:r>
        <w:r>
          <w:rPr>
            <w:noProof/>
            <w:webHidden/>
          </w:rPr>
          <w:tab/>
        </w:r>
        <w:r>
          <w:rPr>
            <w:noProof/>
            <w:webHidden/>
          </w:rPr>
          <w:fldChar w:fldCharType="begin"/>
        </w:r>
        <w:r>
          <w:rPr>
            <w:noProof/>
            <w:webHidden/>
          </w:rPr>
          <w:instrText xml:space="preserve"> PAGEREF _Toc227156473 \h </w:instrText>
        </w:r>
        <w:r>
          <w:rPr>
            <w:noProof/>
            <w:webHidden/>
          </w:rPr>
        </w:r>
        <w:r>
          <w:rPr>
            <w:noProof/>
            <w:webHidden/>
          </w:rPr>
          <w:fldChar w:fldCharType="separate"/>
        </w:r>
        <w:r w:rsidR="00E72ABF">
          <w:rPr>
            <w:noProof/>
            <w:webHidden/>
          </w:rPr>
          <w:t>6</w:t>
        </w:r>
        <w:r>
          <w:rPr>
            <w:noProof/>
            <w:webHidden/>
          </w:rPr>
          <w:fldChar w:fldCharType="end"/>
        </w:r>
      </w:hyperlink>
    </w:p>
    <w:p w14:paraId="6B5FBB0E" w14:textId="0E167F50" w:rsidR="00FB5A8B" w:rsidRDefault="00FB5A8B">
      <w:pPr>
        <w:pStyle w:val="TOC1"/>
        <w:tabs>
          <w:tab w:val="right" w:leader="dot" w:pos="8630"/>
        </w:tabs>
        <w:rPr>
          <w:rFonts w:eastAsiaTheme="minorEastAsia"/>
          <w:noProof/>
          <w:color w:val="auto"/>
          <w:kern w:val="2"/>
          <w:sz w:val="24"/>
          <w:szCs w:val="24"/>
          <w:lang w:eastAsia="en-NZ"/>
          <w14:ligatures w14:val="standardContextual"/>
        </w:rPr>
      </w:pPr>
      <w:hyperlink w:anchor="_Toc227156474" w:history="1">
        <w:r w:rsidRPr="00780DFF">
          <w:rPr>
            <w:rStyle w:val="Hyperlink"/>
            <w:rFonts w:eastAsia="MS Gothic"/>
            <w:noProof/>
          </w:rPr>
          <w:t>Part 1. Environmental scan of disability access standards</w:t>
        </w:r>
        <w:r>
          <w:rPr>
            <w:noProof/>
            <w:webHidden/>
          </w:rPr>
          <w:tab/>
        </w:r>
        <w:r>
          <w:rPr>
            <w:noProof/>
            <w:webHidden/>
          </w:rPr>
          <w:fldChar w:fldCharType="begin"/>
        </w:r>
        <w:r>
          <w:rPr>
            <w:noProof/>
            <w:webHidden/>
          </w:rPr>
          <w:instrText xml:space="preserve"> PAGEREF _Toc227156474 \h </w:instrText>
        </w:r>
        <w:r>
          <w:rPr>
            <w:noProof/>
            <w:webHidden/>
          </w:rPr>
        </w:r>
        <w:r>
          <w:rPr>
            <w:noProof/>
            <w:webHidden/>
          </w:rPr>
          <w:fldChar w:fldCharType="separate"/>
        </w:r>
        <w:r w:rsidR="00E72ABF">
          <w:rPr>
            <w:noProof/>
            <w:webHidden/>
          </w:rPr>
          <w:t>8</w:t>
        </w:r>
        <w:r>
          <w:rPr>
            <w:noProof/>
            <w:webHidden/>
          </w:rPr>
          <w:fldChar w:fldCharType="end"/>
        </w:r>
      </w:hyperlink>
    </w:p>
    <w:p w14:paraId="5297F974" w14:textId="0B2A3559" w:rsidR="00FB5A8B" w:rsidRDefault="00FB5A8B">
      <w:pPr>
        <w:pStyle w:val="TOC2"/>
        <w:tabs>
          <w:tab w:val="right" w:leader="dot" w:pos="8630"/>
        </w:tabs>
        <w:rPr>
          <w:rFonts w:eastAsiaTheme="minorEastAsia"/>
          <w:noProof/>
          <w:color w:val="auto"/>
          <w:kern w:val="2"/>
          <w:sz w:val="24"/>
          <w:szCs w:val="24"/>
          <w:lang w:eastAsia="en-NZ"/>
          <w14:ligatures w14:val="standardContextual"/>
        </w:rPr>
      </w:pPr>
      <w:hyperlink w:anchor="_Toc227156475" w:history="1">
        <w:r w:rsidRPr="00780DFF">
          <w:rPr>
            <w:rStyle w:val="Hyperlink"/>
            <w:rFonts w:eastAsia="MS Gothic"/>
            <w:noProof/>
          </w:rPr>
          <w:t>Scope and methodology</w:t>
        </w:r>
        <w:r>
          <w:rPr>
            <w:noProof/>
            <w:webHidden/>
          </w:rPr>
          <w:tab/>
        </w:r>
        <w:r>
          <w:rPr>
            <w:noProof/>
            <w:webHidden/>
          </w:rPr>
          <w:fldChar w:fldCharType="begin"/>
        </w:r>
        <w:r>
          <w:rPr>
            <w:noProof/>
            <w:webHidden/>
          </w:rPr>
          <w:instrText xml:space="preserve"> PAGEREF _Toc227156475 \h </w:instrText>
        </w:r>
        <w:r>
          <w:rPr>
            <w:noProof/>
            <w:webHidden/>
          </w:rPr>
        </w:r>
        <w:r>
          <w:rPr>
            <w:noProof/>
            <w:webHidden/>
          </w:rPr>
          <w:fldChar w:fldCharType="separate"/>
        </w:r>
        <w:r w:rsidR="00E72ABF">
          <w:rPr>
            <w:noProof/>
            <w:webHidden/>
          </w:rPr>
          <w:t>8</w:t>
        </w:r>
        <w:r>
          <w:rPr>
            <w:noProof/>
            <w:webHidden/>
          </w:rPr>
          <w:fldChar w:fldCharType="end"/>
        </w:r>
      </w:hyperlink>
    </w:p>
    <w:p w14:paraId="2B49AA3D" w14:textId="4C0778AB" w:rsidR="00FB5A8B" w:rsidRDefault="00FB5A8B">
      <w:pPr>
        <w:pStyle w:val="TOC2"/>
        <w:tabs>
          <w:tab w:val="right" w:leader="dot" w:pos="8630"/>
        </w:tabs>
        <w:rPr>
          <w:rFonts w:eastAsiaTheme="minorEastAsia"/>
          <w:noProof/>
          <w:color w:val="auto"/>
          <w:kern w:val="2"/>
          <w:sz w:val="24"/>
          <w:szCs w:val="24"/>
          <w:lang w:eastAsia="en-NZ"/>
          <w14:ligatures w14:val="standardContextual"/>
        </w:rPr>
      </w:pPr>
      <w:hyperlink w:anchor="_Toc227156476" w:history="1">
        <w:r w:rsidRPr="00780DFF">
          <w:rPr>
            <w:rStyle w:val="Hyperlink"/>
            <w:rFonts w:eastAsia="MS Gothic"/>
            <w:noProof/>
          </w:rPr>
          <w:t>High-level findings</w:t>
        </w:r>
        <w:r>
          <w:rPr>
            <w:noProof/>
            <w:webHidden/>
          </w:rPr>
          <w:tab/>
        </w:r>
        <w:r>
          <w:rPr>
            <w:noProof/>
            <w:webHidden/>
          </w:rPr>
          <w:fldChar w:fldCharType="begin"/>
        </w:r>
        <w:r>
          <w:rPr>
            <w:noProof/>
            <w:webHidden/>
          </w:rPr>
          <w:instrText xml:space="preserve"> PAGEREF _Toc227156476 \h </w:instrText>
        </w:r>
        <w:r>
          <w:rPr>
            <w:noProof/>
            <w:webHidden/>
          </w:rPr>
        </w:r>
        <w:r>
          <w:rPr>
            <w:noProof/>
            <w:webHidden/>
          </w:rPr>
          <w:fldChar w:fldCharType="separate"/>
        </w:r>
        <w:r w:rsidR="00E72ABF">
          <w:rPr>
            <w:noProof/>
            <w:webHidden/>
          </w:rPr>
          <w:t>9</w:t>
        </w:r>
        <w:r>
          <w:rPr>
            <w:noProof/>
            <w:webHidden/>
          </w:rPr>
          <w:fldChar w:fldCharType="end"/>
        </w:r>
      </w:hyperlink>
    </w:p>
    <w:p w14:paraId="4414AA7F" w14:textId="6CFB4C00" w:rsidR="00FB5A8B" w:rsidRDefault="00FB5A8B">
      <w:pPr>
        <w:pStyle w:val="TOC2"/>
        <w:tabs>
          <w:tab w:val="right" w:leader="dot" w:pos="8630"/>
        </w:tabs>
        <w:rPr>
          <w:rFonts w:eastAsiaTheme="minorEastAsia"/>
          <w:noProof/>
          <w:color w:val="auto"/>
          <w:kern w:val="2"/>
          <w:sz w:val="24"/>
          <w:szCs w:val="24"/>
          <w:lang w:eastAsia="en-NZ"/>
          <w14:ligatures w14:val="standardContextual"/>
        </w:rPr>
      </w:pPr>
      <w:hyperlink w:anchor="_Toc227156477" w:history="1">
        <w:r w:rsidRPr="00780DFF">
          <w:rPr>
            <w:rStyle w:val="Hyperlink"/>
            <w:noProof/>
          </w:rPr>
          <w:t>Assessment of overseas standards by topic</w:t>
        </w:r>
        <w:r>
          <w:rPr>
            <w:noProof/>
            <w:webHidden/>
          </w:rPr>
          <w:tab/>
        </w:r>
        <w:r>
          <w:rPr>
            <w:noProof/>
            <w:webHidden/>
          </w:rPr>
          <w:fldChar w:fldCharType="begin"/>
        </w:r>
        <w:r>
          <w:rPr>
            <w:noProof/>
            <w:webHidden/>
          </w:rPr>
          <w:instrText xml:space="preserve"> PAGEREF _Toc227156477 \h </w:instrText>
        </w:r>
        <w:r>
          <w:rPr>
            <w:noProof/>
            <w:webHidden/>
          </w:rPr>
        </w:r>
        <w:r>
          <w:rPr>
            <w:noProof/>
            <w:webHidden/>
          </w:rPr>
          <w:fldChar w:fldCharType="separate"/>
        </w:r>
        <w:r w:rsidR="00E72ABF">
          <w:rPr>
            <w:noProof/>
            <w:webHidden/>
          </w:rPr>
          <w:t>10</w:t>
        </w:r>
        <w:r>
          <w:rPr>
            <w:noProof/>
            <w:webHidden/>
          </w:rPr>
          <w:fldChar w:fldCharType="end"/>
        </w:r>
      </w:hyperlink>
    </w:p>
    <w:p w14:paraId="67DD96C9" w14:textId="274F9EA0" w:rsidR="00FB5A8B" w:rsidRDefault="00FB5A8B">
      <w:pPr>
        <w:pStyle w:val="TOC2"/>
        <w:tabs>
          <w:tab w:val="right" w:leader="dot" w:pos="8630"/>
        </w:tabs>
        <w:rPr>
          <w:rFonts w:eastAsiaTheme="minorEastAsia"/>
          <w:noProof/>
          <w:color w:val="auto"/>
          <w:kern w:val="2"/>
          <w:sz w:val="24"/>
          <w:szCs w:val="24"/>
          <w:lang w:eastAsia="en-NZ"/>
          <w14:ligatures w14:val="standardContextual"/>
        </w:rPr>
      </w:pPr>
      <w:hyperlink w:anchor="_Toc227156478" w:history="1">
        <w:r w:rsidRPr="00780DFF">
          <w:rPr>
            <w:rStyle w:val="Hyperlink"/>
            <w:noProof/>
          </w:rPr>
          <w:t>Environmental scan recommendations</w:t>
        </w:r>
        <w:r>
          <w:rPr>
            <w:noProof/>
            <w:webHidden/>
          </w:rPr>
          <w:tab/>
        </w:r>
        <w:r>
          <w:rPr>
            <w:noProof/>
            <w:webHidden/>
          </w:rPr>
          <w:fldChar w:fldCharType="begin"/>
        </w:r>
        <w:r>
          <w:rPr>
            <w:noProof/>
            <w:webHidden/>
          </w:rPr>
          <w:instrText xml:space="preserve"> PAGEREF _Toc227156478 \h </w:instrText>
        </w:r>
        <w:r>
          <w:rPr>
            <w:noProof/>
            <w:webHidden/>
          </w:rPr>
        </w:r>
        <w:r>
          <w:rPr>
            <w:noProof/>
            <w:webHidden/>
          </w:rPr>
          <w:fldChar w:fldCharType="separate"/>
        </w:r>
        <w:r w:rsidR="00E72ABF">
          <w:rPr>
            <w:noProof/>
            <w:webHidden/>
          </w:rPr>
          <w:t>12</w:t>
        </w:r>
        <w:r>
          <w:rPr>
            <w:noProof/>
            <w:webHidden/>
          </w:rPr>
          <w:fldChar w:fldCharType="end"/>
        </w:r>
      </w:hyperlink>
    </w:p>
    <w:p w14:paraId="3AEE9641" w14:textId="72CBEFE7" w:rsidR="00FB5A8B" w:rsidRDefault="00FB5A8B">
      <w:pPr>
        <w:pStyle w:val="TOC2"/>
        <w:tabs>
          <w:tab w:val="right" w:leader="dot" w:pos="8630"/>
        </w:tabs>
        <w:rPr>
          <w:rFonts w:eastAsiaTheme="minorEastAsia"/>
          <w:noProof/>
          <w:color w:val="auto"/>
          <w:kern w:val="2"/>
          <w:sz w:val="24"/>
          <w:szCs w:val="24"/>
          <w:lang w:eastAsia="en-NZ"/>
          <w14:ligatures w14:val="standardContextual"/>
        </w:rPr>
      </w:pPr>
      <w:hyperlink w:anchor="_Toc227156479" w:history="1">
        <w:r w:rsidRPr="00780DFF">
          <w:rPr>
            <w:rStyle w:val="Hyperlink"/>
            <w:rFonts w:eastAsia="MS Gothic"/>
            <w:noProof/>
          </w:rPr>
          <w:t>Steps following the environmental scan</w:t>
        </w:r>
        <w:r>
          <w:rPr>
            <w:noProof/>
            <w:webHidden/>
          </w:rPr>
          <w:tab/>
        </w:r>
        <w:r>
          <w:rPr>
            <w:noProof/>
            <w:webHidden/>
          </w:rPr>
          <w:fldChar w:fldCharType="begin"/>
        </w:r>
        <w:r>
          <w:rPr>
            <w:noProof/>
            <w:webHidden/>
          </w:rPr>
          <w:instrText xml:space="preserve"> PAGEREF _Toc227156479 \h </w:instrText>
        </w:r>
        <w:r>
          <w:rPr>
            <w:noProof/>
            <w:webHidden/>
          </w:rPr>
        </w:r>
        <w:r>
          <w:rPr>
            <w:noProof/>
            <w:webHidden/>
          </w:rPr>
          <w:fldChar w:fldCharType="separate"/>
        </w:r>
        <w:r w:rsidR="00E72ABF">
          <w:rPr>
            <w:noProof/>
            <w:webHidden/>
          </w:rPr>
          <w:t>13</w:t>
        </w:r>
        <w:r>
          <w:rPr>
            <w:noProof/>
            <w:webHidden/>
          </w:rPr>
          <w:fldChar w:fldCharType="end"/>
        </w:r>
      </w:hyperlink>
    </w:p>
    <w:p w14:paraId="6E071167" w14:textId="10327AB3" w:rsidR="00FB5A8B" w:rsidRDefault="00FB5A8B">
      <w:pPr>
        <w:pStyle w:val="TOC1"/>
        <w:tabs>
          <w:tab w:val="right" w:leader="dot" w:pos="8630"/>
        </w:tabs>
        <w:rPr>
          <w:rFonts w:eastAsiaTheme="minorEastAsia"/>
          <w:noProof/>
          <w:color w:val="auto"/>
          <w:kern w:val="2"/>
          <w:sz w:val="24"/>
          <w:szCs w:val="24"/>
          <w:lang w:eastAsia="en-NZ"/>
          <w14:ligatures w14:val="standardContextual"/>
        </w:rPr>
      </w:pPr>
      <w:hyperlink w:anchor="_Toc227156480" w:history="1">
        <w:r w:rsidRPr="00780DFF">
          <w:rPr>
            <w:rStyle w:val="Hyperlink"/>
            <w:rFonts w:eastAsia="MS Gothic"/>
            <w:noProof/>
          </w:rPr>
          <w:t>Part 2. Scoping exercise</w:t>
        </w:r>
        <w:r>
          <w:rPr>
            <w:noProof/>
            <w:webHidden/>
          </w:rPr>
          <w:tab/>
        </w:r>
        <w:r>
          <w:rPr>
            <w:noProof/>
            <w:webHidden/>
          </w:rPr>
          <w:fldChar w:fldCharType="begin"/>
        </w:r>
        <w:r>
          <w:rPr>
            <w:noProof/>
            <w:webHidden/>
          </w:rPr>
          <w:instrText xml:space="preserve"> PAGEREF _Toc227156480 \h </w:instrText>
        </w:r>
        <w:r>
          <w:rPr>
            <w:noProof/>
            <w:webHidden/>
          </w:rPr>
        </w:r>
        <w:r>
          <w:rPr>
            <w:noProof/>
            <w:webHidden/>
          </w:rPr>
          <w:fldChar w:fldCharType="separate"/>
        </w:r>
        <w:r w:rsidR="00E72ABF">
          <w:rPr>
            <w:noProof/>
            <w:webHidden/>
          </w:rPr>
          <w:t>14</w:t>
        </w:r>
        <w:r>
          <w:rPr>
            <w:noProof/>
            <w:webHidden/>
          </w:rPr>
          <w:fldChar w:fldCharType="end"/>
        </w:r>
      </w:hyperlink>
    </w:p>
    <w:p w14:paraId="20339BCC" w14:textId="5A94A1B2" w:rsidR="00FB5A8B" w:rsidRDefault="00FB5A8B">
      <w:pPr>
        <w:pStyle w:val="TOC2"/>
        <w:tabs>
          <w:tab w:val="right" w:leader="dot" w:pos="8630"/>
        </w:tabs>
        <w:rPr>
          <w:rFonts w:eastAsiaTheme="minorEastAsia"/>
          <w:noProof/>
          <w:color w:val="auto"/>
          <w:kern w:val="2"/>
          <w:sz w:val="24"/>
          <w:szCs w:val="24"/>
          <w:lang w:eastAsia="en-NZ"/>
          <w14:ligatures w14:val="standardContextual"/>
        </w:rPr>
      </w:pPr>
      <w:hyperlink w:anchor="_Toc227156481" w:history="1">
        <w:r w:rsidRPr="00780DFF">
          <w:rPr>
            <w:rStyle w:val="Hyperlink"/>
            <w:rFonts w:eastAsia="MS Gothic"/>
            <w:noProof/>
          </w:rPr>
          <w:t>Issues identified in workshops</w:t>
        </w:r>
        <w:r>
          <w:rPr>
            <w:noProof/>
            <w:webHidden/>
          </w:rPr>
          <w:tab/>
        </w:r>
        <w:r>
          <w:rPr>
            <w:noProof/>
            <w:webHidden/>
          </w:rPr>
          <w:fldChar w:fldCharType="begin"/>
        </w:r>
        <w:r>
          <w:rPr>
            <w:noProof/>
            <w:webHidden/>
          </w:rPr>
          <w:instrText xml:space="preserve"> PAGEREF _Toc227156481 \h </w:instrText>
        </w:r>
        <w:r>
          <w:rPr>
            <w:noProof/>
            <w:webHidden/>
          </w:rPr>
        </w:r>
        <w:r>
          <w:rPr>
            <w:noProof/>
            <w:webHidden/>
          </w:rPr>
          <w:fldChar w:fldCharType="separate"/>
        </w:r>
        <w:r w:rsidR="00E72ABF">
          <w:rPr>
            <w:noProof/>
            <w:webHidden/>
          </w:rPr>
          <w:t>14</w:t>
        </w:r>
        <w:r>
          <w:rPr>
            <w:noProof/>
            <w:webHidden/>
          </w:rPr>
          <w:fldChar w:fldCharType="end"/>
        </w:r>
      </w:hyperlink>
    </w:p>
    <w:p w14:paraId="76ECB2DA" w14:textId="4F22FB35" w:rsidR="00FB5A8B" w:rsidRDefault="00FB5A8B">
      <w:pPr>
        <w:pStyle w:val="TOC2"/>
        <w:tabs>
          <w:tab w:val="right" w:leader="dot" w:pos="8630"/>
        </w:tabs>
        <w:rPr>
          <w:rFonts w:eastAsiaTheme="minorEastAsia"/>
          <w:noProof/>
          <w:color w:val="auto"/>
          <w:kern w:val="2"/>
          <w:sz w:val="24"/>
          <w:szCs w:val="24"/>
          <w:lang w:eastAsia="en-NZ"/>
          <w14:ligatures w14:val="standardContextual"/>
        </w:rPr>
      </w:pPr>
      <w:hyperlink w:anchor="_Toc227156482" w:history="1">
        <w:r w:rsidRPr="00780DFF">
          <w:rPr>
            <w:rStyle w:val="Hyperlink"/>
            <w:rFonts w:eastAsia="MS Gothic"/>
            <w:noProof/>
          </w:rPr>
          <w:t>Technical recommendations from NZS 4121 scoping workshops</w:t>
        </w:r>
        <w:r>
          <w:rPr>
            <w:noProof/>
            <w:webHidden/>
          </w:rPr>
          <w:tab/>
        </w:r>
        <w:r>
          <w:rPr>
            <w:noProof/>
            <w:webHidden/>
          </w:rPr>
          <w:fldChar w:fldCharType="begin"/>
        </w:r>
        <w:r>
          <w:rPr>
            <w:noProof/>
            <w:webHidden/>
          </w:rPr>
          <w:instrText xml:space="preserve"> PAGEREF _Toc227156482 \h </w:instrText>
        </w:r>
        <w:r>
          <w:rPr>
            <w:noProof/>
            <w:webHidden/>
          </w:rPr>
        </w:r>
        <w:r>
          <w:rPr>
            <w:noProof/>
            <w:webHidden/>
          </w:rPr>
          <w:fldChar w:fldCharType="separate"/>
        </w:r>
        <w:r w:rsidR="00E72ABF">
          <w:rPr>
            <w:noProof/>
            <w:webHidden/>
          </w:rPr>
          <w:t>16</w:t>
        </w:r>
        <w:r>
          <w:rPr>
            <w:noProof/>
            <w:webHidden/>
          </w:rPr>
          <w:fldChar w:fldCharType="end"/>
        </w:r>
      </w:hyperlink>
    </w:p>
    <w:p w14:paraId="71965BEA" w14:textId="42D6B8C5" w:rsidR="00FB5A8B" w:rsidRDefault="00FB5A8B">
      <w:pPr>
        <w:pStyle w:val="TOC2"/>
        <w:tabs>
          <w:tab w:val="right" w:leader="dot" w:pos="8630"/>
        </w:tabs>
        <w:rPr>
          <w:rFonts w:eastAsiaTheme="minorEastAsia"/>
          <w:noProof/>
          <w:color w:val="auto"/>
          <w:kern w:val="2"/>
          <w:sz w:val="24"/>
          <w:szCs w:val="24"/>
          <w:lang w:eastAsia="en-NZ"/>
          <w14:ligatures w14:val="standardContextual"/>
        </w:rPr>
      </w:pPr>
      <w:hyperlink w:anchor="_Toc227156483" w:history="1">
        <w:r w:rsidRPr="00780DFF">
          <w:rPr>
            <w:rStyle w:val="Hyperlink"/>
            <w:rFonts w:eastAsia="MS Gothic"/>
            <w:noProof/>
          </w:rPr>
          <w:t>Options for future revision of NZS 4121:2001</w:t>
        </w:r>
        <w:r>
          <w:rPr>
            <w:noProof/>
            <w:webHidden/>
          </w:rPr>
          <w:tab/>
        </w:r>
        <w:r>
          <w:rPr>
            <w:noProof/>
            <w:webHidden/>
          </w:rPr>
          <w:fldChar w:fldCharType="begin"/>
        </w:r>
        <w:r>
          <w:rPr>
            <w:noProof/>
            <w:webHidden/>
          </w:rPr>
          <w:instrText xml:space="preserve"> PAGEREF _Toc227156483 \h </w:instrText>
        </w:r>
        <w:r>
          <w:rPr>
            <w:noProof/>
            <w:webHidden/>
          </w:rPr>
        </w:r>
        <w:r>
          <w:rPr>
            <w:noProof/>
            <w:webHidden/>
          </w:rPr>
          <w:fldChar w:fldCharType="separate"/>
        </w:r>
        <w:r w:rsidR="00E72ABF">
          <w:rPr>
            <w:noProof/>
            <w:webHidden/>
          </w:rPr>
          <w:t>19</w:t>
        </w:r>
        <w:r>
          <w:rPr>
            <w:noProof/>
            <w:webHidden/>
          </w:rPr>
          <w:fldChar w:fldCharType="end"/>
        </w:r>
      </w:hyperlink>
    </w:p>
    <w:p w14:paraId="305110A0" w14:textId="0BECA3C0" w:rsidR="00FB5A8B" w:rsidRDefault="00FB5A8B">
      <w:pPr>
        <w:pStyle w:val="TOC1"/>
        <w:tabs>
          <w:tab w:val="right" w:leader="dot" w:pos="8630"/>
        </w:tabs>
        <w:rPr>
          <w:rFonts w:eastAsiaTheme="minorEastAsia"/>
          <w:noProof/>
          <w:color w:val="auto"/>
          <w:kern w:val="2"/>
          <w:sz w:val="24"/>
          <w:szCs w:val="24"/>
          <w:lang w:eastAsia="en-NZ"/>
          <w14:ligatures w14:val="standardContextual"/>
        </w:rPr>
      </w:pPr>
      <w:hyperlink w:anchor="_Toc227156484" w:history="1">
        <w:r w:rsidRPr="00780DFF">
          <w:rPr>
            <w:rStyle w:val="Hyperlink"/>
            <w:rFonts w:eastAsia="MS Gothic"/>
            <w:noProof/>
          </w:rPr>
          <w:t>Standards New Zealand’s recommendations</w:t>
        </w:r>
        <w:r>
          <w:rPr>
            <w:noProof/>
            <w:webHidden/>
          </w:rPr>
          <w:tab/>
        </w:r>
        <w:r>
          <w:rPr>
            <w:noProof/>
            <w:webHidden/>
          </w:rPr>
          <w:fldChar w:fldCharType="begin"/>
        </w:r>
        <w:r>
          <w:rPr>
            <w:noProof/>
            <w:webHidden/>
          </w:rPr>
          <w:instrText xml:space="preserve"> PAGEREF _Toc227156484 \h </w:instrText>
        </w:r>
        <w:r>
          <w:rPr>
            <w:noProof/>
            <w:webHidden/>
          </w:rPr>
        </w:r>
        <w:r>
          <w:rPr>
            <w:noProof/>
            <w:webHidden/>
          </w:rPr>
          <w:fldChar w:fldCharType="separate"/>
        </w:r>
        <w:r w:rsidR="00E72ABF">
          <w:rPr>
            <w:noProof/>
            <w:webHidden/>
          </w:rPr>
          <w:t>24</w:t>
        </w:r>
        <w:r>
          <w:rPr>
            <w:noProof/>
            <w:webHidden/>
          </w:rPr>
          <w:fldChar w:fldCharType="end"/>
        </w:r>
      </w:hyperlink>
    </w:p>
    <w:p w14:paraId="30F7A444" w14:textId="4F9B6E9A" w:rsidR="00FB5A8B" w:rsidRDefault="00FB5A8B">
      <w:pPr>
        <w:pStyle w:val="TOC1"/>
        <w:tabs>
          <w:tab w:val="right" w:leader="dot" w:pos="8630"/>
        </w:tabs>
        <w:rPr>
          <w:rFonts w:eastAsiaTheme="minorEastAsia"/>
          <w:noProof/>
          <w:color w:val="auto"/>
          <w:kern w:val="2"/>
          <w:sz w:val="24"/>
          <w:szCs w:val="24"/>
          <w:lang w:eastAsia="en-NZ"/>
          <w14:ligatures w14:val="standardContextual"/>
        </w:rPr>
      </w:pPr>
      <w:hyperlink w:anchor="_Toc227156485" w:history="1">
        <w:r w:rsidRPr="00780DFF">
          <w:rPr>
            <w:rStyle w:val="Hyperlink"/>
            <w:rFonts w:eastAsia="MS Gothic"/>
            <w:noProof/>
          </w:rPr>
          <w:t>Appendix A: Issues identified with NZS 4121:2001 during the scoping exercise</w:t>
        </w:r>
        <w:r>
          <w:rPr>
            <w:noProof/>
            <w:webHidden/>
          </w:rPr>
          <w:tab/>
        </w:r>
        <w:r>
          <w:rPr>
            <w:noProof/>
            <w:webHidden/>
          </w:rPr>
          <w:fldChar w:fldCharType="begin"/>
        </w:r>
        <w:r>
          <w:rPr>
            <w:noProof/>
            <w:webHidden/>
          </w:rPr>
          <w:instrText xml:space="preserve"> PAGEREF _Toc227156485 \h </w:instrText>
        </w:r>
        <w:r>
          <w:rPr>
            <w:noProof/>
            <w:webHidden/>
          </w:rPr>
        </w:r>
        <w:r>
          <w:rPr>
            <w:noProof/>
            <w:webHidden/>
          </w:rPr>
          <w:fldChar w:fldCharType="separate"/>
        </w:r>
        <w:r w:rsidR="00E72ABF">
          <w:rPr>
            <w:noProof/>
            <w:webHidden/>
          </w:rPr>
          <w:t>25</w:t>
        </w:r>
        <w:r>
          <w:rPr>
            <w:noProof/>
            <w:webHidden/>
          </w:rPr>
          <w:fldChar w:fldCharType="end"/>
        </w:r>
      </w:hyperlink>
    </w:p>
    <w:p w14:paraId="27658BE3" w14:textId="22D00339" w:rsidR="00FB5A8B" w:rsidRDefault="00FB5A8B">
      <w:pPr>
        <w:pStyle w:val="TOC1"/>
        <w:tabs>
          <w:tab w:val="right" w:leader="dot" w:pos="8630"/>
        </w:tabs>
        <w:rPr>
          <w:rFonts w:eastAsiaTheme="minorEastAsia"/>
          <w:noProof/>
          <w:color w:val="auto"/>
          <w:kern w:val="2"/>
          <w:sz w:val="24"/>
          <w:szCs w:val="24"/>
          <w:lang w:eastAsia="en-NZ"/>
          <w14:ligatures w14:val="standardContextual"/>
        </w:rPr>
      </w:pPr>
      <w:hyperlink w:anchor="_Toc227156486" w:history="1">
        <w:r w:rsidRPr="00780DFF">
          <w:rPr>
            <w:rStyle w:val="Hyperlink"/>
            <w:noProof/>
          </w:rPr>
          <w:t>Appendix B Scoping methodology</w:t>
        </w:r>
        <w:r>
          <w:rPr>
            <w:noProof/>
            <w:webHidden/>
          </w:rPr>
          <w:tab/>
        </w:r>
        <w:r>
          <w:rPr>
            <w:noProof/>
            <w:webHidden/>
          </w:rPr>
          <w:fldChar w:fldCharType="begin"/>
        </w:r>
        <w:r>
          <w:rPr>
            <w:noProof/>
            <w:webHidden/>
          </w:rPr>
          <w:instrText xml:space="preserve"> PAGEREF _Toc227156486 \h </w:instrText>
        </w:r>
        <w:r>
          <w:rPr>
            <w:noProof/>
            <w:webHidden/>
          </w:rPr>
        </w:r>
        <w:r>
          <w:rPr>
            <w:noProof/>
            <w:webHidden/>
          </w:rPr>
          <w:fldChar w:fldCharType="separate"/>
        </w:r>
        <w:r w:rsidR="00E72ABF">
          <w:rPr>
            <w:noProof/>
            <w:webHidden/>
          </w:rPr>
          <w:t>38</w:t>
        </w:r>
        <w:r>
          <w:rPr>
            <w:noProof/>
            <w:webHidden/>
          </w:rPr>
          <w:fldChar w:fldCharType="end"/>
        </w:r>
      </w:hyperlink>
    </w:p>
    <w:p w14:paraId="7DB44C5E" w14:textId="41880FB5" w:rsidR="00FB5A8B" w:rsidRDefault="00FB5A8B">
      <w:pPr>
        <w:pStyle w:val="TOC1"/>
        <w:tabs>
          <w:tab w:val="right" w:leader="dot" w:pos="8630"/>
        </w:tabs>
        <w:rPr>
          <w:rFonts w:eastAsiaTheme="minorEastAsia"/>
          <w:noProof/>
          <w:color w:val="auto"/>
          <w:kern w:val="2"/>
          <w:sz w:val="24"/>
          <w:szCs w:val="24"/>
          <w:lang w:eastAsia="en-NZ"/>
          <w14:ligatures w14:val="standardContextual"/>
        </w:rPr>
      </w:pPr>
      <w:hyperlink w:anchor="_Toc227156487" w:history="1">
        <w:r w:rsidRPr="00780DFF">
          <w:rPr>
            <w:rStyle w:val="Hyperlink"/>
            <w:noProof/>
          </w:rPr>
          <w:t>Appendix C High-level comparisons of NZS 4121:2001 with similar standards</w:t>
        </w:r>
        <w:r>
          <w:rPr>
            <w:noProof/>
            <w:webHidden/>
          </w:rPr>
          <w:tab/>
        </w:r>
        <w:r>
          <w:rPr>
            <w:noProof/>
            <w:webHidden/>
          </w:rPr>
          <w:fldChar w:fldCharType="begin"/>
        </w:r>
        <w:r>
          <w:rPr>
            <w:noProof/>
            <w:webHidden/>
          </w:rPr>
          <w:instrText xml:space="preserve"> PAGEREF _Toc227156487 \h </w:instrText>
        </w:r>
        <w:r>
          <w:rPr>
            <w:noProof/>
            <w:webHidden/>
          </w:rPr>
        </w:r>
        <w:r>
          <w:rPr>
            <w:noProof/>
            <w:webHidden/>
          </w:rPr>
          <w:fldChar w:fldCharType="separate"/>
        </w:r>
        <w:r w:rsidR="00E72ABF">
          <w:rPr>
            <w:noProof/>
            <w:webHidden/>
          </w:rPr>
          <w:t>41</w:t>
        </w:r>
        <w:r>
          <w:rPr>
            <w:noProof/>
            <w:webHidden/>
          </w:rPr>
          <w:fldChar w:fldCharType="end"/>
        </w:r>
      </w:hyperlink>
    </w:p>
    <w:p w14:paraId="75B8CBB1" w14:textId="08E2A83D" w:rsidR="00185BA3" w:rsidRDefault="00041DCA" w:rsidP="00844C99">
      <w:pPr>
        <w:spacing w:after="200" w:line="276" w:lineRule="auto"/>
        <w:rPr>
          <w:rFonts w:ascii="Calibri" w:eastAsia="MS Mincho" w:hAnsi="Calibri" w:cs="Calibri"/>
          <w:color w:val="auto"/>
          <w:sz w:val="22"/>
        </w:rPr>
      </w:pPr>
      <w:r w:rsidRPr="002762AC">
        <w:rPr>
          <w:rFonts w:ascii="Calibri" w:eastAsia="MS Mincho" w:hAnsi="Calibri" w:cs="Calibri"/>
          <w:color w:val="auto"/>
          <w:sz w:val="22"/>
        </w:rPr>
        <w:fldChar w:fldCharType="end"/>
      </w:r>
      <w:r w:rsidR="00185BA3">
        <w:rPr>
          <w:rFonts w:ascii="Calibri" w:eastAsia="MS Mincho" w:hAnsi="Calibri" w:cs="Calibri"/>
          <w:color w:val="auto"/>
          <w:sz w:val="22"/>
        </w:rPr>
        <w:br w:type="page"/>
      </w:r>
    </w:p>
    <w:p w14:paraId="307492F3" w14:textId="77777777" w:rsidR="00844C99" w:rsidRPr="00844C99" w:rsidRDefault="00844C99" w:rsidP="00844C99">
      <w:pPr>
        <w:spacing w:after="200" w:line="276" w:lineRule="auto"/>
        <w:rPr>
          <w:rFonts w:ascii="Calibri" w:eastAsia="MS Mincho" w:hAnsi="Calibri" w:cs="Calibri"/>
          <w:color w:val="auto"/>
          <w:sz w:val="22"/>
        </w:rPr>
      </w:pPr>
    </w:p>
    <w:p w14:paraId="591E0E71" w14:textId="77777777" w:rsidR="00721D7C" w:rsidRPr="00844C99" w:rsidRDefault="00721D7C" w:rsidP="00721D7C">
      <w:pPr>
        <w:pStyle w:val="Heading1"/>
        <w:rPr>
          <w:rFonts w:eastAsia="MS Gothic"/>
        </w:rPr>
      </w:pPr>
      <w:bookmarkStart w:id="0" w:name="_Toc227156471"/>
      <w:r w:rsidRPr="00844C99">
        <w:rPr>
          <w:rFonts w:eastAsia="MS Gothic"/>
        </w:rPr>
        <w:t>Acknowledgement</w:t>
      </w:r>
      <w:r>
        <w:rPr>
          <w:rFonts w:eastAsia="MS Gothic"/>
        </w:rPr>
        <w:t>s</w:t>
      </w:r>
      <w:bookmarkEnd w:id="0"/>
    </w:p>
    <w:p w14:paraId="711CFA29" w14:textId="77777777" w:rsidR="00721D7C" w:rsidRDefault="00721D7C" w:rsidP="00721D7C">
      <w:pPr>
        <w:spacing w:after="200" w:line="276" w:lineRule="auto"/>
        <w:rPr>
          <w:rFonts w:ascii="Calibri" w:eastAsia="MS Mincho" w:hAnsi="Calibri" w:cs="Calibri"/>
          <w:color w:val="auto"/>
          <w:sz w:val="22"/>
        </w:rPr>
      </w:pPr>
    </w:p>
    <w:p w14:paraId="7FB5F36C" w14:textId="7D3DCD05" w:rsidR="00721D7C" w:rsidRPr="00155196" w:rsidRDefault="00721D7C" w:rsidP="00155196">
      <w:pPr>
        <w:rPr>
          <w:sz w:val="22"/>
          <w:szCs w:val="24"/>
        </w:rPr>
      </w:pPr>
      <w:r w:rsidRPr="00155196">
        <w:rPr>
          <w:sz w:val="22"/>
          <w:szCs w:val="24"/>
        </w:rPr>
        <w:t>Standards New Zealand wishes to acknowledge the</w:t>
      </w:r>
      <w:r w:rsidRPr="00350D17">
        <w:rPr>
          <w:color w:val="ED0000"/>
          <w:sz w:val="22"/>
          <w:szCs w:val="24"/>
        </w:rPr>
        <w:t xml:space="preserve"> </w:t>
      </w:r>
      <w:r w:rsidR="00350D17" w:rsidRPr="001B3B06">
        <w:rPr>
          <w:color w:val="auto"/>
          <w:sz w:val="22"/>
          <w:szCs w:val="24"/>
        </w:rPr>
        <w:t>financial</w:t>
      </w:r>
      <w:r w:rsidR="00350D17" w:rsidRPr="00350D17">
        <w:rPr>
          <w:color w:val="ED0000"/>
          <w:sz w:val="22"/>
          <w:szCs w:val="24"/>
        </w:rPr>
        <w:t xml:space="preserve"> </w:t>
      </w:r>
      <w:r w:rsidR="00350D17">
        <w:rPr>
          <w:sz w:val="22"/>
          <w:szCs w:val="24"/>
        </w:rPr>
        <w:t>s</w:t>
      </w:r>
      <w:r w:rsidRPr="00155196">
        <w:rPr>
          <w:sz w:val="22"/>
          <w:szCs w:val="24"/>
        </w:rPr>
        <w:t>upport and leadership provided by Whaikaha</w:t>
      </w:r>
      <w:r w:rsidR="00185BA3">
        <w:rPr>
          <w:sz w:val="22"/>
          <w:szCs w:val="24"/>
        </w:rPr>
        <w:t xml:space="preserve"> -</w:t>
      </w:r>
      <w:r w:rsidRPr="00155196">
        <w:rPr>
          <w:sz w:val="22"/>
          <w:szCs w:val="24"/>
        </w:rPr>
        <w:t xml:space="preserve"> Ministry of Disabled People, in commissioning this important work and offering valuable guidance during the scoping </w:t>
      </w:r>
      <w:r w:rsidR="00350D17" w:rsidRPr="001B3B06">
        <w:rPr>
          <w:color w:val="auto"/>
          <w:sz w:val="22"/>
          <w:szCs w:val="24"/>
        </w:rPr>
        <w:t>stakeholder</w:t>
      </w:r>
      <w:r w:rsidR="00350D17" w:rsidRPr="00350D17">
        <w:rPr>
          <w:color w:val="ED0000"/>
          <w:sz w:val="22"/>
          <w:szCs w:val="24"/>
        </w:rPr>
        <w:t xml:space="preserve"> </w:t>
      </w:r>
      <w:r w:rsidRPr="00155196">
        <w:rPr>
          <w:sz w:val="22"/>
          <w:szCs w:val="24"/>
        </w:rPr>
        <w:t xml:space="preserve">workshops. Standards New Zealand is </w:t>
      </w:r>
      <w:r w:rsidR="00350D17" w:rsidRPr="001B3B06">
        <w:rPr>
          <w:color w:val="auto"/>
          <w:sz w:val="22"/>
          <w:szCs w:val="24"/>
        </w:rPr>
        <w:t>appreciative</w:t>
      </w:r>
      <w:r w:rsidR="00350D17">
        <w:rPr>
          <w:sz w:val="22"/>
          <w:szCs w:val="24"/>
        </w:rPr>
        <w:t xml:space="preserve"> </w:t>
      </w:r>
      <w:r w:rsidRPr="00155196">
        <w:rPr>
          <w:sz w:val="22"/>
          <w:szCs w:val="24"/>
        </w:rPr>
        <w:t>for this support and direction.</w:t>
      </w:r>
    </w:p>
    <w:p w14:paraId="0248723F" w14:textId="07CDDB62" w:rsidR="00721D7C" w:rsidRPr="00155196" w:rsidRDefault="00721D7C" w:rsidP="00155196">
      <w:pPr>
        <w:rPr>
          <w:sz w:val="22"/>
          <w:szCs w:val="24"/>
        </w:rPr>
      </w:pPr>
      <w:r w:rsidRPr="00155196">
        <w:rPr>
          <w:sz w:val="22"/>
          <w:szCs w:val="24"/>
        </w:rPr>
        <w:t>Standards New Zealand also want</w:t>
      </w:r>
      <w:r w:rsidR="008A247F">
        <w:rPr>
          <w:sz w:val="22"/>
          <w:szCs w:val="24"/>
        </w:rPr>
        <w:t>s</w:t>
      </w:r>
      <w:r w:rsidRPr="00155196">
        <w:rPr>
          <w:sz w:val="22"/>
          <w:szCs w:val="24"/>
        </w:rPr>
        <w:t xml:space="preserve"> to acknowledge contributions from the disability sector –organisations that represent the very people who are challenged by inadequate means of access </w:t>
      </w:r>
      <w:r w:rsidR="00350D17" w:rsidRPr="001B3B06">
        <w:rPr>
          <w:color w:val="auto"/>
          <w:sz w:val="22"/>
          <w:szCs w:val="24"/>
        </w:rPr>
        <w:t xml:space="preserve">and facilities </w:t>
      </w:r>
      <w:r w:rsidRPr="00155196">
        <w:rPr>
          <w:sz w:val="22"/>
          <w:szCs w:val="24"/>
        </w:rPr>
        <w:t xml:space="preserve">in New Zealand buildings. Stakeholder feedback acquired as part of the scoping exercise is invaluable and will help inform a comprehensive revision of NZS 4121:2001. </w:t>
      </w:r>
    </w:p>
    <w:p w14:paraId="62B872EE" w14:textId="30537FAE" w:rsidR="00721D7C" w:rsidRDefault="00721D7C">
      <w:pPr>
        <w:spacing w:after="160" w:line="259" w:lineRule="auto"/>
        <w:rPr>
          <w:rFonts w:asciiTheme="majorHAnsi" w:eastAsia="MS Mincho" w:hAnsiTheme="majorHAnsi" w:cstheme="majorBidi"/>
          <w:color w:val="auto"/>
          <w:sz w:val="22"/>
          <w:szCs w:val="32"/>
        </w:rPr>
      </w:pPr>
      <w:r>
        <w:rPr>
          <w:rFonts w:eastAsia="MS Mincho"/>
          <w:color w:val="auto"/>
          <w:sz w:val="22"/>
        </w:rPr>
        <w:br w:type="page"/>
      </w:r>
    </w:p>
    <w:p w14:paraId="15E4DD4E" w14:textId="22BDB43E" w:rsidR="00844C99" w:rsidRPr="00844C99" w:rsidRDefault="00844C99" w:rsidP="00721D7C">
      <w:pPr>
        <w:pStyle w:val="Heading1"/>
        <w:rPr>
          <w:rFonts w:eastAsia="MS Mincho"/>
          <w:color w:val="auto"/>
          <w:sz w:val="22"/>
          <w:szCs w:val="22"/>
        </w:rPr>
      </w:pPr>
      <w:bookmarkStart w:id="1" w:name="_Toc227156472"/>
      <w:r w:rsidRPr="00844C99">
        <w:rPr>
          <w:rFonts w:eastAsia="MS Gothic"/>
        </w:rPr>
        <w:lastRenderedPageBreak/>
        <w:t>Executive Summary</w:t>
      </w:r>
      <w:bookmarkEnd w:id="1"/>
    </w:p>
    <w:p w14:paraId="61A35792" w14:textId="77777777" w:rsidR="00721D7C" w:rsidRDefault="00721D7C" w:rsidP="00185BA3">
      <w:pPr>
        <w:spacing w:after="0" w:line="276" w:lineRule="auto"/>
        <w:rPr>
          <w:rFonts w:ascii="Calibri" w:eastAsia="MS Mincho" w:hAnsi="Calibri" w:cs="Calibri"/>
          <w:color w:val="auto"/>
          <w:sz w:val="22"/>
        </w:rPr>
      </w:pPr>
    </w:p>
    <w:p w14:paraId="080ABF8C" w14:textId="49C10E25" w:rsidR="00844C99" w:rsidRPr="00844C99" w:rsidRDefault="00844C99" w:rsidP="00844C99">
      <w:pPr>
        <w:spacing w:after="200" w:line="276" w:lineRule="auto"/>
        <w:rPr>
          <w:rFonts w:ascii="Calibri" w:eastAsia="MS Mincho" w:hAnsi="Calibri" w:cs="Calibri"/>
          <w:color w:val="auto"/>
          <w:sz w:val="22"/>
        </w:rPr>
      </w:pPr>
      <w:r w:rsidRPr="00844C99">
        <w:rPr>
          <w:rFonts w:ascii="Calibri" w:eastAsia="MS Mincho" w:hAnsi="Calibri" w:cs="Calibri"/>
          <w:color w:val="auto"/>
          <w:sz w:val="22"/>
        </w:rPr>
        <w:t xml:space="preserve">This report </w:t>
      </w:r>
      <w:r w:rsidR="008E50AB">
        <w:rPr>
          <w:rFonts w:ascii="Calibri" w:eastAsia="MS Mincho" w:hAnsi="Calibri" w:cs="Calibri"/>
          <w:color w:val="auto"/>
          <w:sz w:val="22"/>
        </w:rPr>
        <w:t xml:space="preserve">outlines </w:t>
      </w:r>
      <w:r w:rsidRPr="00844C99">
        <w:rPr>
          <w:rFonts w:ascii="Calibri" w:eastAsia="MS Mincho" w:hAnsi="Calibri" w:cs="Calibri"/>
          <w:color w:val="auto"/>
          <w:sz w:val="22"/>
        </w:rPr>
        <w:t>main findings and recommendations from the environmental scan on disability standards</w:t>
      </w:r>
      <w:r w:rsidR="008E50AB">
        <w:rPr>
          <w:rFonts w:ascii="Calibri" w:eastAsia="MS Mincho" w:hAnsi="Calibri" w:cs="Calibri"/>
          <w:color w:val="auto"/>
          <w:sz w:val="22"/>
        </w:rPr>
        <w:t>,</w:t>
      </w:r>
      <w:r w:rsidRPr="00844C99">
        <w:rPr>
          <w:rFonts w:ascii="Calibri" w:eastAsia="MS Mincho" w:hAnsi="Calibri" w:cs="Calibri"/>
          <w:color w:val="auto"/>
          <w:sz w:val="22"/>
        </w:rPr>
        <w:t xml:space="preserve"> and subsequent scoping workshops </w:t>
      </w:r>
      <w:r w:rsidR="00350D17" w:rsidRPr="001B3B06">
        <w:rPr>
          <w:rFonts w:ascii="Calibri" w:eastAsia="MS Mincho" w:hAnsi="Calibri" w:cs="Calibri"/>
          <w:color w:val="auto"/>
          <w:sz w:val="22"/>
        </w:rPr>
        <w:t xml:space="preserve">with key stakeholders </w:t>
      </w:r>
      <w:r w:rsidRPr="00844C99">
        <w:rPr>
          <w:rFonts w:ascii="Calibri" w:eastAsia="MS Mincho" w:hAnsi="Calibri" w:cs="Calibri"/>
          <w:color w:val="auto"/>
          <w:sz w:val="22"/>
        </w:rPr>
        <w:t>held in late 2025</w:t>
      </w:r>
      <w:r w:rsidR="008E50AB">
        <w:rPr>
          <w:rFonts w:ascii="Calibri" w:eastAsia="MS Mincho" w:hAnsi="Calibri" w:cs="Calibri"/>
          <w:color w:val="auto"/>
          <w:sz w:val="22"/>
        </w:rPr>
        <w:t>. The scoping workshops</w:t>
      </w:r>
      <w:r w:rsidRPr="00844C99">
        <w:rPr>
          <w:rFonts w:ascii="Calibri" w:eastAsia="MS Mincho" w:hAnsi="Calibri" w:cs="Calibri"/>
          <w:color w:val="auto"/>
          <w:sz w:val="22"/>
        </w:rPr>
        <w:t xml:space="preserve"> </w:t>
      </w:r>
      <w:r w:rsidR="00EE1AF1">
        <w:rPr>
          <w:rFonts w:ascii="Calibri" w:eastAsia="MS Mincho" w:hAnsi="Calibri" w:cs="Calibri"/>
          <w:color w:val="auto"/>
          <w:sz w:val="22"/>
        </w:rPr>
        <w:t>identified</w:t>
      </w:r>
      <w:r w:rsidRPr="00844C99">
        <w:rPr>
          <w:rFonts w:ascii="Calibri" w:eastAsia="MS Mincho" w:hAnsi="Calibri" w:cs="Calibri"/>
          <w:color w:val="auto"/>
          <w:sz w:val="22"/>
        </w:rPr>
        <w:t xml:space="preserve"> issues, gaps and opportunities relating to NZS 4121:2001</w:t>
      </w:r>
      <w:r w:rsidR="00350D17">
        <w:rPr>
          <w:rFonts w:ascii="Calibri" w:eastAsia="MS Mincho" w:hAnsi="Calibri" w:cs="Calibri"/>
          <w:color w:val="auto"/>
          <w:sz w:val="22"/>
        </w:rPr>
        <w:t xml:space="preserve"> </w:t>
      </w:r>
      <w:r w:rsidRPr="00844C99">
        <w:rPr>
          <w:rFonts w:ascii="Calibri" w:eastAsia="MS Mincho" w:hAnsi="Calibri" w:cs="Calibri"/>
          <w:i/>
          <w:iCs/>
          <w:color w:val="auto"/>
          <w:sz w:val="22"/>
        </w:rPr>
        <w:t xml:space="preserve">Design for </w:t>
      </w:r>
      <w:r w:rsidR="00FF3502" w:rsidRPr="00844C99">
        <w:rPr>
          <w:rFonts w:ascii="Calibri" w:eastAsia="MS Mincho" w:hAnsi="Calibri" w:cs="Calibri"/>
          <w:i/>
          <w:iCs/>
          <w:color w:val="auto"/>
          <w:sz w:val="22"/>
        </w:rPr>
        <w:t xml:space="preserve">access and mobility </w:t>
      </w:r>
      <w:r w:rsidRPr="00844C99">
        <w:rPr>
          <w:rFonts w:ascii="Calibri" w:eastAsia="MS Mincho" w:hAnsi="Calibri" w:cs="Calibri"/>
          <w:i/>
          <w:iCs/>
          <w:color w:val="auto"/>
          <w:sz w:val="22"/>
        </w:rPr>
        <w:t>–</w:t>
      </w:r>
      <w:r w:rsidR="00FF3502">
        <w:rPr>
          <w:rFonts w:ascii="Calibri" w:eastAsia="MS Mincho" w:hAnsi="Calibri" w:cs="Calibri"/>
          <w:i/>
          <w:iCs/>
          <w:color w:val="auto"/>
          <w:sz w:val="22"/>
        </w:rPr>
        <w:t xml:space="preserve"> </w:t>
      </w:r>
      <w:r w:rsidRPr="00844C99">
        <w:rPr>
          <w:rFonts w:ascii="Calibri" w:eastAsia="MS Mincho" w:hAnsi="Calibri" w:cs="Calibri"/>
          <w:i/>
          <w:iCs/>
          <w:color w:val="auto"/>
          <w:sz w:val="22"/>
        </w:rPr>
        <w:t xml:space="preserve">Buildings and </w:t>
      </w:r>
      <w:r w:rsidR="00FF3502" w:rsidRPr="00844C99">
        <w:rPr>
          <w:rFonts w:ascii="Calibri" w:eastAsia="MS Mincho" w:hAnsi="Calibri" w:cs="Calibri"/>
          <w:i/>
          <w:iCs/>
          <w:color w:val="auto"/>
          <w:sz w:val="22"/>
        </w:rPr>
        <w:t>associated facilities</w:t>
      </w:r>
      <w:r w:rsidR="00FF3502">
        <w:rPr>
          <w:rFonts w:ascii="Calibri" w:eastAsia="MS Mincho" w:hAnsi="Calibri" w:cs="Calibri"/>
          <w:i/>
          <w:iCs/>
          <w:color w:val="auto"/>
          <w:sz w:val="22"/>
        </w:rPr>
        <w:t xml:space="preserve"> </w:t>
      </w:r>
      <w:r w:rsidR="00EE1AF1" w:rsidRPr="008E32E2">
        <w:rPr>
          <w:rFonts w:ascii="Calibri" w:eastAsia="MS Mincho" w:hAnsi="Calibri" w:cs="Calibri"/>
          <w:color w:val="auto"/>
          <w:sz w:val="22"/>
        </w:rPr>
        <w:t>(NZS</w:t>
      </w:r>
      <w:r w:rsidR="008E32E2" w:rsidRPr="008E32E2">
        <w:rPr>
          <w:rFonts w:ascii="Calibri" w:eastAsia="MS Mincho" w:hAnsi="Calibri" w:cs="Calibri"/>
          <w:color w:val="auto"/>
          <w:sz w:val="22"/>
        </w:rPr>
        <w:t xml:space="preserve"> </w:t>
      </w:r>
      <w:r w:rsidR="00EE1AF1" w:rsidRPr="008E32E2">
        <w:rPr>
          <w:rFonts w:ascii="Calibri" w:eastAsia="MS Mincho" w:hAnsi="Calibri" w:cs="Calibri"/>
          <w:color w:val="auto"/>
          <w:sz w:val="22"/>
        </w:rPr>
        <w:t>4121</w:t>
      </w:r>
      <w:r w:rsidR="00E6615A" w:rsidRPr="008E32E2">
        <w:rPr>
          <w:rFonts w:ascii="Calibri" w:eastAsia="MS Mincho" w:hAnsi="Calibri" w:cs="Calibri"/>
          <w:color w:val="auto"/>
          <w:sz w:val="22"/>
        </w:rPr>
        <w:t>:2001</w:t>
      </w:r>
      <w:r w:rsidR="00EE1AF1" w:rsidRPr="00F863DA">
        <w:rPr>
          <w:rFonts w:ascii="Calibri" w:eastAsia="MS Mincho" w:hAnsi="Calibri" w:cs="Calibri"/>
          <w:color w:val="auto"/>
          <w:sz w:val="22"/>
        </w:rPr>
        <w:t>)</w:t>
      </w:r>
      <w:r w:rsidR="00EE1AF1">
        <w:rPr>
          <w:rFonts w:ascii="Calibri" w:eastAsia="MS Mincho" w:hAnsi="Calibri" w:cs="Calibri"/>
          <w:color w:val="auto"/>
          <w:sz w:val="22"/>
        </w:rPr>
        <w:t xml:space="preserve">. </w:t>
      </w:r>
      <w:r w:rsidR="00400E47">
        <w:rPr>
          <w:rFonts w:ascii="Calibri" w:eastAsia="MS Mincho" w:hAnsi="Calibri" w:cs="Calibri"/>
          <w:color w:val="auto"/>
          <w:sz w:val="22"/>
        </w:rPr>
        <w:t>This</w:t>
      </w:r>
      <w:r w:rsidR="00EE1AF1">
        <w:rPr>
          <w:rFonts w:ascii="Calibri" w:eastAsia="MS Mincho" w:hAnsi="Calibri" w:cs="Calibri"/>
          <w:color w:val="auto"/>
          <w:sz w:val="22"/>
        </w:rPr>
        <w:t xml:space="preserve"> is</w:t>
      </w:r>
      <w:r w:rsidRPr="00844C99">
        <w:rPr>
          <w:rFonts w:ascii="Calibri" w:eastAsia="MS Mincho" w:hAnsi="Calibri" w:cs="Calibri"/>
          <w:color w:val="auto"/>
          <w:sz w:val="22"/>
        </w:rPr>
        <w:t xml:space="preserve"> a </w:t>
      </w:r>
      <w:r w:rsidR="00C376FC" w:rsidRPr="00844C99">
        <w:rPr>
          <w:rFonts w:ascii="Calibri" w:eastAsia="MS Mincho" w:hAnsi="Calibri" w:cs="Calibri"/>
          <w:color w:val="auto"/>
          <w:sz w:val="22"/>
        </w:rPr>
        <w:t>25</w:t>
      </w:r>
      <w:r w:rsidR="002076DF">
        <w:rPr>
          <w:rFonts w:ascii="Calibri" w:eastAsia="MS Mincho" w:hAnsi="Calibri" w:cs="Calibri"/>
          <w:color w:val="auto"/>
          <w:sz w:val="22"/>
        </w:rPr>
        <w:t>-</w:t>
      </w:r>
      <w:r w:rsidR="00C376FC" w:rsidRPr="00844C99">
        <w:rPr>
          <w:rFonts w:ascii="Calibri" w:eastAsia="MS Mincho" w:hAnsi="Calibri" w:cs="Calibri"/>
          <w:color w:val="auto"/>
          <w:sz w:val="22"/>
        </w:rPr>
        <w:t>year</w:t>
      </w:r>
      <w:r w:rsidR="00C376FC">
        <w:rPr>
          <w:rFonts w:ascii="Calibri" w:eastAsia="MS Mincho" w:hAnsi="Calibri" w:cs="Calibri"/>
          <w:color w:val="auto"/>
          <w:sz w:val="22"/>
        </w:rPr>
        <w:t>-old</w:t>
      </w:r>
      <w:r w:rsidRPr="00844C99">
        <w:rPr>
          <w:rFonts w:ascii="Calibri" w:eastAsia="MS Mincho" w:hAnsi="Calibri" w:cs="Calibri"/>
          <w:color w:val="auto"/>
          <w:sz w:val="22"/>
        </w:rPr>
        <w:t xml:space="preserve"> standard that covers accessibility requirements for buildings and associated facilities in New Zealand. </w:t>
      </w:r>
    </w:p>
    <w:p w14:paraId="20E94A64" w14:textId="04EC7389" w:rsidR="00137572" w:rsidRDefault="00C376FC" w:rsidP="00CF39B5">
      <w:pPr>
        <w:spacing w:after="200" w:line="276" w:lineRule="auto"/>
        <w:rPr>
          <w:rFonts w:ascii="Calibri" w:eastAsia="MS Mincho" w:hAnsi="Calibri" w:cs="Calibri"/>
          <w:color w:val="auto"/>
          <w:sz w:val="22"/>
        </w:rPr>
      </w:pPr>
      <w:r w:rsidRPr="00C376FC">
        <w:rPr>
          <w:rFonts w:ascii="Calibri" w:eastAsia="MS Mincho" w:hAnsi="Calibri" w:cs="Calibri"/>
          <w:color w:val="auto"/>
          <w:sz w:val="22"/>
        </w:rPr>
        <w:t>The environmental scan was undertaken by Global Research Ltd, commissioned by Standards New Zealand to inform the review of NZS 4121:2001</w:t>
      </w:r>
      <w:r>
        <w:rPr>
          <w:rFonts w:ascii="Calibri" w:eastAsia="MS Mincho" w:hAnsi="Calibri" w:cs="Calibri"/>
          <w:color w:val="auto"/>
          <w:sz w:val="22"/>
        </w:rPr>
        <w:t>.</w:t>
      </w:r>
      <w:r w:rsidRPr="00C376FC">
        <w:rPr>
          <w:rFonts w:ascii="Calibri" w:eastAsia="MS Mincho" w:hAnsi="Calibri" w:cs="Calibri"/>
          <w:color w:val="auto"/>
          <w:sz w:val="22"/>
        </w:rPr>
        <w:t xml:space="preserve"> The scan compared NZS 4121:2001 with leading </w:t>
      </w:r>
      <w:r w:rsidR="001B3B06">
        <w:rPr>
          <w:rFonts w:ascii="Calibri" w:eastAsia="MS Mincho" w:hAnsi="Calibri" w:cs="Calibri"/>
          <w:color w:val="auto"/>
          <w:sz w:val="22"/>
        </w:rPr>
        <w:t>overseas</w:t>
      </w:r>
      <w:r w:rsidRPr="00C376FC">
        <w:rPr>
          <w:rFonts w:ascii="Calibri" w:eastAsia="MS Mincho" w:hAnsi="Calibri" w:cs="Calibri"/>
          <w:color w:val="auto"/>
          <w:sz w:val="22"/>
        </w:rPr>
        <w:t xml:space="preserve"> accessibility standards from Canada, the European Union, the United States, the United Kingdom, and Australia</w:t>
      </w:r>
      <w:r w:rsidR="00E6615A">
        <w:rPr>
          <w:rFonts w:ascii="Calibri" w:eastAsia="MS Mincho" w:hAnsi="Calibri" w:cs="Calibri"/>
          <w:color w:val="auto"/>
          <w:sz w:val="22"/>
        </w:rPr>
        <w:t>. The scan</w:t>
      </w:r>
      <w:r w:rsidRPr="00C376FC">
        <w:rPr>
          <w:rFonts w:ascii="Calibri" w:eastAsia="MS Mincho" w:hAnsi="Calibri" w:cs="Calibri"/>
          <w:color w:val="auto"/>
          <w:sz w:val="22"/>
        </w:rPr>
        <w:t xml:space="preserve"> reveal</w:t>
      </w:r>
      <w:r w:rsidR="00E6615A">
        <w:rPr>
          <w:rFonts w:ascii="Calibri" w:eastAsia="MS Mincho" w:hAnsi="Calibri" w:cs="Calibri"/>
          <w:color w:val="auto"/>
          <w:sz w:val="22"/>
        </w:rPr>
        <w:t>ed</w:t>
      </w:r>
      <w:r w:rsidRPr="00C376FC">
        <w:rPr>
          <w:rFonts w:ascii="Calibri" w:eastAsia="MS Mincho" w:hAnsi="Calibri" w:cs="Calibri"/>
          <w:color w:val="auto"/>
          <w:sz w:val="22"/>
        </w:rPr>
        <w:t xml:space="preserve"> that while NZS 4121:2001 has long served as New Zealand’s foundational accessibility standard, it is now outdated and narrower in scope than its </w:t>
      </w:r>
      <w:r w:rsidR="00A84779">
        <w:rPr>
          <w:rFonts w:ascii="Calibri" w:eastAsia="MS Mincho" w:hAnsi="Calibri" w:cs="Calibri"/>
          <w:color w:val="auto"/>
          <w:sz w:val="22"/>
        </w:rPr>
        <w:t>overseas</w:t>
      </w:r>
      <w:r w:rsidRPr="00C376FC">
        <w:rPr>
          <w:rFonts w:ascii="Calibri" w:eastAsia="MS Mincho" w:hAnsi="Calibri" w:cs="Calibri"/>
          <w:color w:val="auto"/>
          <w:sz w:val="22"/>
        </w:rPr>
        <w:t xml:space="preserve"> counterparts</w:t>
      </w:r>
      <w:r w:rsidR="00465D9B">
        <w:rPr>
          <w:rFonts w:ascii="Calibri" w:eastAsia="MS Mincho" w:hAnsi="Calibri" w:cs="Calibri"/>
          <w:color w:val="auto"/>
          <w:sz w:val="22"/>
        </w:rPr>
        <w:t xml:space="preserve"> </w:t>
      </w:r>
      <w:r w:rsidR="00350D17" w:rsidRPr="001B3B06">
        <w:rPr>
          <w:rFonts w:ascii="Calibri" w:eastAsia="MS Mincho" w:hAnsi="Calibri" w:cs="Calibri"/>
          <w:color w:val="auto"/>
          <w:sz w:val="22"/>
        </w:rPr>
        <w:t xml:space="preserve">and </w:t>
      </w:r>
      <w:r w:rsidR="00465D9B">
        <w:rPr>
          <w:rFonts w:ascii="Calibri" w:eastAsia="MS Mincho" w:hAnsi="Calibri" w:cs="Calibri"/>
          <w:color w:val="auto"/>
          <w:sz w:val="22"/>
        </w:rPr>
        <w:t xml:space="preserve">current </w:t>
      </w:r>
      <w:r w:rsidR="00350D17" w:rsidRPr="001B3B06">
        <w:rPr>
          <w:rFonts w:ascii="Calibri" w:eastAsia="MS Mincho" w:hAnsi="Calibri" w:cs="Calibri"/>
          <w:color w:val="auto"/>
          <w:sz w:val="22"/>
        </w:rPr>
        <w:t xml:space="preserve">sector needs. </w:t>
      </w:r>
      <w:r w:rsidRPr="00C376FC">
        <w:rPr>
          <w:rFonts w:ascii="Calibri" w:eastAsia="MS Mincho" w:hAnsi="Calibri" w:cs="Calibri"/>
          <w:color w:val="auto"/>
          <w:sz w:val="22"/>
        </w:rPr>
        <w:t xml:space="preserve">Key findings highlight that global standards have advanced </w:t>
      </w:r>
      <w:r w:rsidR="00137572" w:rsidRPr="00C376FC">
        <w:rPr>
          <w:rFonts w:ascii="Calibri" w:eastAsia="MS Mincho" w:hAnsi="Calibri" w:cs="Calibri"/>
          <w:color w:val="auto"/>
          <w:sz w:val="22"/>
        </w:rPr>
        <w:t>significantly,</w:t>
      </w:r>
      <w:r w:rsidR="00137572" w:rsidRPr="00137572">
        <w:rPr>
          <w:rFonts w:ascii="Calibri" w:eastAsia="MS Mincho" w:hAnsi="Calibri" w:cs="Calibri"/>
          <w:color w:val="auto"/>
          <w:sz w:val="22"/>
        </w:rPr>
        <w:t xml:space="preserve"> adopting</w:t>
      </w:r>
      <w:r w:rsidRPr="00137572">
        <w:rPr>
          <w:rFonts w:ascii="Calibri" w:eastAsia="MS Mincho" w:hAnsi="Calibri" w:cs="Calibri"/>
          <w:color w:val="auto"/>
          <w:sz w:val="22"/>
        </w:rPr>
        <w:t xml:space="preserve"> </w:t>
      </w:r>
      <w:r w:rsidRPr="00A364DB">
        <w:rPr>
          <w:rFonts w:ascii="Calibri" w:eastAsia="MS Mincho" w:hAnsi="Calibri" w:cs="Calibri"/>
          <w:color w:val="auto"/>
          <w:sz w:val="22"/>
        </w:rPr>
        <w:t xml:space="preserve">broader definitions of disability, embedding </w:t>
      </w:r>
      <w:r w:rsidR="00590E1C">
        <w:rPr>
          <w:rFonts w:ascii="Calibri" w:eastAsia="MS Mincho" w:hAnsi="Calibri" w:cs="Calibri"/>
          <w:color w:val="auto"/>
          <w:sz w:val="22"/>
        </w:rPr>
        <w:t>universal design</w:t>
      </w:r>
      <w:r w:rsidRPr="00A364DB">
        <w:rPr>
          <w:rFonts w:ascii="Calibri" w:eastAsia="MS Mincho" w:hAnsi="Calibri" w:cs="Calibri"/>
          <w:color w:val="auto"/>
          <w:sz w:val="22"/>
        </w:rPr>
        <w:t xml:space="preserve"> principles, and providing more detailed coverage of areas such as</w:t>
      </w:r>
      <w:r w:rsidR="00137572">
        <w:rPr>
          <w:rFonts w:ascii="Calibri" w:eastAsia="MS Mincho" w:hAnsi="Calibri" w:cs="Calibri"/>
          <w:color w:val="auto"/>
          <w:sz w:val="22"/>
        </w:rPr>
        <w:t>:</w:t>
      </w:r>
    </w:p>
    <w:p w14:paraId="55265D56" w14:textId="0E312B3E" w:rsidR="00137572" w:rsidRDefault="00C376FC" w:rsidP="000F03A2">
      <w:pPr>
        <w:pStyle w:val="ListParagraph"/>
        <w:numPr>
          <w:ilvl w:val="0"/>
          <w:numId w:val="65"/>
        </w:numPr>
        <w:spacing w:after="200" w:line="276" w:lineRule="auto"/>
        <w:rPr>
          <w:rFonts w:ascii="Calibri" w:eastAsia="MS Mincho" w:hAnsi="Calibri" w:cs="Calibri"/>
          <w:color w:val="auto"/>
          <w:sz w:val="22"/>
        </w:rPr>
      </w:pPr>
      <w:r w:rsidRPr="00A364DB">
        <w:rPr>
          <w:rFonts w:ascii="Calibri" w:eastAsia="MS Mincho" w:hAnsi="Calibri" w:cs="Calibri"/>
          <w:color w:val="auto"/>
          <w:sz w:val="22"/>
        </w:rPr>
        <w:t xml:space="preserve">emergency evacuation </w:t>
      </w:r>
    </w:p>
    <w:p w14:paraId="5479C0A1" w14:textId="0F54AA57" w:rsidR="00137572" w:rsidRDefault="00C376FC" w:rsidP="000F03A2">
      <w:pPr>
        <w:pStyle w:val="ListParagraph"/>
        <w:numPr>
          <w:ilvl w:val="0"/>
          <w:numId w:val="65"/>
        </w:numPr>
        <w:spacing w:after="200" w:line="276" w:lineRule="auto"/>
        <w:rPr>
          <w:rFonts w:ascii="Calibri" w:eastAsia="MS Mincho" w:hAnsi="Calibri" w:cs="Calibri"/>
          <w:color w:val="auto"/>
          <w:sz w:val="22"/>
        </w:rPr>
      </w:pPr>
      <w:r w:rsidRPr="00A364DB">
        <w:rPr>
          <w:rFonts w:ascii="Calibri" w:eastAsia="MS Mincho" w:hAnsi="Calibri" w:cs="Calibri"/>
          <w:color w:val="auto"/>
          <w:sz w:val="22"/>
        </w:rPr>
        <w:t xml:space="preserve">sensory accessibility </w:t>
      </w:r>
    </w:p>
    <w:p w14:paraId="5961F21D" w14:textId="3E1783A7" w:rsidR="00137572" w:rsidRDefault="00C376FC" w:rsidP="000F03A2">
      <w:pPr>
        <w:pStyle w:val="ListParagraph"/>
        <w:numPr>
          <w:ilvl w:val="0"/>
          <w:numId w:val="65"/>
        </w:numPr>
        <w:spacing w:after="200" w:line="276" w:lineRule="auto"/>
        <w:rPr>
          <w:rFonts w:ascii="Calibri" w:eastAsia="MS Mincho" w:hAnsi="Calibri" w:cs="Calibri"/>
          <w:color w:val="auto"/>
          <w:sz w:val="22"/>
        </w:rPr>
      </w:pPr>
      <w:r w:rsidRPr="00A364DB">
        <w:rPr>
          <w:rFonts w:ascii="Calibri" w:eastAsia="MS Mincho" w:hAnsi="Calibri" w:cs="Calibri"/>
          <w:color w:val="auto"/>
          <w:sz w:val="22"/>
        </w:rPr>
        <w:t xml:space="preserve">cultural considerations </w:t>
      </w:r>
    </w:p>
    <w:p w14:paraId="62B1F99E" w14:textId="2722726A" w:rsidR="00137572" w:rsidRDefault="00C376FC" w:rsidP="000F03A2">
      <w:pPr>
        <w:pStyle w:val="ListParagraph"/>
        <w:numPr>
          <w:ilvl w:val="0"/>
          <w:numId w:val="65"/>
        </w:numPr>
        <w:spacing w:after="200" w:line="276" w:lineRule="auto"/>
        <w:rPr>
          <w:rFonts w:ascii="Calibri" w:eastAsia="MS Mincho" w:hAnsi="Calibri" w:cs="Calibri"/>
          <w:color w:val="auto"/>
          <w:sz w:val="22"/>
        </w:rPr>
      </w:pPr>
      <w:r w:rsidRPr="00A364DB">
        <w:rPr>
          <w:rFonts w:ascii="Calibri" w:eastAsia="MS Mincho" w:hAnsi="Calibri" w:cs="Calibri"/>
          <w:color w:val="auto"/>
          <w:sz w:val="22"/>
        </w:rPr>
        <w:t>air quality</w:t>
      </w:r>
    </w:p>
    <w:p w14:paraId="0D86DE28" w14:textId="6F8C10B1" w:rsidR="00137572" w:rsidRDefault="00350D17" w:rsidP="000F03A2">
      <w:pPr>
        <w:pStyle w:val="ListParagraph"/>
        <w:numPr>
          <w:ilvl w:val="0"/>
          <w:numId w:val="65"/>
        </w:numPr>
        <w:spacing w:after="200" w:line="276" w:lineRule="auto"/>
        <w:rPr>
          <w:rFonts w:ascii="Calibri" w:eastAsia="MS Mincho" w:hAnsi="Calibri" w:cs="Calibri"/>
          <w:color w:val="auto"/>
          <w:sz w:val="22"/>
        </w:rPr>
      </w:pPr>
      <w:r w:rsidRPr="00A364DB">
        <w:rPr>
          <w:rFonts w:ascii="Calibri" w:eastAsia="MS Mincho" w:hAnsi="Calibri" w:cs="Calibri"/>
          <w:color w:val="auto"/>
          <w:sz w:val="22"/>
        </w:rPr>
        <w:t xml:space="preserve">use of smart technologies in buildings </w:t>
      </w:r>
    </w:p>
    <w:p w14:paraId="40D45BC3" w14:textId="7E190072" w:rsidR="00137572" w:rsidRDefault="00C376FC" w:rsidP="000F03A2">
      <w:pPr>
        <w:pStyle w:val="ListParagraph"/>
        <w:numPr>
          <w:ilvl w:val="0"/>
          <w:numId w:val="65"/>
        </w:numPr>
        <w:spacing w:after="200" w:line="276" w:lineRule="auto"/>
        <w:rPr>
          <w:rFonts w:ascii="Calibri" w:eastAsia="MS Mincho" w:hAnsi="Calibri" w:cs="Calibri"/>
          <w:color w:val="auto"/>
          <w:sz w:val="22"/>
        </w:rPr>
      </w:pPr>
      <w:r w:rsidRPr="00A364DB">
        <w:rPr>
          <w:rFonts w:ascii="Calibri" w:eastAsia="MS Mincho" w:hAnsi="Calibri" w:cs="Calibri"/>
          <w:color w:val="auto"/>
          <w:sz w:val="22"/>
        </w:rPr>
        <w:t xml:space="preserve">functional and cognitive barriers. </w:t>
      </w:r>
    </w:p>
    <w:p w14:paraId="54956621" w14:textId="3F17D36D" w:rsidR="00C376FC" w:rsidRPr="00A364DB" w:rsidRDefault="00C376FC" w:rsidP="00137572">
      <w:pPr>
        <w:spacing w:after="200" w:line="276" w:lineRule="auto"/>
        <w:rPr>
          <w:rFonts w:ascii="Calibri" w:eastAsia="MS Mincho" w:hAnsi="Calibri" w:cs="Calibri"/>
          <w:color w:val="auto"/>
          <w:sz w:val="22"/>
        </w:rPr>
      </w:pPr>
      <w:r w:rsidRPr="00A364DB">
        <w:rPr>
          <w:rFonts w:ascii="Calibri" w:eastAsia="MS Mincho" w:hAnsi="Calibri" w:cs="Calibri"/>
          <w:color w:val="auto"/>
          <w:sz w:val="22"/>
        </w:rPr>
        <w:t>The environmental scan found the Canadian CSA/ASC B651:23 and EU EN 17210:2021 standards to be the most comprehensive overall</w:t>
      </w:r>
      <w:r w:rsidR="00B361B5">
        <w:rPr>
          <w:rFonts w:ascii="Calibri" w:eastAsia="MS Mincho" w:hAnsi="Calibri" w:cs="Calibri"/>
          <w:color w:val="auto"/>
          <w:sz w:val="22"/>
        </w:rPr>
        <w:t>.</w:t>
      </w:r>
      <w:r w:rsidRPr="00A364DB">
        <w:rPr>
          <w:rFonts w:ascii="Calibri" w:eastAsia="MS Mincho" w:hAnsi="Calibri" w:cs="Calibri"/>
          <w:color w:val="auto"/>
          <w:sz w:val="22"/>
        </w:rPr>
        <w:t xml:space="preserve"> </w:t>
      </w:r>
      <w:r w:rsidR="00741638">
        <w:rPr>
          <w:rFonts w:ascii="Calibri" w:eastAsia="MS Mincho" w:hAnsi="Calibri" w:cs="Calibri"/>
          <w:color w:val="auto"/>
          <w:sz w:val="22"/>
        </w:rPr>
        <w:t>T</w:t>
      </w:r>
      <w:r w:rsidR="00741638" w:rsidRPr="00A364DB">
        <w:rPr>
          <w:rFonts w:ascii="Calibri" w:eastAsia="MS Mincho" w:hAnsi="Calibri" w:cs="Calibri"/>
          <w:color w:val="auto"/>
          <w:sz w:val="22"/>
        </w:rPr>
        <w:t>he</w:t>
      </w:r>
      <w:r w:rsidRPr="00A364DB">
        <w:rPr>
          <w:rFonts w:ascii="Calibri" w:eastAsia="MS Mincho" w:hAnsi="Calibri" w:cs="Calibri"/>
          <w:color w:val="auto"/>
          <w:sz w:val="22"/>
        </w:rPr>
        <w:t xml:space="preserve"> Canadian standard offer</w:t>
      </w:r>
      <w:r w:rsidR="0096633C">
        <w:rPr>
          <w:rFonts w:ascii="Calibri" w:eastAsia="MS Mincho" w:hAnsi="Calibri" w:cs="Calibri"/>
          <w:color w:val="auto"/>
          <w:sz w:val="22"/>
        </w:rPr>
        <w:t>s</w:t>
      </w:r>
      <w:r w:rsidRPr="00A364DB">
        <w:rPr>
          <w:rFonts w:ascii="Calibri" w:eastAsia="MS Mincho" w:hAnsi="Calibri" w:cs="Calibri"/>
          <w:color w:val="auto"/>
          <w:sz w:val="22"/>
        </w:rPr>
        <w:t xml:space="preserve"> strong technical </w:t>
      </w:r>
      <w:proofErr w:type="gramStart"/>
      <w:r w:rsidRPr="00A364DB">
        <w:rPr>
          <w:rFonts w:ascii="Calibri" w:eastAsia="MS Mincho" w:hAnsi="Calibri" w:cs="Calibri"/>
          <w:color w:val="auto"/>
          <w:sz w:val="22"/>
        </w:rPr>
        <w:t>detail</w:t>
      </w:r>
      <w:proofErr w:type="gramEnd"/>
      <w:r w:rsidRPr="00A364DB">
        <w:rPr>
          <w:rFonts w:ascii="Calibri" w:eastAsia="MS Mincho" w:hAnsi="Calibri" w:cs="Calibri"/>
          <w:color w:val="auto"/>
          <w:sz w:val="22"/>
        </w:rPr>
        <w:t xml:space="preserve"> and the EU standard provid</w:t>
      </w:r>
      <w:r w:rsidR="0096633C">
        <w:rPr>
          <w:rFonts w:ascii="Calibri" w:eastAsia="MS Mincho" w:hAnsi="Calibri" w:cs="Calibri"/>
          <w:color w:val="auto"/>
          <w:sz w:val="22"/>
        </w:rPr>
        <w:t>es</w:t>
      </w:r>
      <w:r w:rsidRPr="00A364DB">
        <w:rPr>
          <w:rFonts w:ascii="Calibri" w:eastAsia="MS Mincho" w:hAnsi="Calibri" w:cs="Calibri"/>
          <w:color w:val="auto"/>
          <w:sz w:val="22"/>
        </w:rPr>
        <w:t xml:space="preserve"> the widest topical coverage. In contrast, NZS 4121:2001 was identified as lacking detail, relying on outdated concepts, and omitting entire topic areas now considered essential to contemporary accessibility practice.</w:t>
      </w:r>
    </w:p>
    <w:p w14:paraId="59F71C6D" w14:textId="582966C1" w:rsidR="004E6E3A" w:rsidRDefault="00446B7B" w:rsidP="00844C99">
      <w:pPr>
        <w:spacing w:after="200" w:line="276" w:lineRule="auto"/>
        <w:rPr>
          <w:rFonts w:ascii="Calibri" w:eastAsia="MS Mincho" w:hAnsi="Calibri" w:cs="Calibri"/>
          <w:color w:val="auto"/>
          <w:sz w:val="22"/>
        </w:rPr>
      </w:pPr>
      <w:r w:rsidRPr="00A84779">
        <w:rPr>
          <w:rFonts w:ascii="Calibri" w:eastAsia="MS Mincho" w:hAnsi="Calibri" w:cs="Calibri"/>
          <w:color w:val="auto"/>
          <w:sz w:val="22"/>
        </w:rPr>
        <w:t>Stakeholder</w:t>
      </w:r>
      <w:r w:rsidRPr="00446B7B">
        <w:rPr>
          <w:rFonts w:ascii="Calibri" w:eastAsia="MS Mincho" w:hAnsi="Calibri" w:cs="Calibri"/>
          <w:color w:val="ED0000"/>
          <w:sz w:val="22"/>
        </w:rPr>
        <w:t xml:space="preserve"> </w:t>
      </w:r>
      <w:r>
        <w:rPr>
          <w:rFonts w:ascii="Calibri" w:eastAsia="MS Mincho" w:hAnsi="Calibri" w:cs="Calibri"/>
          <w:color w:val="auto"/>
          <w:sz w:val="22"/>
        </w:rPr>
        <w:t>s</w:t>
      </w:r>
      <w:r w:rsidR="00C376FC">
        <w:rPr>
          <w:rFonts w:ascii="Calibri" w:eastAsia="MS Mincho" w:hAnsi="Calibri" w:cs="Calibri"/>
          <w:color w:val="auto"/>
          <w:sz w:val="22"/>
        </w:rPr>
        <w:t xml:space="preserve">coping workshops followed shortly after the environmental scan was finalised. </w:t>
      </w:r>
      <w:r w:rsidR="008E2748">
        <w:rPr>
          <w:rFonts w:ascii="Calibri" w:eastAsia="MS Mincho" w:hAnsi="Calibri" w:cs="Calibri"/>
          <w:color w:val="auto"/>
          <w:sz w:val="22"/>
        </w:rPr>
        <w:t xml:space="preserve">Over 50 participants representing </w:t>
      </w:r>
      <w:r w:rsidRPr="00A84779">
        <w:rPr>
          <w:rFonts w:ascii="Calibri" w:eastAsia="MS Mincho" w:hAnsi="Calibri" w:cs="Calibri"/>
          <w:color w:val="auto"/>
          <w:sz w:val="22"/>
        </w:rPr>
        <w:t>the</w:t>
      </w:r>
      <w:r w:rsidRPr="00446B7B">
        <w:rPr>
          <w:rFonts w:ascii="Calibri" w:eastAsia="MS Mincho" w:hAnsi="Calibri" w:cs="Calibri"/>
          <w:color w:val="ED0000"/>
          <w:sz w:val="22"/>
        </w:rPr>
        <w:t xml:space="preserve"> </w:t>
      </w:r>
      <w:r w:rsidR="008E2748">
        <w:rPr>
          <w:rFonts w:ascii="Calibri" w:eastAsia="MS Mincho" w:hAnsi="Calibri" w:cs="Calibri"/>
          <w:color w:val="auto"/>
          <w:sz w:val="22"/>
        </w:rPr>
        <w:t xml:space="preserve">disability sector, academia and building practitioners were asked to outline key issues with NZS 4121:2001 and how they think these issues could be addressed. </w:t>
      </w:r>
      <w:r w:rsidR="00844C99" w:rsidRPr="00844C99">
        <w:rPr>
          <w:rFonts w:ascii="Calibri" w:eastAsia="MS Mincho" w:hAnsi="Calibri" w:cs="Calibri"/>
          <w:color w:val="auto"/>
          <w:sz w:val="22"/>
        </w:rPr>
        <w:t>Workshop participants emphasised that NZS 4121:2001, while widely used and valued for its clear layout and measurable requirements, is outdated and misaligned with contemporary accessibility expectations and technological developments. The workshops identified 89 technical, regulatory and other issues requiring consideration in a future revision of NZS 4121:2001</w:t>
      </w:r>
      <w:r w:rsidR="00C7304E">
        <w:rPr>
          <w:rFonts w:ascii="Calibri" w:eastAsia="MS Mincho" w:hAnsi="Calibri" w:cs="Calibri"/>
          <w:color w:val="auto"/>
          <w:sz w:val="22"/>
        </w:rPr>
        <w:t>.</w:t>
      </w:r>
      <w:r w:rsidR="008E32E2">
        <w:rPr>
          <w:rFonts w:ascii="Calibri" w:eastAsia="MS Mincho" w:hAnsi="Calibri" w:cs="Calibri"/>
          <w:color w:val="auto"/>
          <w:sz w:val="22"/>
        </w:rPr>
        <w:t xml:space="preserve"> </w:t>
      </w:r>
      <w:r w:rsidR="00C7304E">
        <w:rPr>
          <w:rFonts w:ascii="Calibri" w:eastAsia="MS Mincho" w:hAnsi="Calibri" w:cs="Calibri"/>
          <w:color w:val="auto"/>
          <w:sz w:val="22"/>
        </w:rPr>
        <w:t>This</w:t>
      </w:r>
      <w:r w:rsidR="008E32E2">
        <w:rPr>
          <w:rFonts w:ascii="Calibri" w:eastAsia="MS Mincho" w:hAnsi="Calibri" w:cs="Calibri"/>
          <w:color w:val="auto"/>
          <w:sz w:val="22"/>
        </w:rPr>
        <w:t xml:space="preserve"> </w:t>
      </w:r>
      <w:r w:rsidR="00844C99" w:rsidRPr="00844C99">
        <w:rPr>
          <w:rFonts w:ascii="Calibri" w:eastAsia="MS Mincho" w:hAnsi="Calibri" w:cs="Calibri"/>
          <w:color w:val="auto"/>
          <w:sz w:val="22"/>
        </w:rPr>
        <w:t>inclu</w:t>
      </w:r>
      <w:r w:rsidR="00C7304E">
        <w:rPr>
          <w:rFonts w:ascii="Calibri" w:eastAsia="MS Mincho" w:hAnsi="Calibri" w:cs="Calibri"/>
          <w:color w:val="auto"/>
          <w:sz w:val="22"/>
        </w:rPr>
        <w:t>des</w:t>
      </w:r>
      <w:r w:rsidR="00844C99" w:rsidRPr="00844C99">
        <w:rPr>
          <w:rFonts w:ascii="Calibri" w:eastAsia="MS Mincho" w:hAnsi="Calibri" w:cs="Calibri"/>
          <w:color w:val="auto"/>
          <w:sz w:val="22"/>
        </w:rPr>
        <w:t xml:space="preserve"> issues with</w:t>
      </w:r>
      <w:r w:rsidR="004E6E3A">
        <w:rPr>
          <w:rFonts w:ascii="Calibri" w:eastAsia="MS Mincho" w:hAnsi="Calibri" w:cs="Calibri"/>
          <w:color w:val="auto"/>
          <w:sz w:val="22"/>
        </w:rPr>
        <w:t>:</w:t>
      </w:r>
    </w:p>
    <w:p w14:paraId="34A8A033" w14:textId="5F6851DE" w:rsidR="004E6E3A" w:rsidRDefault="00844C99" w:rsidP="000F03A2">
      <w:pPr>
        <w:pStyle w:val="ListParagraph"/>
        <w:numPr>
          <w:ilvl w:val="0"/>
          <w:numId w:val="66"/>
        </w:numPr>
        <w:spacing w:after="200" w:line="276" w:lineRule="auto"/>
        <w:rPr>
          <w:rFonts w:ascii="Calibri" w:eastAsia="MS Mincho" w:hAnsi="Calibri" w:cs="Calibri"/>
          <w:color w:val="auto"/>
          <w:sz w:val="22"/>
        </w:rPr>
      </w:pPr>
      <w:r w:rsidRPr="00A364DB">
        <w:rPr>
          <w:rFonts w:ascii="Calibri" w:eastAsia="MS Mincho" w:hAnsi="Calibri" w:cs="Calibri"/>
          <w:color w:val="auto"/>
          <w:sz w:val="22"/>
        </w:rPr>
        <w:t>door widths</w:t>
      </w:r>
    </w:p>
    <w:p w14:paraId="7CFCD8D4" w14:textId="24FBEA48" w:rsidR="004E6E3A" w:rsidRDefault="00844C99" w:rsidP="000F03A2">
      <w:pPr>
        <w:pStyle w:val="ListParagraph"/>
        <w:numPr>
          <w:ilvl w:val="0"/>
          <w:numId w:val="66"/>
        </w:numPr>
        <w:spacing w:after="200" w:line="276" w:lineRule="auto"/>
        <w:rPr>
          <w:rFonts w:ascii="Calibri" w:eastAsia="MS Mincho" w:hAnsi="Calibri" w:cs="Calibri"/>
          <w:color w:val="auto"/>
          <w:sz w:val="22"/>
        </w:rPr>
      </w:pPr>
      <w:r w:rsidRPr="00A364DB">
        <w:rPr>
          <w:rFonts w:ascii="Calibri" w:eastAsia="MS Mincho" w:hAnsi="Calibri" w:cs="Calibri"/>
          <w:color w:val="auto"/>
          <w:sz w:val="22"/>
        </w:rPr>
        <w:t>circulation spaces</w:t>
      </w:r>
    </w:p>
    <w:p w14:paraId="644945E2" w14:textId="2032FFAA" w:rsidR="004E6E3A" w:rsidRDefault="00844C99" w:rsidP="000F03A2">
      <w:pPr>
        <w:pStyle w:val="ListParagraph"/>
        <w:numPr>
          <w:ilvl w:val="0"/>
          <w:numId w:val="66"/>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tactile ground surface indicators</w:t>
      </w:r>
      <w:r w:rsidR="004E6E3A">
        <w:rPr>
          <w:rFonts w:ascii="Calibri" w:eastAsia="MS Mincho" w:hAnsi="Calibri" w:cs="Calibri"/>
          <w:color w:val="auto"/>
          <w:sz w:val="22"/>
        </w:rPr>
        <w:t xml:space="preserve"> (TGSI)</w:t>
      </w:r>
      <w:r w:rsidRPr="00340E89">
        <w:rPr>
          <w:rFonts w:ascii="Calibri" w:eastAsia="MS Mincho" w:hAnsi="Calibri" w:cs="Calibri"/>
          <w:color w:val="auto"/>
          <w:sz w:val="22"/>
        </w:rPr>
        <w:t xml:space="preserve"> </w:t>
      </w:r>
    </w:p>
    <w:p w14:paraId="33EEAB37" w14:textId="341C51A1" w:rsidR="004E6E3A" w:rsidRDefault="00844C99" w:rsidP="000F03A2">
      <w:pPr>
        <w:pStyle w:val="ListParagraph"/>
        <w:numPr>
          <w:ilvl w:val="0"/>
          <w:numId w:val="66"/>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lastRenderedPageBreak/>
        <w:t xml:space="preserve">bathroom design </w:t>
      </w:r>
    </w:p>
    <w:p w14:paraId="45BACDD8" w14:textId="3D745199" w:rsidR="004E6E3A" w:rsidRDefault="00844C99" w:rsidP="000F03A2">
      <w:pPr>
        <w:pStyle w:val="ListParagraph"/>
        <w:numPr>
          <w:ilvl w:val="0"/>
          <w:numId w:val="66"/>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lift usability</w:t>
      </w:r>
    </w:p>
    <w:p w14:paraId="7C2E0C60" w14:textId="326B38B1" w:rsidR="004E6E3A" w:rsidRDefault="00844C99" w:rsidP="000F03A2">
      <w:pPr>
        <w:pStyle w:val="ListParagraph"/>
        <w:numPr>
          <w:ilvl w:val="0"/>
          <w:numId w:val="66"/>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 xml:space="preserve">the lack of emergency egress provisions </w:t>
      </w:r>
    </w:p>
    <w:p w14:paraId="2A5CB1CE" w14:textId="77777777" w:rsidR="004E6E3A" w:rsidRDefault="00844C99" w:rsidP="000F03A2">
      <w:pPr>
        <w:pStyle w:val="ListParagraph"/>
        <w:numPr>
          <w:ilvl w:val="0"/>
          <w:numId w:val="66"/>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 xml:space="preserve">accessible parking parameters. </w:t>
      </w:r>
    </w:p>
    <w:p w14:paraId="263927EA" w14:textId="13B74630" w:rsidR="00EF27F8" w:rsidRDefault="00844C99" w:rsidP="004E6E3A">
      <w:pPr>
        <w:spacing w:after="200" w:line="276" w:lineRule="auto"/>
        <w:rPr>
          <w:rFonts w:ascii="Calibri" w:eastAsia="MS Mincho" w:hAnsi="Calibri" w:cs="Calibri"/>
          <w:color w:val="auto"/>
          <w:sz w:val="22"/>
        </w:rPr>
      </w:pPr>
      <w:r w:rsidRPr="00340E89">
        <w:rPr>
          <w:rFonts w:ascii="Calibri" w:eastAsia="MS Mincho" w:hAnsi="Calibri" w:cs="Calibri"/>
          <w:color w:val="auto"/>
          <w:sz w:val="22"/>
        </w:rPr>
        <w:t>The</w:t>
      </w:r>
      <w:r w:rsidR="00351B83">
        <w:rPr>
          <w:rFonts w:ascii="Calibri" w:eastAsia="MS Mincho" w:hAnsi="Calibri" w:cs="Calibri"/>
          <w:color w:val="auto"/>
          <w:sz w:val="22"/>
        </w:rPr>
        <w:t xml:space="preserve"> workshops</w:t>
      </w:r>
      <w:r w:rsidRPr="00340E89">
        <w:rPr>
          <w:rFonts w:ascii="Calibri" w:eastAsia="MS Mincho" w:hAnsi="Calibri" w:cs="Calibri"/>
          <w:color w:val="auto"/>
          <w:sz w:val="22"/>
        </w:rPr>
        <w:t xml:space="preserve"> also highlighted broader system issues that fall outside the scope of the standard, such as</w:t>
      </w:r>
      <w:r w:rsidR="00EF27F8">
        <w:rPr>
          <w:rFonts w:ascii="Calibri" w:eastAsia="MS Mincho" w:hAnsi="Calibri" w:cs="Calibri"/>
          <w:color w:val="auto"/>
          <w:sz w:val="22"/>
        </w:rPr>
        <w:t>:</w:t>
      </w:r>
    </w:p>
    <w:p w14:paraId="1A1A93C8" w14:textId="143B7D45" w:rsidR="00EF27F8" w:rsidRDefault="00844C99" w:rsidP="000F03A2">
      <w:pPr>
        <w:pStyle w:val="ListParagraph"/>
        <w:numPr>
          <w:ilvl w:val="0"/>
          <w:numId w:val="67"/>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enforcement</w:t>
      </w:r>
    </w:p>
    <w:p w14:paraId="783D15DD" w14:textId="67833D6C" w:rsidR="00EF27F8" w:rsidRDefault="00844C99" w:rsidP="000F03A2">
      <w:pPr>
        <w:pStyle w:val="ListParagraph"/>
        <w:numPr>
          <w:ilvl w:val="0"/>
          <w:numId w:val="67"/>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 xml:space="preserve">legislative </w:t>
      </w:r>
      <w:r w:rsidR="00351B83">
        <w:rPr>
          <w:rFonts w:ascii="Calibri" w:eastAsia="MS Mincho" w:hAnsi="Calibri" w:cs="Calibri"/>
          <w:color w:val="auto"/>
          <w:sz w:val="22"/>
        </w:rPr>
        <w:t>requirements</w:t>
      </w:r>
    </w:p>
    <w:p w14:paraId="5E528658" w14:textId="7147B2A7" w:rsidR="00EF27F8" w:rsidRDefault="00844C99" w:rsidP="000F03A2">
      <w:pPr>
        <w:pStyle w:val="ListParagraph"/>
        <w:numPr>
          <w:ilvl w:val="0"/>
          <w:numId w:val="67"/>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inconsistencies between NZS 4121:2001 and the Building Code</w:t>
      </w:r>
    </w:p>
    <w:p w14:paraId="78FF3057" w14:textId="669DAF98" w:rsidR="00EF27F8" w:rsidRDefault="00844C99" w:rsidP="000F03A2">
      <w:pPr>
        <w:pStyle w:val="ListParagraph"/>
        <w:numPr>
          <w:ilvl w:val="0"/>
          <w:numId w:val="67"/>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the need for centralised guidance</w:t>
      </w:r>
    </w:p>
    <w:p w14:paraId="45833818" w14:textId="4A664F08" w:rsidR="00EF27F8" w:rsidRDefault="00844C99" w:rsidP="000F03A2">
      <w:pPr>
        <w:pStyle w:val="ListParagraph"/>
        <w:numPr>
          <w:ilvl w:val="0"/>
          <w:numId w:val="67"/>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 xml:space="preserve">sector-wide education and competency. </w:t>
      </w:r>
    </w:p>
    <w:p w14:paraId="7DA4DFF1" w14:textId="4C3C6F36" w:rsidR="00EF27F8" w:rsidRPr="00340E89" w:rsidRDefault="00844C99" w:rsidP="00340E89">
      <w:pPr>
        <w:spacing w:after="200" w:line="276" w:lineRule="auto"/>
        <w:rPr>
          <w:rFonts w:ascii="Calibri" w:eastAsia="MS Mincho" w:hAnsi="Calibri" w:cs="Calibri"/>
          <w:color w:val="auto"/>
          <w:sz w:val="22"/>
        </w:rPr>
      </w:pPr>
      <w:r w:rsidRPr="00340E89">
        <w:rPr>
          <w:rFonts w:ascii="Calibri" w:eastAsia="MS Mincho" w:hAnsi="Calibri" w:cs="Calibri"/>
          <w:color w:val="auto"/>
          <w:sz w:val="22"/>
        </w:rPr>
        <w:t>The workshops collectively underscored the importance of</w:t>
      </w:r>
      <w:r w:rsidR="00EF27F8" w:rsidRPr="00340E89">
        <w:rPr>
          <w:rFonts w:ascii="Calibri" w:eastAsia="MS Mincho" w:hAnsi="Calibri" w:cs="Calibri"/>
          <w:color w:val="auto"/>
          <w:sz w:val="22"/>
        </w:rPr>
        <w:t>:</w:t>
      </w:r>
    </w:p>
    <w:p w14:paraId="61E8942D" w14:textId="69B8684A" w:rsidR="00EF27F8" w:rsidRDefault="00844C99" w:rsidP="000F03A2">
      <w:pPr>
        <w:pStyle w:val="ListParagraph"/>
        <w:numPr>
          <w:ilvl w:val="0"/>
          <w:numId w:val="67"/>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 xml:space="preserve">aligning NZS 4121 with modern principles of universal design </w:t>
      </w:r>
    </w:p>
    <w:p w14:paraId="37C310A9" w14:textId="0ED26F11" w:rsidR="00EF27F8" w:rsidRDefault="00844C99" w:rsidP="000F03A2">
      <w:pPr>
        <w:pStyle w:val="ListParagraph"/>
        <w:numPr>
          <w:ilvl w:val="0"/>
          <w:numId w:val="67"/>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 xml:space="preserve">strengthening </w:t>
      </w:r>
      <w:r w:rsidR="00351B83">
        <w:rPr>
          <w:rFonts w:ascii="Calibri" w:eastAsia="MS Mincho" w:hAnsi="Calibri" w:cs="Calibri"/>
          <w:color w:val="auto"/>
          <w:sz w:val="22"/>
        </w:rPr>
        <w:t>alignment</w:t>
      </w:r>
      <w:r w:rsidRPr="00340E89">
        <w:rPr>
          <w:rFonts w:ascii="Calibri" w:eastAsia="MS Mincho" w:hAnsi="Calibri" w:cs="Calibri"/>
          <w:color w:val="auto"/>
          <w:sz w:val="22"/>
        </w:rPr>
        <w:t xml:space="preserve"> with the Building Code</w:t>
      </w:r>
    </w:p>
    <w:p w14:paraId="37BF34DA" w14:textId="5F86E61C" w:rsidR="00844C99" w:rsidRDefault="00844C99" w:rsidP="000F03A2">
      <w:pPr>
        <w:pStyle w:val="ListParagraph"/>
        <w:numPr>
          <w:ilvl w:val="0"/>
          <w:numId w:val="67"/>
        </w:numPr>
        <w:spacing w:after="200" w:line="276" w:lineRule="auto"/>
        <w:rPr>
          <w:rFonts w:ascii="Calibri" w:eastAsia="MS Mincho" w:hAnsi="Calibri" w:cs="Calibri"/>
          <w:color w:val="auto"/>
          <w:sz w:val="22"/>
        </w:rPr>
      </w:pPr>
      <w:r w:rsidRPr="00340E89">
        <w:rPr>
          <w:rFonts w:ascii="Calibri" w:eastAsia="MS Mincho" w:hAnsi="Calibri" w:cs="Calibri"/>
          <w:color w:val="auto"/>
          <w:sz w:val="22"/>
        </w:rPr>
        <w:t>ensuring that any future revision is informed by robust research, international good practice and meaningful engagement with the disability sector.</w:t>
      </w:r>
    </w:p>
    <w:p w14:paraId="5AE202CB" w14:textId="11175DA4" w:rsidR="001A42A9" w:rsidRPr="00CC06A6" w:rsidRDefault="001A42A9" w:rsidP="001A42A9">
      <w:pPr>
        <w:spacing w:after="200" w:line="276" w:lineRule="auto"/>
        <w:rPr>
          <w:rFonts w:ascii="Calibri" w:eastAsia="MS Mincho" w:hAnsi="Calibri" w:cs="Calibri"/>
          <w:color w:val="auto"/>
          <w:sz w:val="22"/>
        </w:rPr>
      </w:pPr>
      <w:r w:rsidRPr="00844C99">
        <w:rPr>
          <w:rFonts w:ascii="Calibri" w:eastAsia="MS Mincho" w:hAnsi="Calibri" w:cs="Calibri"/>
          <w:color w:val="auto"/>
          <w:sz w:val="22"/>
        </w:rPr>
        <w:t xml:space="preserve">Based on feedback from </w:t>
      </w:r>
      <w:r>
        <w:rPr>
          <w:rFonts w:ascii="Calibri" w:eastAsia="MS Mincho" w:hAnsi="Calibri" w:cs="Calibri"/>
          <w:color w:val="auto"/>
          <w:sz w:val="22"/>
        </w:rPr>
        <w:t xml:space="preserve">the </w:t>
      </w:r>
      <w:r w:rsidRPr="00844C99">
        <w:rPr>
          <w:rFonts w:ascii="Calibri" w:eastAsia="MS Mincho" w:hAnsi="Calibri" w:cs="Calibri"/>
          <w:color w:val="auto"/>
          <w:sz w:val="22"/>
        </w:rPr>
        <w:t>scoping workshops</w:t>
      </w:r>
      <w:r>
        <w:rPr>
          <w:rFonts w:ascii="Calibri" w:eastAsia="MS Mincho" w:hAnsi="Calibri" w:cs="Calibri"/>
          <w:color w:val="auto"/>
          <w:sz w:val="22"/>
        </w:rPr>
        <w:t xml:space="preserve">, </w:t>
      </w:r>
      <w:r w:rsidRPr="00844C99">
        <w:rPr>
          <w:rFonts w:ascii="Calibri" w:eastAsia="MS Mincho" w:hAnsi="Calibri" w:cs="Calibri"/>
          <w:color w:val="auto"/>
          <w:sz w:val="22"/>
        </w:rPr>
        <w:t>findings of the Environmental Scan by Global Research Ltd</w:t>
      </w:r>
      <w:r>
        <w:rPr>
          <w:rFonts w:ascii="Calibri" w:eastAsia="MS Mincho" w:hAnsi="Calibri" w:cs="Calibri"/>
          <w:color w:val="auto"/>
          <w:sz w:val="22"/>
        </w:rPr>
        <w:t xml:space="preserve"> and consultations with MBIE </w:t>
      </w:r>
      <w:r w:rsidR="00D05FAF">
        <w:rPr>
          <w:rFonts w:ascii="Calibri" w:eastAsia="MS Mincho" w:hAnsi="Calibri" w:cs="Calibri"/>
          <w:color w:val="auto"/>
          <w:sz w:val="22"/>
        </w:rPr>
        <w:t>Building System Performance (</w:t>
      </w:r>
      <w:r>
        <w:rPr>
          <w:rFonts w:ascii="Calibri" w:eastAsia="MS Mincho" w:hAnsi="Calibri" w:cs="Calibri"/>
          <w:color w:val="auto"/>
          <w:sz w:val="22"/>
        </w:rPr>
        <w:t>BSP</w:t>
      </w:r>
      <w:r w:rsidR="00D05FAF">
        <w:rPr>
          <w:rFonts w:ascii="Calibri" w:eastAsia="MS Mincho" w:hAnsi="Calibri" w:cs="Calibri"/>
          <w:color w:val="auto"/>
          <w:sz w:val="22"/>
        </w:rPr>
        <w:t>)</w:t>
      </w:r>
      <w:r>
        <w:rPr>
          <w:rFonts w:ascii="Calibri" w:eastAsia="MS Mincho" w:hAnsi="Calibri" w:cs="Calibri"/>
          <w:color w:val="auto"/>
          <w:sz w:val="22"/>
        </w:rPr>
        <w:t xml:space="preserve">, </w:t>
      </w:r>
      <w:r w:rsidRPr="00844C99">
        <w:rPr>
          <w:rFonts w:ascii="Calibri" w:eastAsia="MS Mincho" w:hAnsi="Calibri" w:cs="Calibri"/>
          <w:color w:val="auto"/>
          <w:sz w:val="22"/>
        </w:rPr>
        <w:t xml:space="preserve">Standards New Zealand identified </w:t>
      </w:r>
      <w:r>
        <w:rPr>
          <w:rFonts w:ascii="Calibri" w:eastAsia="MS Mincho" w:hAnsi="Calibri" w:cs="Calibri"/>
          <w:color w:val="auto"/>
          <w:sz w:val="22"/>
        </w:rPr>
        <w:t xml:space="preserve">and evaluated </w:t>
      </w:r>
      <w:r w:rsidRPr="00844C99">
        <w:rPr>
          <w:rFonts w:ascii="Calibri" w:eastAsia="MS Mincho" w:hAnsi="Calibri" w:cs="Calibri"/>
          <w:color w:val="auto"/>
          <w:sz w:val="22"/>
        </w:rPr>
        <w:t xml:space="preserve">the following </w:t>
      </w:r>
      <w:r w:rsidRPr="00E238F9">
        <w:rPr>
          <w:rFonts w:ascii="Calibri" w:eastAsia="MS Mincho" w:hAnsi="Calibri" w:cs="Calibri"/>
          <w:color w:val="auto"/>
          <w:sz w:val="22"/>
        </w:rPr>
        <w:t xml:space="preserve">options </w:t>
      </w:r>
      <w:r>
        <w:rPr>
          <w:rFonts w:ascii="Calibri" w:eastAsia="MS Mincho" w:hAnsi="Calibri" w:cs="Calibri"/>
          <w:color w:val="auto"/>
          <w:sz w:val="22"/>
        </w:rPr>
        <w:t>to align NZS 4121:2001 with the international good practice in disability access</w:t>
      </w:r>
      <w:r w:rsidRPr="00E238F9">
        <w:rPr>
          <w:rFonts w:ascii="Calibri" w:eastAsia="MS Mincho" w:hAnsi="Calibri" w:cs="Calibri"/>
          <w:color w:val="auto"/>
          <w:sz w:val="22"/>
        </w:rPr>
        <w:t>:</w:t>
      </w:r>
    </w:p>
    <w:p w14:paraId="2B920F3F" w14:textId="6DCB5520" w:rsidR="001A42A9" w:rsidRPr="00E238F9" w:rsidRDefault="003517AE" w:rsidP="003517AE">
      <w:pPr>
        <w:pStyle w:val="Heading3"/>
        <w:spacing w:before="0" w:line="276" w:lineRule="auto"/>
        <w:rPr>
          <w:rFonts w:ascii="Calibri" w:eastAsia="MS Mincho" w:hAnsi="Calibri" w:cs="Calibri"/>
          <w:color w:val="auto"/>
          <w:sz w:val="22"/>
          <w:szCs w:val="22"/>
        </w:rPr>
      </w:pPr>
      <w:r w:rsidRPr="0057514B">
        <w:rPr>
          <w:rFonts w:ascii="Calibri" w:eastAsia="MS Mincho" w:hAnsi="Calibri" w:cs="Calibri"/>
          <w:b/>
          <w:bCs/>
          <w:color w:val="auto"/>
          <w:sz w:val="22"/>
          <w:szCs w:val="22"/>
        </w:rPr>
        <w:t>Option 1</w:t>
      </w:r>
      <w:r>
        <w:rPr>
          <w:rFonts w:ascii="Calibri" w:eastAsia="MS Mincho" w:hAnsi="Calibri" w:cs="Calibri"/>
          <w:color w:val="auto"/>
          <w:sz w:val="22"/>
          <w:szCs w:val="22"/>
        </w:rPr>
        <w:t xml:space="preserve"> </w:t>
      </w:r>
      <w:r w:rsidR="001A42A9" w:rsidRPr="00E238F9">
        <w:rPr>
          <w:rFonts w:ascii="Calibri" w:eastAsia="MS Mincho" w:hAnsi="Calibri" w:cs="Calibri"/>
          <w:color w:val="auto"/>
          <w:sz w:val="22"/>
          <w:szCs w:val="22"/>
        </w:rPr>
        <w:t xml:space="preserve">Revise NZS 4121:2001 using the present standard as the foundation – utilising the best of a range of national and international standards content and material where appropriate. </w:t>
      </w:r>
    </w:p>
    <w:p w14:paraId="1D5FB423" w14:textId="265418F2" w:rsidR="001A42A9" w:rsidRPr="00CC06A6" w:rsidRDefault="003517AE" w:rsidP="003517AE">
      <w:pPr>
        <w:pStyle w:val="Heading3"/>
        <w:spacing w:before="0" w:line="276" w:lineRule="auto"/>
        <w:rPr>
          <w:rFonts w:ascii="Calibri" w:eastAsia="MS Mincho" w:hAnsi="Calibri" w:cs="Calibri"/>
          <w:color w:val="auto"/>
          <w:sz w:val="22"/>
          <w:szCs w:val="22"/>
        </w:rPr>
      </w:pPr>
      <w:r w:rsidRPr="0057514B">
        <w:rPr>
          <w:rFonts w:ascii="Calibri" w:eastAsia="MS Mincho" w:hAnsi="Calibri" w:cs="Calibri"/>
          <w:b/>
          <w:bCs/>
          <w:color w:val="auto"/>
          <w:sz w:val="22"/>
          <w:szCs w:val="22"/>
        </w:rPr>
        <w:t>Option 2</w:t>
      </w:r>
      <w:r>
        <w:rPr>
          <w:rFonts w:ascii="Calibri" w:eastAsia="MS Mincho" w:hAnsi="Calibri" w:cs="Calibri"/>
          <w:color w:val="auto"/>
          <w:sz w:val="22"/>
          <w:szCs w:val="22"/>
        </w:rPr>
        <w:t xml:space="preserve"> </w:t>
      </w:r>
      <w:r w:rsidR="001A42A9" w:rsidRPr="00CC06A6">
        <w:rPr>
          <w:rFonts w:ascii="Calibri" w:eastAsia="MS Mincho" w:hAnsi="Calibri" w:cs="Calibri"/>
          <w:color w:val="auto"/>
          <w:sz w:val="22"/>
          <w:szCs w:val="22"/>
        </w:rPr>
        <w:t>Replace NZS 4121:2001 with a modern overseas standard</w:t>
      </w:r>
      <w:r>
        <w:rPr>
          <w:rFonts w:ascii="Calibri" w:eastAsia="MS Mincho" w:hAnsi="Calibri" w:cs="Calibri"/>
          <w:color w:val="auto"/>
          <w:sz w:val="22"/>
          <w:szCs w:val="22"/>
        </w:rPr>
        <w:t>.</w:t>
      </w:r>
    </w:p>
    <w:p w14:paraId="5F2CF2FC" w14:textId="27F7A943" w:rsidR="003517AE" w:rsidRDefault="003517AE" w:rsidP="003517AE">
      <w:pPr>
        <w:spacing w:after="0" w:line="276" w:lineRule="auto"/>
        <w:rPr>
          <w:color w:val="auto"/>
          <w:sz w:val="22"/>
          <w:szCs w:val="24"/>
        </w:rPr>
      </w:pPr>
      <w:r w:rsidRPr="0057514B">
        <w:rPr>
          <w:b/>
          <w:bCs/>
          <w:color w:val="auto"/>
          <w:sz w:val="22"/>
          <w:szCs w:val="24"/>
        </w:rPr>
        <w:t>Option 3</w:t>
      </w:r>
      <w:r>
        <w:rPr>
          <w:color w:val="auto"/>
          <w:sz w:val="22"/>
          <w:szCs w:val="24"/>
        </w:rPr>
        <w:t xml:space="preserve"> </w:t>
      </w:r>
      <w:r w:rsidR="001A42A9" w:rsidRPr="003517AE">
        <w:rPr>
          <w:color w:val="auto"/>
          <w:sz w:val="22"/>
          <w:szCs w:val="24"/>
        </w:rPr>
        <w:t xml:space="preserve">Join the Australian Standard AS 1428.1:2021 with New Zealand, making it a joint AS/NZS </w:t>
      </w:r>
      <w:r>
        <w:rPr>
          <w:color w:val="auto"/>
          <w:sz w:val="22"/>
          <w:szCs w:val="24"/>
        </w:rPr>
        <w:t>s</w:t>
      </w:r>
      <w:r w:rsidR="001A42A9" w:rsidRPr="003517AE">
        <w:rPr>
          <w:color w:val="auto"/>
          <w:sz w:val="22"/>
          <w:szCs w:val="24"/>
        </w:rPr>
        <w:t>tandard</w:t>
      </w:r>
      <w:r>
        <w:rPr>
          <w:color w:val="auto"/>
          <w:sz w:val="22"/>
          <w:szCs w:val="24"/>
        </w:rPr>
        <w:t>.</w:t>
      </w:r>
    </w:p>
    <w:p w14:paraId="21A3E3E9" w14:textId="784736F0" w:rsidR="001A42A9" w:rsidRPr="003517AE" w:rsidRDefault="003517AE" w:rsidP="003517AE">
      <w:pPr>
        <w:spacing w:line="276" w:lineRule="auto"/>
        <w:rPr>
          <w:color w:val="auto"/>
          <w:sz w:val="22"/>
          <w:szCs w:val="24"/>
        </w:rPr>
      </w:pPr>
      <w:r w:rsidRPr="0057514B">
        <w:rPr>
          <w:rFonts w:eastAsia="MS Gothic" w:cstheme="minorHAnsi"/>
          <w:b/>
          <w:bCs/>
          <w:color w:val="auto"/>
          <w:sz w:val="22"/>
          <w:szCs w:val="24"/>
        </w:rPr>
        <w:t>Option 4</w:t>
      </w:r>
      <w:r>
        <w:rPr>
          <w:rFonts w:eastAsia="MS Gothic" w:cstheme="minorHAnsi"/>
          <w:color w:val="auto"/>
          <w:sz w:val="22"/>
          <w:szCs w:val="24"/>
        </w:rPr>
        <w:t xml:space="preserve"> </w:t>
      </w:r>
      <w:r w:rsidR="001A42A9" w:rsidRPr="003517AE">
        <w:rPr>
          <w:rFonts w:eastAsia="MS Gothic" w:cstheme="minorHAnsi"/>
          <w:color w:val="auto"/>
          <w:sz w:val="22"/>
          <w:szCs w:val="24"/>
        </w:rPr>
        <w:t xml:space="preserve">Adopt the international standard </w:t>
      </w:r>
      <w:r w:rsidR="001A42A9" w:rsidRPr="003517AE">
        <w:rPr>
          <w:rFonts w:eastAsia="MS Gothic" w:cstheme="minorHAnsi"/>
          <w:sz w:val="22"/>
          <w:szCs w:val="24"/>
        </w:rPr>
        <w:t>ISO 21542:2021 in New Zealand</w:t>
      </w:r>
      <w:r>
        <w:rPr>
          <w:rFonts w:eastAsia="MS Gothic" w:cstheme="minorHAnsi"/>
          <w:sz w:val="22"/>
          <w:szCs w:val="24"/>
        </w:rPr>
        <w:t>.</w:t>
      </w:r>
      <w:r w:rsidR="001A42A9" w:rsidRPr="003517AE">
        <w:rPr>
          <w:rFonts w:eastAsia="MS Gothic" w:cstheme="minorHAnsi"/>
          <w:i/>
          <w:iCs/>
          <w:sz w:val="22"/>
          <w:szCs w:val="24"/>
        </w:rPr>
        <w:t xml:space="preserve"> </w:t>
      </w:r>
    </w:p>
    <w:p w14:paraId="22F1BC9B" w14:textId="5536B9B4" w:rsidR="00BB71D4" w:rsidRPr="00BB71D4" w:rsidRDefault="00BB71D4" w:rsidP="00BB71D4">
      <w:pPr>
        <w:spacing w:after="200" w:line="276" w:lineRule="auto"/>
        <w:rPr>
          <w:rFonts w:ascii="Calibri" w:eastAsia="MS Mincho" w:hAnsi="Calibri" w:cs="Calibri"/>
          <w:color w:val="auto"/>
          <w:sz w:val="22"/>
        </w:rPr>
      </w:pPr>
      <w:r w:rsidRPr="00BB71D4">
        <w:rPr>
          <w:rFonts w:ascii="Calibri" w:eastAsia="MS Mincho" w:hAnsi="Calibri" w:cs="Calibri"/>
          <w:color w:val="auto"/>
          <w:sz w:val="22"/>
        </w:rPr>
        <w:t xml:space="preserve">Standards New Zealand </w:t>
      </w:r>
      <w:r>
        <w:rPr>
          <w:rFonts w:ascii="Calibri" w:eastAsia="MS Mincho" w:hAnsi="Calibri" w:cs="Calibri"/>
          <w:color w:val="auto"/>
          <w:sz w:val="22"/>
        </w:rPr>
        <w:t>recommends o</w:t>
      </w:r>
      <w:r w:rsidRPr="00BB71D4">
        <w:rPr>
          <w:rFonts w:ascii="Calibri" w:eastAsia="MS Mincho" w:hAnsi="Calibri" w:cs="Calibri"/>
          <w:color w:val="auto"/>
          <w:sz w:val="22"/>
        </w:rPr>
        <w:t xml:space="preserve">ption 1 </w:t>
      </w:r>
      <w:r>
        <w:rPr>
          <w:rFonts w:ascii="Calibri" w:eastAsia="MS Mincho" w:hAnsi="Calibri" w:cs="Calibri"/>
          <w:color w:val="auto"/>
          <w:sz w:val="22"/>
        </w:rPr>
        <w:t>above</w:t>
      </w:r>
      <w:r w:rsidRPr="00BB71D4">
        <w:rPr>
          <w:rFonts w:ascii="Calibri" w:eastAsia="MS Mincho" w:hAnsi="Calibri" w:cs="Calibri"/>
          <w:color w:val="auto"/>
          <w:sz w:val="22"/>
        </w:rPr>
        <w:t xml:space="preserve"> as it is more likely to deliver a modern disability access standard, incorporating good practices from international and other overseas standards, as well as catering to New Zealand unique needs where these exist.</w:t>
      </w:r>
      <w:r w:rsidR="00296634">
        <w:rPr>
          <w:rFonts w:ascii="Calibri" w:eastAsia="MS Mincho" w:hAnsi="Calibri" w:cs="Calibri"/>
          <w:color w:val="auto"/>
          <w:sz w:val="22"/>
        </w:rPr>
        <w:t xml:space="preserve"> </w:t>
      </w:r>
      <w:r w:rsidRPr="00BB71D4">
        <w:rPr>
          <w:rFonts w:ascii="Calibri" w:eastAsia="MS Mincho" w:hAnsi="Calibri" w:cs="Calibri"/>
          <w:color w:val="auto"/>
          <w:sz w:val="22"/>
        </w:rPr>
        <w:t xml:space="preserve"> Additionally, the resulting standard is more likely to be fully aligned with the New Zealand building regulatory system. </w:t>
      </w:r>
    </w:p>
    <w:p w14:paraId="0C47D447" w14:textId="2EDD3D02" w:rsidR="001A42A9" w:rsidRPr="001A42A9" w:rsidRDefault="00BB71D4" w:rsidP="00BB71D4">
      <w:pPr>
        <w:spacing w:after="200" w:line="276" w:lineRule="auto"/>
        <w:rPr>
          <w:rFonts w:ascii="Calibri" w:eastAsia="MS Mincho" w:hAnsi="Calibri" w:cs="Calibri"/>
          <w:color w:val="auto"/>
          <w:sz w:val="22"/>
        </w:rPr>
      </w:pPr>
      <w:r w:rsidRPr="00BB71D4">
        <w:rPr>
          <w:rFonts w:ascii="Calibri" w:eastAsia="MS Mincho" w:hAnsi="Calibri" w:cs="Calibri"/>
          <w:color w:val="auto"/>
          <w:sz w:val="22"/>
        </w:rPr>
        <w:t>While this option will require more resource and time, it is expected to produce a standard that is better suited to New Zealand’s building users, industry, the regulator, and better meets accessibility needs. It is also more likely to be future proofed. The best parts of various standards would look to be utilised, taking the best internationally and incorporating it in New Zealand.</w:t>
      </w:r>
    </w:p>
    <w:p w14:paraId="4F911D70" w14:textId="77777777" w:rsidR="008E32E2" w:rsidRPr="008E32E2" w:rsidRDefault="008E32E2" w:rsidP="008E32E2">
      <w:pPr>
        <w:spacing w:after="200" w:line="276" w:lineRule="auto"/>
        <w:rPr>
          <w:rFonts w:ascii="Calibri" w:eastAsia="MS Mincho" w:hAnsi="Calibri" w:cs="Calibri"/>
          <w:color w:val="auto"/>
          <w:sz w:val="22"/>
        </w:rPr>
      </w:pPr>
    </w:p>
    <w:p w14:paraId="4F85E517" w14:textId="0901AC7A" w:rsidR="00844C99" w:rsidRPr="00844C99" w:rsidRDefault="00844C99" w:rsidP="00721D7C">
      <w:pPr>
        <w:pStyle w:val="Heading1"/>
        <w:rPr>
          <w:rFonts w:eastAsia="MS Gothic"/>
        </w:rPr>
      </w:pPr>
      <w:bookmarkStart w:id="2" w:name="_Toc227156473"/>
      <w:r w:rsidRPr="00844C99">
        <w:rPr>
          <w:rFonts w:eastAsia="MS Gothic"/>
        </w:rPr>
        <w:t>Background on NZS 4121:2001</w:t>
      </w:r>
      <w:bookmarkEnd w:id="2"/>
    </w:p>
    <w:p w14:paraId="5DB33AC1" w14:textId="77777777" w:rsidR="00721D7C" w:rsidRDefault="00721D7C" w:rsidP="00D22F22">
      <w:pPr>
        <w:spacing w:after="0" w:line="276" w:lineRule="auto"/>
        <w:rPr>
          <w:rFonts w:ascii="Calibri" w:eastAsia="MS Mincho" w:hAnsi="Calibri" w:cs="Calibri"/>
          <w:color w:val="auto"/>
          <w:sz w:val="22"/>
        </w:rPr>
      </w:pPr>
    </w:p>
    <w:p w14:paraId="2A4ABC8B" w14:textId="2F7F200F" w:rsidR="00EB6AE0" w:rsidRPr="00844C99" w:rsidRDefault="00844C99" w:rsidP="00EB6AE0">
      <w:pPr>
        <w:spacing w:after="200" w:line="276" w:lineRule="auto"/>
        <w:rPr>
          <w:rFonts w:ascii="Calibri" w:eastAsia="MS Mincho" w:hAnsi="Calibri" w:cs="Calibri"/>
          <w:color w:val="auto"/>
          <w:sz w:val="22"/>
        </w:rPr>
      </w:pPr>
      <w:r w:rsidRPr="00844C99">
        <w:rPr>
          <w:rFonts w:ascii="Calibri" w:eastAsia="MS Mincho" w:hAnsi="Calibri" w:cs="Calibri"/>
          <w:color w:val="auto"/>
          <w:sz w:val="22"/>
        </w:rPr>
        <w:t xml:space="preserve">NZS 4121:2001 </w:t>
      </w:r>
      <w:r w:rsidR="002C25C0">
        <w:rPr>
          <w:rFonts w:ascii="Calibri" w:eastAsia="MS Mincho" w:hAnsi="Calibri" w:cs="Calibri"/>
          <w:i/>
          <w:iCs/>
          <w:color w:val="auto"/>
          <w:sz w:val="22"/>
        </w:rPr>
        <w:t>Design for access and mobility – Buildings and associated facilities</w:t>
      </w:r>
      <w:r w:rsidRPr="00844C99">
        <w:rPr>
          <w:rFonts w:ascii="Calibri" w:eastAsia="MS Mincho" w:hAnsi="Calibri" w:cs="Calibri"/>
          <w:color w:val="auto"/>
          <w:sz w:val="22"/>
        </w:rPr>
        <w:t>,</w:t>
      </w:r>
      <w:r w:rsidR="00EB6AE0" w:rsidRPr="00844C99">
        <w:rPr>
          <w:rFonts w:ascii="Calibri" w:eastAsia="MS Mincho" w:hAnsi="Calibri" w:cs="Calibri"/>
          <w:color w:val="auto"/>
          <w:sz w:val="22"/>
        </w:rPr>
        <w:t xml:space="preserve"> is New Zealand’s principal accessibility standard for the built environment. It provides solutions for designing buildings and facilities that are accessible and usable for people with disabilities. The standard underpins accessible design requirements and offers a recognised method of complying with the New Zealand Building Code performance criteria relating to access and facilities for persons with disabilities.</w:t>
      </w:r>
    </w:p>
    <w:p w14:paraId="5EB287AF" w14:textId="15EAF8A1" w:rsidR="00844C99" w:rsidRPr="00844C99" w:rsidRDefault="00386439" w:rsidP="00844C99">
      <w:pPr>
        <w:spacing w:after="200" w:line="276" w:lineRule="auto"/>
        <w:rPr>
          <w:rFonts w:ascii="Calibri" w:eastAsia="MS Mincho" w:hAnsi="Calibri" w:cs="Calibri"/>
          <w:color w:val="auto"/>
          <w:sz w:val="22"/>
        </w:rPr>
      </w:pPr>
      <w:r>
        <w:rPr>
          <w:rFonts w:ascii="Calibri" w:eastAsia="MS Mincho" w:hAnsi="Calibri" w:cs="Calibri"/>
          <w:color w:val="auto"/>
          <w:sz w:val="22"/>
        </w:rPr>
        <w:t>Despite its age, NZS 4121:2001</w:t>
      </w:r>
      <w:r w:rsidR="00844C99" w:rsidRPr="00844C99">
        <w:rPr>
          <w:rFonts w:ascii="Calibri" w:eastAsia="MS Mincho" w:hAnsi="Calibri" w:cs="Calibri"/>
          <w:color w:val="auto"/>
          <w:sz w:val="22"/>
        </w:rPr>
        <w:t xml:space="preserve"> is </w:t>
      </w:r>
      <w:r>
        <w:rPr>
          <w:rFonts w:ascii="Calibri" w:eastAsia="MS Mincho" w:hAnsi="Calibri" w:cs="Calibri"/>
          <w:color w:val="auto"/>
          <w:sz w:val="22"/>
        </w:rPr>
        <w:t xml:space="preserve">still </w:t>
      </w:r>
      <w:r w:rsidR="00844C99" w:rsidRPr="00844C99">
        <w:rPr>
          <w:rFonts w:ascii="Calibri" w:eastAsia="MS Mincho" w:hAnsi="Calibri" w:cs="Calibri"/>
          <w:color w:val="auto"/>
          <w:sz w:val="22"/>
        </w:rPr>
        <w:t xml:space="preserve">widely used across the sector and continues to inform </w:t>
      </w:r>
      <w:r w:rsidR="0073266E">
        <w:rPr>
          <w:rFonts w:ascii="Calibri" w:eastAsia="MS Mincho" w:hAnsi="Calibri" w:cs="Calibri"/>
          <w:color w:val="auto"/>
          <w:sz w:val="22"/>
        </w:rPr>
        <w:t>accessible building design</w:t>
      </w:r>
      <w:r w:rsidR="00844C99" w:rsidRPr="00844C99">
        <w:rPr>
          <w:rFonts w:ascii="Calibri" w:eastAsia="MS Mincho" w:hAnsi="Calibri" w:cs="Calibri"/>
          <w:color w:val="auto"/>
          <w:sz w:val="22"/>
        </w:rPr>
        <w:t xml:space="preserve">. </w:t>
      </w:r>
      <w:r w:rsidR="00446B7B" w:rsidRPr="007B0290">
        <w:rPr>
          <w:rFonts w:ascii="Calibri" w:eastAsia="MS Mincho" w:hAnsi="Calibri" w:cs="Calibri"/>
          <w:color w:val="auto"/>
          <w:sz w:val="22"/>
        </w:rPr>
        <w:t xml:space="preserve">It remains one of </w:t>
      </w:r>
      <w:r w:rsidR="002C25C0">
        <w:rPr>
          <w:rFonts w:ascii="Calibri" w:eastAsia="MS Mincho" w:hAnsi="Calibri" w:cs="Calibri"/>
          <w:color w:val="auto"/>
          <w:sz w:val="22"/>
        </w:rPr>
        <w:t>Standards New Zealand</w:t>
      </w:r>
      <w:r w:rsidR="00446B7B" w:rsidRPr="007B0290">
        <w:rPr>
          <w:rFonts w:ascii="Calibri" w:eastAsia="MS Mincho" w:hAnsi="Calibri" w:cs="Calibri"/>
          <w:color w:val="auto"/>
          <w:sz w:val="22"/>
        </w:rPr>
        <w:t xml:space="preserve">’s </w:t>
      </w:r>
      <w:r w:rsidR="00741636">
        <w:rPr>
          <w:rFonts w:ascii="Calibri" w:eastAsia="MS Mincho" w:hAnsi="Calibri" w:cs="Calibri"/>
          <w:color w:val="auto"/>
          <w:sz w:val="22"/>
        </w:rPr>
        <w:t>most</w:t>
      </w:r>
      <w:r w:rsidR="00741636" w:rsidRPr="007B0290">
        <w:rPr>
          <w:rFonts w:ascii="Calibri" w:eastAsia="MS Mincho" w:hAnsi="Calibri" w:cs="Calibri"/>
          <w:color w:val="auto"/>
          <w:sz w:val="22"/>
        </w:rPr>
        <w:t xml:space="preserve"> </w:t>
      </w:r>
      <w:r w:rsidR="007B0290">
        <w:rPr>
          <w:rFonts w:ascii="Calibri" w:eastAsia="MS Mincho" w:hAnsi="Calibri" w:cs="Calibri"/>
          <w:color w:val="auto"/>
          <w:sz w:val="22"/>
        </w:rPr>
        <w:t>downloaded</w:t>
      </w:r>
      <w:r w:rsidR="00446B7B" w:rsidRPr="007B0290">
        <w:rPr>
          <w:rFonts w:ascii="Calibri" w:eastAsia="MS Mincho" w:hAnsi="Calibri" w:cs="Calibri"/>
          <w:color w:val="auto"/>
          <w:sz w:val="22"/>
        </w:rPr>
        <w:t xml:space="preserve"> standards each year, indicating its continued use in industry</w:t>
      </w:r>
      <w:r w:rsidR="00446B7B">
        <w:rPr>
          <w:rFonts w:ascii="Calibri" w:eastAsia="MS Mincho" w:hAnsi="Calibri" w:cs="Calibri"/>
          <w:color w:val="auto"/>
          <w:sz w:val="22"/>
        </w:rPr>
        <w:t xml:space="preserve">. </w:t>
      </w:r>
      <w:r w:rsidR="00844C99" w:rsidRPr="00844C99">
        <w:rPr>
          <w:rFonts w:ascii="Calibri" w:eastAsia="MS Mincho" w:hAnsi="Calibri" w:cs="Calibri"/>
          <w:color w:val="auto"/>
          <w:sz w:val="22"/>
        </w:rPr>
        <w:t>Key characteristics noted by stakeholders include its clear layout, measurable requirements and coverage of several New Zealand</w:t>
      </w:r>
      <w:r w:rsidR="00666F8C">
        <w:rPr>
          <w:rFonts w:ascii="Calibri" w:eastAsia="MS Mincho" w:hAnsi="Calibri" w:cs="Calibri"/>
          <w:color w:val="auto"/>
          <w:sz w:val="22"/>
        </w:rPr>
        <w:t>-</w:t>
      </w:r>
      <w:r w:rsidR="00844C99" w:rsidRPr="00844C99">
        <w:rPr>
          <w:rFonts w:ascii="Calibri" w:eastAsia="MS Mincho" w:hAnsi="Calibri" w:cs="Calibri"/>
          <w:color w:val="auto"/>
          <w:sz w:val="22"/>
        </w:rPr>
        <w:t xml:space="preserve">specific topics. The document is considered a legacy standard due to its age but is frequently accessed by industry to ensure compliance with building regulations. </w:t>
      </w:r>
    </w:p>
    <w:p w14:paraId="2736ABD4" w14:textId="6C054B34" w:rsidR="00844C99" w:rsidRPr="00844C99" w:rsidRDefault="00844C99" w:rsidP="00844C99">
      <w:pPr>
        <w:spacing w:after="200" w:line="276" w:lineRule="auto"/>
        <w:rPr>
          <w:rFonts w:ascii="Calibri" w:eastAsia="MS Mincho" w:hAnsi="Calibri" w:cs="Calibri"/>
          <w:color w:val="auto"/>
          <w:sz w:val="22"/>
        </w:rPr>
      </w:pPr>
      <w:r w:rsidRPr="00844C99">
        <w:rPr>
          <w:rFonts w:ascii="Calibri" w:eastAsia="MS Mincho" w:hAnsi="Calibri" w:cs="Calibri"/>
          <w:color w:val="auto"/>
          <w:sz w:val="22"/>
        </w:rPr>
        <w:t>NZS 4121:2001 is cited</w:t>
      </w:r>
      <w:r w:rsidR="00CC19CD">
        <w:rPr>
          <w:rFonts w:ascii="Calibri" w:eastAsia="MS Mincho" w:hAnsi="Calibri" w:cs="Calibri"/>
          <w:color w:val="auto"/>
          <w:sz w:val="22"/>
        </w:rPr>
        <w:t xml:space="preserve"> in</w:t>
      </w:r>
      <w:r w:rsidRPr="00844C99">
        <w:rPr>
          <w:rFonts w:ascii="Calibri" w:eastAsia="MS Mincho" w:hAnsi="Calibri" w:cs="Calibri"/>
          <w:color w:val="auto"/>
          <w:sz w:val="22"/>
        </w:rPr>
        <w:t xml:space="preserve"> the Building Act as an </w:t>
      </w:r>
      <w:r w:rsidR="00CC19CD">
        <w:rPr>
          <w:rFonts w:ascii="Calibri" w:eastAsia="MS Mincho" w:hAnsi="Calibri" w:cs="Calibri"/>
          <w:color w:val="auto"/>
          <w:sz w:val="22"/>
        </w:rPr>
        <w:t>‘</w:t>
      </w:r>
      <w:r w:rsidR="00CC19CD" w:rsidRPr="00CC19CD">
        <w:rPr>
          <w:rFonts w:ascii="Calibri" w:eastAsia="MS Mincho" w:hAnsi="Calibri" w:cs="Calibri"/>
          <w:i/>
          <w:iCs/>
          <w:color w:val="auto"/>
          <w:sz w:val="22"/>
        </w:rPr>
        <w:t>Acceptable solution for requirements of persons with disabilities</w:t>
      </w:r>
      <w:r w:rsidR="00CC19CD">
        <w:rPr>
          <w:rFonts w:ascii="Calibri" w:eastAsia="MS Mincho" w:hAnsi="Calibri" w:cs="Calibri"/>
          <w:color w:val="auto"/>
          <w:sz w:val="22"/>
        </w:rPr>
        <w:t>’</w:t>
      </w:r>
      <w:r w:rsidR="00CC19CD" w:rsidRPr="00CC19CD">
        <w:rPr>
          <w:rFonts w:ascii="Calibri" w:eastAsia="MS Mincho" w:hAnsi="Calibri" w:cs="Calibri"/>
          <w:color w:val="auto"/>
          <w:sz w:val="22"/>
        </w:rPr>
        <w:t xml:space="preserve"> </w:t>
      </w:r>
      <w:r w:rsidRPr="00844C99">
        <w:rPr>
          <w:rFonts w:ascii="Calibri" w:eastAsia="MS Mincho" w:hAnsi="Calibri" w:cs="Calibri"/>
          <w:color w:val="auto"/>
          <w:sz w:val="22"/>
        </w:rPr>
        <w:t xml:space="preserve">that demonstrates compliance with </w:t>
      </w:r>
      <w:r w:rsidR="00CC19CD">
        <w:rPr>
          <w:rFonts w:ascii="Calibri" w:eastAsia="MS Mincho" w:hAnsi="Calibri" w:cs="Calibri"/>
          <w:color w:val="auto"/>
          <w:sz w:val="22"/>
        </w:rPr>
        <w:t xml:space="preserve">the </w:t>
      </w:r>
      <w:r w:rsidRPr="00844C99">
        <w:rPr>
          <w:rFonts w:ascii="Calibri" w:eastAsia="MS Mincho" w:hAnsi="Calibri" w:cs="Calibri"/>
          <w:color w:val="auto"/>
          <w:sz w:val="22"/>
        </w:rPr>
        <w:t xml:space="preserve">Building Code </w:t>
      </w:r>
      <w:r w:rsidRPr="007B0290">
        <w:rPr>
          <w:rFonts w:ascii="Calibri" w:eastAsia="MS Mincho" w:hAnsi="Calibri" w:cs="Calibri"/>
          <w:color w:val="auto"/>
          <w:sz w:val="22"/>
        </w:rPr>
        <w:t>access</w:t>
      </w:r>
      <w:r w:rsidR="007B0290" w:rsidRPr="007B0290">
        <w:rPr>
          <w:rFonts w:ascii="Calibri" w:eastAsia="MS Mincho" w:hAnsi="Calibri" w:cs="Calibri"/>
          <w:color w:val="auto"/>
          <w:sz w:val="22"/>
        </w:rPr>
        <w:t>ibility</w:t>
      </w:r>
      <w:r w:rsidR="00B503B1" w:rsidRPr="00B503B1">
        <w:rPr>
          <w:rFonts w:ascii="Calibri" w:eastAsia="MS Mincho" w:hAnsi="Calibri" w:cs="Calibri"/>
          <w:color w:val="ED0000"/>
          <w:sz w:val="22"/>
        </w:rPr>
        <w:t xml:space="preserve"> </w:t>
      </w:r>
      <w:r w:rsidRPr="00844C99">
        <w:rPr>
          <w:rFonts w:ascii="Calibri" w:eastAsia="MS Mincho" w:hAnsi="Calibri" w:cs="Calibri"/>
          <w:color w:val="auto"/>
          <w:sz w:val="22"/>
        </w:rPr>
        <w:t xml:space="preserve">requirements. </w:t>
      </w:r>
      <w:r w:rsidR="00B35E8B" w:rsidRPr="00B35E8B">
        <w:rPr>
          <w:rFonts w:ascii="Calibri" w:eastAsia="MS Mincho" w:hAnsi="Calibri" w:cs="Calibri"/>
          <w:color w:val="auto"/>
          <w:sz w:val="22"/>
        </w:rPr>
        <w:t>While not the only means of complying with statutory access requirements, NZS</w:t>
      </w:r>
      <w:r w:rsidR="00E6793F">
        <w:rPr>
          <w:rFonts w:ascii="Calibri" w:eastAsia="MS Mincho" w:hAnsi="Calibri" w:cs="Calibri"/>
          <w:color w:val="auto"/>
          <w:sz w:val="22"/>
        </w:rPr>
        <w:t> </w:t>
      </w:r>
      <w:r w:rsidR="00B35E8B" w:rsidRPr="00B35E8B">
        <w:rPr>
          <w:rFonts w:ascii="Calibri" w:eastAsia="MS Mincho" w:hAnsi="Calibri" w:cs="Calibri"/>
          <w:color w:val="auto"/>
          <w:sz w:val="22"/>
        </w:rPr>
        <w:t>4121:2001 is the primary mechanism used in New Zealand.</w:t>
      </w:r>
      <w:r w:rsidR="00B35E8B">
        <w:rPr>
          <w:rFonts w:ascii="Calibri" w:eastAsia="MS Mincho" w:hAnsi="Calibri" w:cs="Calibri"/>
          <w:color w:val="auto"/>
          <w:sz w:val="22"/>
        </w:rPr>
        <w:t xml:space="preserve"> </w:t>
      </w:r>
      <w:r w:rsidR="00496E12">
        <w:rPr>
          <w:rFonts w:ascii="Calibri" w:eastAsia="MS Mincho" w:hAnsi="Calibri" w:cs="Calibri"/>
          <w:color w:val="auto"/>
          <w:sz w:val="22"/>
        </w:rPr>
        <w:t>The standard</w:t>
      </w:r>
      <w:r w:rsidRPr="00844C99">
        <w:rPr>
          <w:rFonts w:ascii="Calibri" w:eastAsia="MS Mincho" w:hAnsi="Calibri" w:cs="Calibri"/>
          <w:color w:val="auto"/>
          <w:sz w:val="22"/>
        </w:rPr>
        <w:t xml:space="preserve"> is </w:t>
      </w:r>
      <w:r w:rsidR="00496E12">
        <w:rPr>
          <w:rFonts w:ascii="Calibri" w:eastAsia="MS Mincho" w:hAnsi="Calibri" w:cs="Calibri"/>
          <w:color w:val="auto"/>
          <w:sz w:val="22"/>
        </w:rPr>
        <w:t xml:space="preserve">also </w:t>
      </w:r>
      <w:r w:rsidRPr="00844C99">
        <w:rPr>
          <w:rFonts w:ascii="Calibri" w:eastAsia="MS Mincho" w:hAnsi="Calibri" w:cs="Calibri"/>
          <w:color w:val="auto"/>
          <w:sz w:val="22"/>
        </w:rPr>
        <w:t xml:space="preserve">referenced as an Acceptable Solution </w:t>
      </w:r>
      <w:r w:rsidR="00704D56">
        <w:rPr>
          <w:rFonts w:ascii="Calibri" w:eastAsia="MS Mincho" w:hAnsi="Calibri" w:cs="Calibri"/>
          <w:color w:val="auto"/>
          <w:sz w:val="22"/>
        </w:rPr>
        <w:t>in</w:t>
      </w:r>
      <w:r w:rsidRPr="00844C99">
        <w:rPr>
          <w:rFonts w:ascii="Calibri" w:eastAsia="MS Mincho" w:hAnsi="Calibri" w:cs="Calibri"/>
          <w:color w:val="auto"/>
          <w:sz w:val="22"/>
        </w:rPr>
        <w:t xml:space="preserve"> </w:t>
      </w:r>
      <w:r w:rsidR="00704D56">
        <w:rPr>
          <w:rFonts w:ascii="Calibri" w:eastAsia="MS Mincho" w:hAnsi="Calibri" w:cs="Calibri"/>
          <w:color w:val="auto"/>
          <w:sz w:val="22"/>
        </w:rPr>
        <w:t>the Building Code c</w:t>
      </w:r>
      <w:r w:rsidRPr="00844C99">
        <w:rPr>
          <w:rFonts w:ascii="Calibri" w:eastAsia="MS Mincho" w:hAnsi="Calibri" w:cs="Calibri"/>
          <w:color w:val="auto"/>
          <w:sz w:val="22"/>
        </w:rPr>
        <w:t xml:space="preserve">lause D1 </w:t>
      </w:r>
      <w:r w:rsidRPr="00496E12">
        <w:rPr>
          <w:rFonts w:ascii="Calibri" w:eastAsia="MS Mincho" w:hAnsi="Calibri" w:cs="Calibri"/>
          <w:i/>
          <w:iCs/>
          <w:color w:val="auto"/>
          <w:sz w:val="22"/>
        </w:rPr>
        <w:t>Access Routes</w:t>
      </w:r>
      <w:r w:rsidR="00704D56">
        <w:rPr>
          <w:rFonts w:ascii="Calibri" w:eastAsia="MS Mincho" w:hAnsi="Calibri" w:cs="Calibri"/>
          <w:i/>
          <w:iCs/>
          <w:color w:val="auto"/>
          <w:sz w:val="22"/>
        </w:rPr>
        <w:t xml:space="preserve"> </w:t>
      </w:r>
      <w:r w:rsidR="00704D56" w:rsidRPr="00704D56">
        <w:rPr>
          <w:rFonts w:ascii="Calibri" w:eastAsia="MS Mincho" w:hAnsi="Calibri" w:cs="Calibri"/>
          <w:color w:val="auto"/>
          <w:sz w:val="22"/>
        </w:rPr>
        <w:t>(D1/AS1)</w:t>
      </w:r>
      <w:r w:rsidR="00C06CA7">
        <w:rPr>
          <w:rFonts w:ascii="Calibri" w:eastAsia="MS Mincho" w:hAnsi="Calibri" w:cs="Calibri"/>
          <w:color w:val="auto"/>
          <w:sz w:val="22"/>
        </w:rPr>
        <w:t xml:space="preserve"> and</w:t>
      </w:r>
      <w:r w:rsidRPr="00844C99">
        <w:rPr>
          <w:rFonts w:ascii="Calibri" w:eastAsia="MS Mincho" w:hAnsi="Calibri" w:cs="Calibri"/>
          <w:color w:val="auto"/>
          <w:sz w:val="22"/>
        </w:rPr>
        <w:t xml:space="preserve"> </w:t>
      </w:r>
      <w:r w:rsidR="00393A78">
        <w:rPr>
          <w:rFonts w:ascii="Calibri" w:eastAsia="MS Mincho" w:hAnsi="Calibri" w:cs="Calibri"/>
          <w:color w:val="auto"/>
          <w:sz w:val="22"/>
        </w:rPr>
        <w:t xml:space="preserve">G1 </w:t>
      </w:r>
      <w:r w:rsidR="00393A78" w:rsidRPr="00393A78">
        <w:rPr>
          <w:rFonts w:ascii="Calibri" w:eastAsia="MS Mincho" w:hAnsi="Calibri" w:cs="Calibri"/>
          <w:i/>
          <w:iCs/>
          <w:color w:val="auto"/>
          <w:sz w:val="22"/>
        </w:rPr>
        <w:t>Personal hygiene</w:t>
      </w:r>
      <w:r w:rsidR="00393A78">
        <w:rPr>
          <w:rFonts w:ascii="Calibri" w:eastAsia="MS Mincho" w:hAnsi="Calibri" w:cs="Calibri"/>
          <w:color w:val="auto"/>
          <w:sz w:val="22"/>
        </w:rPr>
        <w:t xml:space="preserve"> (G1/AS1) </w:t>
      </w:r>
      <w:r w:rsidRPr="00844C99">
        <w:rPr>
          <w:rFonts w:ascii="Calibri" w:eastAsia="MS Mincho" w:hAnsi="Calibri" w:cs="Calibri"/>
          <w:color w:val="auto"/>
          <w:sz w:val="22"/>
        </w:rPr>
        <w:t xml:space="preserve">providing detailed design guidance in areas such as </w:t>
      </w:r>
      <w:r w:rsidR="00C06CA7">
        <w:rPr>
          <w:rFonts w:ascii="Calibri" w:eastAsia="MS Mincho" w:hAnsi="Calibri" w:cs="Calibri"/>
          <w:color w:val="auto"/>
          <w:sz w:val="22"/>
        </w:rPr>
        <w:t>car parks, lifts</w:t>
      </w:r>
      <w:r w:rsidRPr="00844C99">
        <w:rPr>
          <w:rFonts w:ascii="Calibri" w:eastAsia="MS Mincho" w:hAnsi="Calibri" w:cs="Calibri"/>
          <w:color w:val="auto"/>
          <w:sz w:val="22"/>
        </w:rPr>
        <w:t xml:space="preserve"> and sanitary facilities. </w:t>
      </w:r>
    </w:p>
    <w:p w14:paraId="4F45A6DB" w14:textId="788ECE93" w:rsidR="00A67642" w:rsidRDefault="00844C99" w:rsidP="00844C99">
      <w:pPr>
        <w:spacing w:after="200" w:line="276" w:lineRule="auto"/>
        <w:rPr>
          <w:rFonts w:ascii="Calibri" w:eastAsia="MS Mincho" w:hAnsi="Calibri" w:cs="Calibri"/>
          <w:color w:val="auto"/>
          <w:sz w:val="22"/>
        </w:rPr>
      </w:pPr>
      <w:r w:rsidRPr="00844C99">
        <w:rPr>
          <w:rFonts w:ascii="Calibri" w:eastAsia="MS Mincho" w:hAnsi="Calibri" w:cs="Calibri"/>
          <w:color w:val="auto"/>
          <w:sz w:val="22"/>
        </w:rPr>
        <w:t xml:space="preserve">Because </w:t>
      </w:r>
      <w:r w:rsidR="000F1857">
        <w:rPr>
          <w:rFonts w:ascii="Calibri" w:eastAsia="MS Mincho" w:hAnsi="Calibri" w:cs="Calibri"/>
          <w:color w:val="auto"/>
          <w:sz w:val="22"/>
        </w:rPr>
        <w:t xml:space="preserve">of </w:t>
      </w:r>
      <w:r w:rsidRPr="00844C99">
        <w:rPr>
          <w:rFonts w:ascii="Calibri" w:eastAsia="MS Mincho" w:hAnsi="Calibri" w:cs="Calibri"/>
          <w:color w:val="auto"/>
          <w:sz w:val="22"/>
        </w:rPr>
        <w:t>it</w:t>
      </w:r>
      <w:r w:rsidR="00303CAA">
        <w:rPr>
          <w:rFonts w:ascii="Calibri" w:eastAsia="MS Mincho" w:hAnsi="Calibri" w:cs="Calibri"/>
          <w:color w:val="auto"/>
          <w:sz w:val="22"/>
        </w:rPr>
        <w:t>s</w:t>
      </w:r>
      <w:r w:rsidRPr="00844C99">
        <w:rPr>
          <w:rFonts w:ascii="Calibri" w:eastAsia="MS Mincho" w:hAnsi="Calibri" w:cs="Calibri"/>
          <w:color w:val="auto"/>
          <w:sz w:val="22"/>
        </w:rPr>
        <w:t xml:space="preserve"> </w:t>
      </w:r>
      <w:r w:rsidR="000F1857">
        <w:rPr>
          <w:rFonts w:ascii="Calibri" w:eastAsia="MS Mincho" w:hAnsi="Calibri" w:cs="Calibri"/>
          <w:color w:val="auto"/>
          <w:sz w:val="22"/>
        </w:rPr>
        <w:t>placement</w:t>
      </w:r>
      <w:r w:rsidRPr="00844C99">
        <w:rPr>
          <w:rFonts w:ascii="Calibri" w:eastAsia="MS Mincho" w:hAnsi="Calibri" w:cs="Calibri"/>
          <w:color w:val="auto"/>
          <w:sz w:val="22"/>
        </w:rPr>
        <w:t xml:space="preserve"> within the regulatory system, the standard influences the design of public</w:t>
      </w:r>
      <w:r w:rsidR="00326135">
        <w:rPr>
          <w:rFonts w:ascii="Calibri" w:eastAsia="MS Mincho" w:hAnsi="Calibri" w:cs="Calibri"/>
          <w:color w:val="auto"/>
          <w:sz w:val="22"/>
        </w:rPr>
        <w:t xml:space="preserve"> </w:t>
      </w:r>
      <w:r w:rsidR="00847170">
        <w:rPr>
          <w:rFonts w:ascii="Calibri" w:eastAsia="MS Mincho" w:hAnsi="Calibri" w:cs="Calibri"/>
          <w:color w:val="auto"/>
          <w:sz w:val="22"/>
        </w:rPr>
        <w:t>buildings</w:t>
      </w:r>
      <w:r w:rsidRPr="00844C99">
        <w:rPr>
          <w:rFonts w:ascii="Calibri" w:eastAsia="MS Mincho" w:hAnsi="Calibri" w:cs="Calibri"/>
          <w:color w:val="auto"/>
          <w:sz w:val="22"/>
        </w:rPr>
        <w:t xml:space="preserve">, </w:t>
      </w:r>
      <w:r w:rsidR="00326135">
        <w:rPr>
          <w:rFonts w:ascii="Calibri" w:eastAsia="MS Mincho" w:hAnsi="Calibri" w:cs="Calibri"/>
          <w:color w:val="auto"/>
          <w:sz w:val="22"/>
        </w:rPr>
        <w:t xml:space="preserve">aiming to </w:t>
      </w:r>
      <w:r w:rsidRPr="00844C99">
        <w:rPr>
          <w:rFonts w:ascii="Calibri" w:eastAsia="MS Mincho" w:hAnsi="Calibri" w:cs="Calibri"/>
          <w:color w:val="auto"/>
          <w:sz w:val="22"/>
        </w:rPr>
        <w:t>ensur</w:t>
      </w:r>
      <w:r w:rsidR="00326135">
        <w:rPr>
          <w:rFonts w:ascii="Calibri" w:eastAsia="MS Mincho" w:hAnsi="Calibri" w:cs="Calibri"/>
          <w:color w:val="auto"/>
          <w:sz w:val="22"/>
        </w:rPr>
        <w:t>e</w:t>
      </w:r>
      <w:r w:rsidRPr="00844C99">
        <w:rPr>
          <w:rFonts w:ascii="Calibri" w:eastAsia="MS Mincho" w:hAnsi="Calibri" w:cs="Calibri"/>
          <w:color w:val="auto"/>
          <w:sz w:val="22"/>
        </w:rPr>
        <w:t xml:space="preserve"> that accessibility requirements are met consistently across </w:t>
      </w:r>
      <w:r w:rsidR="00847170">
        <w:rPr>
          <w:rFonts w:ascii="Calibri" w:eastAsia="MS Mincho" w:hAnsi="Calibri" w:cs="Calibri"/>
          <w:color w:val="auto"/>
          <w:sz w:val="22"/>
        </w:rPr>
        <w:t>Aotearoa</w:t>
      </w:r>
      <w:r w:rsidRPr="00844C99">
        <w:rPr>
          <w:rFonts w:ascii="Calibri" w:eastAsia="MS Mincho" w:hAnsi="Calibri" w:cs="Calibri"/>
          <w:color w:val="auto"/>
          <w:sz w:val="22"/>
        </w:rPr>
        <w:t>.</w:t>
      </w:r>
    </w:p>
    <w:p w14:paraId="4FA1812E" w14:textId="73FCBCE0" w:rsidR="00844C99" w:rsidRDefault="00844C99" w:rsidP="00844C99">
      <w:pPr>
        <w:spacing w:after="200" w:line="276" w:lineRule="auto"/>
        <w:rPr>
          <w:rFonts w:ascii="Calibri" w:eastAsia="MS Mincho" w:hAnsi="Calibri" w:cs="Calibri"/>
          <w:color w:val="auto"/>
          <w:sz w:val="22"/>
        </w:rPr>
      </w:pPr>
      <w:r w:rsidRPr="00844C99">
        <w:rPr>
          <w:rFonts w:ascii="Calibri" w:eastAsia="MS Mincho" w:hAnsi="Calibri" w:cs="Calibri"/>
          <w:color w:val="auto"/>
          <w:sz w:val="22"/>
        </w:rPr>
        <w:t xml:space="preserve">Access to NZS 4121:2001 </w:t>
      </w:r>
      <w:r w:rsidR="00C06CA7">
        <w:rPr>
          <w:rFonts w:ascii="Calibri" w:eastAsia="MS Mincho" w:hAnsi="Calibri" w:cs="Calibri"/>
          <w:color w:val="auto"/>
          <w:sz w:val="22"/>
        </w:rPr>
        <w:t>is</w:t>
      </w:r>
      <w:r w:rsidRPr="00844C99">
        <w:rPr>
          <w:rFonts w:ascii="Calibri" w:eastAsia="MS Mincho" w:hAnsi="Calibri" w:cs="Calibri"/>
          <w:color w:val="auto"/>
          <w:sz w:val="22"/>
        </w:rPr>
        <w:t xml:space="preserve"> sponsored by the Ministry of Business, Innovation and Employment (MBIE) through its Building System Performance branch. This sponsorship allows members of the public to view and download a PDF copy free of charge, supporting widespread access to the standard and encouraging compliance across industry.</w:t>
      </w:r>
    </w:p>
    <w:p w14:paraId="124A1E21" w14:textId="222303E0" w:rsidR="001D7E33" w:rsidRPr="005559DD" w:rsidRDefault="00B503B1" w:rsidP="002D55B5">
      <w:pPr>
        <w:spacing w:after="200" w:line="276" w:lineRule="auto"/>
        <w:rPr>
          <w:rFonts w:ascii="Calibri" w:eastAsia="MS Mincho" w:hAnsi="Calibri" w:cs="Calibri"/>
          <w:color w:val="auto"/>
          <w:sz w:val="22"/>
        </w:rPr>
      </w:pPr>
      <w:r w:rsidRPr="008F7367">
        <w:rPr>
          <w:rFonts w:ascii="Calibri" w:eastAsia="MS Mincho" w:hAnsi="Calibri" w:cs="Calibri"/>
          <w:color w:val="auto"/>
          <w:sz w:val="22"/>
        </w:rPr>
        <w:t xml:space="preserve">NZS 4121:2001 is also used by a range of other government agencies to support procurement activity, construction </w:t>
      </w:r>
      <w:r w:rsidR="007B0290" w:rsidRPr="008F7367">
        <w:rPr>
          <w:rFonts w:ascii="Calibri" w:eastAsia="MS Mincho" w:hAnsi="Calibri" w:cs="Calibri"/>
          <w:color w:val="auto"/>
          <w:sz w:val="22"/>
        </w:rPr>
        <w:t xml:space="preserve">of new </w:t>
      </w:r>
      <w:r w:rsidRPr="008F7367">
        <w:rPr>
          <w:rFonts w:ascii="Calibri" w:eastAsia="MS Mincho" w:hAnsi="Calibri" w:cs="Calibri"/>
          <w:color w:val="auto"/>
          <w:sz w:val="22"/>
        </w:rPr>
        <w:t xml:space="preserve">and alteration upgrades </w:t>
      </w:r>
      <w:r w:rsidR="007B0290" w:rsidRPr="008F7367">
        <w:rPr>
          <w:rFonts w:ascii="Calibri" w:eastAsia="MS Mincho" w:hAnsi="Calibri" w:cs="Calibri"/>
          <w:color w:val="auto"/>
          <w:sz w:val="22"/>
        </w:rPr>
        <w:t>of existing buildings</w:t>
      </w:r>
      <w:r w:rsidRPr="008F7367">
        <w:rPr>
          <w:rFonts w:ascii="Calibri" w:eastAsia="MS Mincho" w:hAnsi="Calibri" w:cs="Calibri"/>
          <w:color w:val="auto"/>
          <w:sz w:val="22"/>
        </w:rPr>
        <w:t xml:space="preserve">, rehabilitation and primary health care </w:t>
      </w:r>
      <w:r w:rsidRPr="005559DD">
        <w:rPr>
          <w:rFonts w:ascii="Calibri" w:eastAsia="MS Mincho" w:hAnsi="Calibri" w:cs="Calibri"/>
          <w:color w:val="auto"/>
          <w:sz w:val="22"/>
        </w:rPr>
        <w:t xml:space="preserve">services. Such </w:t>
      </w:r>
      <w:r w:rsidR="007B0290" w:rsidRPr="005559DD">
        <w:rPr>
          <w:rFonts w:ascii="Calibri" w:eastAsia="MS Mincho" w:hAnsi="Calibri" w:cs="Calibri"/>
          <w:color w:val="auto"/>
          <w:sz w:val="22"/>
        </w:rPr>
        <w:t>government agencies</w:t>
      </w:r>
      <w:r w:rsidRPr="005559DD">
        <w:rPr>
          <w:rFonts w:ascii="Calibri" w:eastAsia="MS Mincho" w:hAnsi="Calibri" w:cs="Calibri"/>
          <w:color w:val="auto"/>
          <w:sz w:val="22"/>
        </w:rPr>
        <w:t xml:space="preserve"> include</w:t>
      </w:r>
      <w:r w:rsidR="00F1058D" w:rsidRPr="005559DD">
        <w:rPr>
          <w:rFonts w:ascii="Calibri" w:eastAsia="MS Mincho" w:hAnsi="Calibri" w:cs="Calibri"/>
          <w:color w:val="auto"/>
          <w:sz w:val="22"/>
        </w:rPr>
        <w:t>, among others</w:t>
      </w:r>
      <w:r w:rsidRPr="005559DD">
        <w:rPr>
          <w:rFonts w:ascii="Calibri" w:eastAsia="MS Mincho" w:hAnsi="Calibri" w:cs="Calibri"/>
          <w:color w:val="auto"/>
          <w:sz w:val="22"/>
        </w:rPr>
        <w:t xml:space="preserve">: </w:t>
      </w:r>
    </w:p>
    <w:p w14:paraId="00592011" w14:textId="40DEDCCB" w:rsidR="001D7E33" w:rsidRPr="005559DD" w:rsidRDefault="004923B1"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t>Health New Zealand | Te Whatu Ora</w:t>
      </w:r>
    </w:p>
    <w:p w14:paraId="7F95C8DB" w14:textId="40C92D3D" w:rsidR="001D7E33" w:rsidRPr="005559DD" w:rsidRDefault="00B503B1"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t>Ministry of Education</w:t>
      </w:r>
      <w:r w:rsidR="001D7E33" w:rsidRPr="005559DD">
        <w:rPr>
          <w:rFonts w:ascii="Calibri" w:eastAsia="MS Mincho" w:hAnsi="Calibri" w:cs="Calibri"/>
          <w:color w:val="auto"/>
          <w:sz w:val="22"/>
        </w:rPr>
        <w:t xml:space="preserve"> |</w:t>
      </w:r>
      <w:r w:rsidR="002D55B5" w:rsidRPr="005559DD">
        <w:rPr>
          <w:rFonts w:ascii="Calibri" w:eastAsia="MS Mincho" w:hAnsi="Calibri" w:cs="Calibri"/>
          <w:color w:val="auto"/>
          <w:sz w:val="22"/>
        </w:rPr>
        <w:t xml:space="preserve"> </w:t>
      </w:r>
      <w:r w:rsidR="001D7E33" w:rsidRPr="005559DD">
        <w:rPr>
          <w:rFonts w:ascii="Calibri" w:eastAsia="MS Mincho" w:hAnsi="Calibri" w:cs="Calibri"/>
          <w:color w:val="auto"/>
          <w:sz w:val="22"/>
        </w:rPr>
        <w:t xml:space="preserve">Te </w:t>
      </w:r>
      <w:proofErr w:type="spellStart"/>
      <w:r w:rsidR="001D7E33" w:rsidRPr="005559DD">
        <w:rPr>
          <w:rFonts w:ascii="Calibri" w:eastAsia="MS Mincho" w:hAnsi="Calibri" w:cs="Calibri"/>
          <w:color w:val="auto"/>
          <w:sz w:val="22"/>
        </w:rPr>
        <w:t>Tāhuhu</w:t>
      </w:r>
      <w:proofErr w:type="spellEnd"/>
      <w:r w:rsidR="001D7E33" w:rsidRPr="005559DD">
        <w:rPr>
          <w:rFonts w:ascii="Calibri" w:eastAsia="MS Mincho" w:hAnsi="Calibri" w:cs="Calibri"/>
          <w:color w:val="auto"/>
          <w:sz w:val="22"/>
        </w:rPr>
        <w:t xml:space="preserve"> o </w:t>
      </w:r>
      <w:proofErr w:type="spellStart"/>
      <w:r w:rsidR="001D7E33" w:rsidRPr="005559DD">
        <w:rPr>
          <w:rFonts w:ascii="Calibri" w:eastAsia="MS Mincho" w:hAnsi="Calibri" w:cs="Calibri"/>
          <w:color w:val="auto"/>
          <w:sz w:val="22"/>
        </w:rPr>
        <w:t>te</w:t>
      </w:r>
      <w:proofErr w:type="spellEnd"/>
      <w:r w:rsidR="001D7E33" w:rsidRPr="005559DD">
        <w:rPr>
          <w:rFonts w:ascii="Calibri" w:eastAsia="MS Mincho" w:hAnsi="Calibri" w:cs="Calibri"/>
          <w:color w:val="auto"/>
          <w:sz w:val="22"/>
        </w:rPr>
        <w:t xml:space="preserve"> </w:t>
      </w:r>
      <w:proofErr w:type="spellStart"/>
      <w:r w:rsidR="001D7E33" w:rsidRPr="005559DD">
        <w:rPr>
          <w:rFonts w:ascii="Calibri" w:eastAsia="MS Mincho" w:hAnsi="Calibri" w:cs="Calibri"/>
          <w:color w:val="auto"/>
          <w:sz w:val="22"/>
        </w:rPr>
        <w:t>Mātauranga</w:t>
      </w:r>
      <w:proofErr w:type="spellEnd"/>
      <w:r w:rsidR="004B0768" w:rsidRPr="005559DD">
        <w:rPr>
          <w:rFonts w:ascii="Calibri" w:eastAsia="MS Mincho" w:hAnsi="Calibri" w:cs="Calibri"/>
          <w:color w:val="auto"/>
          <w:sz w:val="22"/>
        </w:rPr>
        <w:t xml:space="preserve"> </w:t>
      </w:r>
    </w:p>
    <w:p w14:paraId="0A842379" w14:textId="00D960AB" w:rsidR="001D7E33" w:rsidRPr="005559DD" w:rsidRDefault="00B503B1"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t>Ministry of Social Development</w:t>
      </w:r>
      <w:r w:rsidR="00FB5012" w:rsidRPr="005559DD">
        <w:rPr>
          <w:rFonts w:ascii="Calibri" w:eastAsia="MS Mincho" w:hAnsi="Calibri" w:cs="Calibri"/>
          <w:color w:val="auto"/>
          <w:sz w:val="22"/>
        </w:rPr>
        <w:t xml:space="preserve"> |</w:t>
      </w:r>
      <w:r w:rsidR="002D55B5" w:rsidRPr="005559DD">
        <w:rPr>
          <w:rFonts w:ascii="Calibri" w:eastAsia="MS Mincho" w:hAnsi="Calibri" w:cs="Calibri"/>
          <w:color w:val="auto"/>
          <w:sz w:val="22"/>
        </w:rPr>
        <w:t xml:space="preserve"> </w:t>
      </w:r>
      <w:r w:rsidR="00FB5012" w:rsidRPr="005559DD">
        <w:rPr>
          <w:rFonts w:ascii="Calibri" w:eastAsia="MS Mincho" w:hAnsi="Calibri" w:cs="Calibri"/>
          <w:color w:val="auto"/>
          <w:sz w:val="22"/>
        </w:rPr>
        <w:t xml:space="preserve">Te </w:t>
      </w:r>
      <w:proofErr w:type="spellStart"/>
      <w:r w:rsidR="00FB5012" w:rsidRPr="005559DD">
        <w:rPr>
          <w:rFonts w:ascii="Calibri" w:eastAsia="MS Mincho" w:hAnsi="Calibri" w:cs="Calibri"/>
          <w:color w:val="auto"/>
          <w:sz w:val="22"/>
        </w:rPr>
        <w:t>Manatū</w:t>
      </w:r>
      <w:proofErr w:type="spellEnd"/>
      <w:r w:rsidR="00FB5012" w:rsidRPr="005559DD">
        <w:rPr>
          <w:rFonts w:ascii="Calibri" w:eastAsia="MS Mincho" w:hAnsi="Calibri" w:cs="Calibri"/>
          <w:color w:val="auto"/>
          <w:sz w:val="22"/>
        </w:rPr>
        <w:t xml:space="preserve"> </w:t>
      </w:r>
      <w:proofErr w:type="spellStart"/>
      <w:r w:rsidR="00FB5012" w:rsidRPr="005559DD">
        <w:rPr>
          <w:rFonts w:ascii="Calibri" w:eastAsia="MS Mincho" w:hAnsi="Calibri" w:cs="Calibri"/>
          <w:color w:val="auto"/>
          <w:sz w:val="22"/>
        </w:rPr>
        <w:t>Whakahiato</w:t>
      </w:r>
      <w:proofErr w:type="spellEnd"/>
      <w:r w:rsidR="00FB5012" w:rsidRPr="005559DD">
        <w:rPr>
          <w:rFonts w:ascii="Calibri" w:eastAsia="MS Mincho" w:hAnsi="Calibri" w:cs="Calibri"/>
          <w:color w:val="auto"/>
          <w:sz w:val="22"/>
        </w:rPr>
        <w:t xml:space="preserve"> Ora</w:t>
      </w:r>
      <w:r w:rsidRPr="005559DD">
        <w:rPr>
          <w:rFonts w:ascii="Calibri" w:eastAsia="MS Mincho" w:hAnsi="Calibri" w:cs="Calibri"/>
          <w:color w:val="auto"/>
          <w:sz w:val="22"/>
        </w:rPr>
        <w:t xml:space="preserve"> </w:t>
      </w:r>
    </w:p>
    <w:p w14:paraId="7C4BC500" w14:textId="04D86443" w:rsidR="001D7E33" w:rsidRPr="005559DD" w:rsidRDefault="00B503B1" w:rsidP="005559DD">
      <w:pPr>
        <w:pStyle w:val="ListParagraph"/>
        <w:numPr>
          <w:ilvl w:val="0"/>
          <w:numId w:val="86"/>
        </w:numPr>
        <w:spacing w:after="200" w:line="276" w:lineRule="auto"/>
        <w:rPr>
          <w:rFonts w:ascii="Calibri" w:eastAsia="MS Mincho" w:hAnsi="Calibri" w:cs="Calibri"/>
          <w:color w:val="auto"/>
          <w:sz w:val="22"/>
        </w:rPr>
      </w:pPr>
      <w:proofErr w:type="spellStart"/>
      <w:r w:rsidRPr="005559DD">
        <w:rPr>
          <w:rFonts w:ascii="Calibri" w:eastAsia="MS Mincho" w:hAnsi="Calibri" w:cs="Calibri"/>
          <w:color w:val="auto"/>
          <w:sz w:val="22"/>
        </w:rPr>
        <w:t>K</w:t>
      </w:r>
      <w:r w:rsidR="00F1058D" w:rsidRPr="005559DD">
        <w:rPr>
          <w:rFonts w:ascii="Calibri" w:eastAsia="MS Mincho" w:hAnsi="Calibri" w:cs="Calibri"/>
          <w:color w:val="auto"/>
          <w:sz w:val="22"/>
        </w:rPr>
        <w:t>ā</w:t>
      </w:r>
      <w:r w:rsidRPr="005559DD">
        <w:rPr>
          <w:rFonts w:ascii="Calibri" w:eastAsia="MS Mincho" w:hAnsi="Calibri" w:cs="Calibri"/>
          <w:color w:val="auto"/>
          <w:sz w:val="22"/>
        </w:rPr>
        <w:t>inga</w:t>
      </w:r>
      <w:proofErr w:type="spellEnd"/>
      <w:r w:rsidRPr="005559DD">
        <w:rPr>
          <w:rFonts w:ascii="Calibri" w:eastAsia="MS Mincho" w:hAnsi="Calibri" w:cs="Calibri"/>
          <w:color w:val="auto"/>
          <w:sz w:val="22"/>
        </w:rPr>
        <w:t xml:space="preserve"> Ora</w:t>
      </w:r>
      <w:r w:rsidR="00FB5012" w:rsidRPr="005559DD">
        <w:rPr>
          <w:rFonts w:ascii="Calibri" w:eastAsia="MS Mincho" w:hAnsi="Calibri" w:cs="Calibri"/>
          <w:color w:val="auto"/>
          <w:sz w:val="22"/>
        </w:rPr>
        <w:t xml:space="preserve"> </w:t>
      </w:r>
      <w:r w:rsidR="004B0768" w:rsidRPr="005559DD">
        <w:rPr>
          <w:rFonts w:ascii="Calibri" w:eastAsia="MS Mincho" w:hAnsi="Calibri" w:cs="Calibri"/>
          <w:color w:val="auto"/>
          <w:sz w:val="22"/>
        </w:rPr>
        <w:t xml:space="preserve">– </w:t>
      </w:r>
      <w:r w:rsidR="00FB5012" w:rsidRPr="005559DD">
        <w:rPr>
          <w:rFonts w:ascii="Calibri" w:eastAsia="MS Mincho" w:hAnsi="Calibri" w:cs="Calibri"/>
          <w:color w:val="auto"/>
          <w:sz w:val="22"/>
        </w:rPr>
        <w:t>Homes and Communities</w:t>
      </w:r>
    </w:p>
    <w:p w14:paraId="114910A5" w14:textId="7C8B188E" w:rsidR="001D7E33" w:rsidRPr="005559DD" w:rsidRDefault="00B503B1"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t>Ministry of Health</w:t>
      </w:r>
      <w:r w:rsidR="00FB5012" w:rsidRPr="005559DD">
        <w:rPr>
          <w:rFonts w:ascii="Calibri" w:eastAsia="MS Mincho" w:hAnsi="Calibri" w:cs="Calibri"/>
          <w:color w:val="auto"/>
          <w:sz w:val="22"/>
        </w:rPr>
        <w:t xml:space="preserve"> | </w:t>
      </w:r>
      <w:proofErr w:type="spellStart"/>
      <w:r w:rsidR="00FB5012" w:rsidRPr="005559DD">
        <w:rPr>
          <w:rFonts w:ascii="Calibri" w:eastAsia="MS Mincho" w:hAnsi="Calibri" w:cs="Calibri"/>
          <w:color w:val="auto"/>
          <w:sz w:val="22"/>
        </w:rPr>
        <w:t>Manatū</w:t>
      </w:r>
      <w:proofErr w:type="spellEnd"/>
      <w:r w:rsidR="00FB5012" w:rsidRPr="005559DD">
        <w:rPr>
          <w:rFonts w:ascii="Calibri" w:eastAsia="MS Mincho" w:hAnsi="Calibri" w:cs="Calibri"/>
          <w:color w:val="auto"/>
          <w:sz w:val="22"/>
        </w:rPr>
        <w:t xml:space="preserve"> Hauora</w:t>
      </w:r>
      <w:r w:rsidRPr="005559DD">
        <w:rPr>
          <w:rFonts w:ascii="Calibri" w:eastAsia="MS Mincho" w:hAnsi="Calibri" w:cs="Calibri"/>
          <w:color w:val="auto"/>
          <w:sz w:val="22"/>
        </w:rPr>
        <w:t xml:space="preserve"> </w:t>
      </w:r>
    </w:p>
    <w:p w14:paraId="6E7B6DD5" w14:textId="0EE70F02" w:rsidR="00B503B1" w:rsidRPr="005559DD" w:rsidRDefault="00B503B1"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lastRenderedPageBreak/>
        <w:t>Department of Corrections</w:t>
      </w:r>
      <w:r w:rsidR="00FB5012" w:rsidRPr="005559DD">
        <w:rPr>
          <w:rFonts w:ascii="Calibri" w:eastAsia="MS Mincho" w:hAnsi="Calibri" w:cs="Calibri"/>
          <w:color w:val="auto"/>
          <w:sz w:val="22"/>
        </w:rPr>
        <w:t xml:space="preserve"> </w:t>
      </w:r>
      <w:r w:rsidR="004923B1" w:rsidRPr="005559DD">
        <w:rPr>
          <w:rFonts w:ascii="Calibri" w:eastAsia="MS Mincho" w:hAnsi="Calibri" w:cs="Calibri"/>
          <w:color w:val="auto"/>
          <w:sz w:val="22"/>
        </w:rPr>
        <w:t>| Ara Poutama Aotearoa</w:t>
      </w:r>
      <w:r w:rsidRPr="005559DD">
        <w:rPr>
          <w:rFonts w:ascii="Calibri" w:eastAsia="MS Mincho" w:hAnsi="Calibri" w:cs="Calibri"/>
          <w:color w:val="auto"/>
          <w:sz w:val="22"/>
        </w:rPr>
        <w:t>.</w:t>
      </w:r>
      <w:r w:rsidR="00296634" w:rsidRPr="005559DD">
        <w:rPr>
          <w:rFonts w:ascii="Calibri" w:eastAsia="MS Mincho" w:hAnsi="Calibri" w:cs="Calibri"/>
          <w:color w:val="auto"/>
          <w:sz w:val="22"/>
        </w:rPr>
        <w:t xml:space="preserve"> </w:t>
      </w:r>
    </w:p>
    <w:p w14:paraId="61C3B3ED" w14:textId="77777777" w:rsidR="00844C99" w:rsidRPr="005559DD" w:rsidRDefault="00844C99" w:rsidP="00711454">
      <w:pPr>
        <w:pStyle w:val="Heading3"/>
      </w:pPr>
      <w:r w:rsidRPr="005559DD">
        <w:t>Scope of NZS 4121:2001</w:t>
      </w:r>
    </w:p>
    <w:p w14:paraId="2BDA73C7" w14:textId="77777777"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The standard applies to buildings and associated facilities that must provide accessible, usable environments for people with disabilities. It includes requirements and guidance for:</w:t>
      </w:r>
    </w:p>
    <w:p w14:paraId="76985A41" w14:textId="138AE00E" w:rsidR="00844C99" w:rsidRPr="005559DD" w:rsidRDefault="009016AC"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t>public buildings and facilities</w:t>
      </w:r>
    </w:p>
    <w:p w14:paraId="4DCB5BF6" w14:textId="2131821E" w:rsidR="00844C99" w:rsidRPr="005559DD" w:rsidRDefault="009016AC"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t>places of assembly</w:t>
      </w:r>
    </w:p>
    <w:p w14:paraId="0D93B906" w14:textId="192C4A36" w:rsidR="00844C99" w:rsidRPr="005559DD" w:rsidRDefault="009016AC"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t>accommodation facilities (including detailed requirements for accessible bedrooms, kitchens, dining and living areas)</w:t>
      </w:r>
    </w:p>
    <w:p w14:paraId="772DC7AF" w14:textId="3852B369" w:rsidR="00844C99" w:rsidRPr="005559DD" w:rsidRDefault="009016AC"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t>circulation routes, including accessways, ramps, paths and manoeuvring spaces</w:t>
      </w:r>
    </w:p>
    <w:p w14:paraId="325280BB" w14:textId="078E984D" w:rsidR="00844C99" w:rsidRPr="005559DD" w:rsidRDefault="009016AC"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t>sanitary facilities, including requirements for toilets, showers and fittings</w:t>
      </w:r>
    </w:p>
    <w:p w14:paraId="22215F07" w14:textId="26B7CA84" w:rsidR="00844C99" w:rsidRPr="005559DD" w:rsidRDefault="009016AC" w:rsidP="005559DD">
      <w:pPr>
        <w:pStyle w:val="ListParagraph"/>
        <w:numPr>
          <w:ilvl w:val="0"/>
          <w:numId w:val="86"/>
        </w:numPr>
        <w:spacing w:after="200" w:line="276" w:lineRule="auto"/>
        <w:rPr>
          <w:rFonts w:ascii="Calibri" w:eastAsia="MS Mincho" w:hAnsi="Calibri" w:cs="Calibri"/>
          <w:color w:val="auto"/>
          <w:sz w:val="22"/>
        </w:rPr>
      </w:pPr>
      <w:r w:rsidRPr="005559DD">
        <w:rPr>
          <w:rFonts w:ascii="Calibri" w:eastAsia="MS Mincho" w:hAnsi="Calibri" w:cs="Calibri"/>
          <w:color w:val="auto"/>
          <w:sz w:val="22"/>
        </w:rPr>
        <w:t xml:space="preserve">signage, </w:t>
      </w:r>
      <w:r w:rsidR="00844C99" w:rsidRPr="005559DD">
        <w:rPr>
          <w:rFonts w:ascii="Calibri" w:eastAsia="MS Mincho" w:hAnsi="Calibri" w:cs="Calibri"/>
          <w:color w:val="auto"/>
          <w:sz w:val="22"/>
        </w:rPr>
        <w:t>tactile ground surface indicators and hearing augmentation systems.</w:t>
      </w:r>
    </w:p>
    <w:p w14:paraId="754741E4" w14:textId="2BCFD26B"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Section 14 of the standard specifically addresses accessible accommodation, offering detailed spatial and layout guidance beyond what the Building Cod</w:t>
      </w:r>
      <w:r w:rsidR="005E4C4D" w:rsidRPr="005559DD">
        <w:rPr>
          <w:rFonts w:ascii="Calibri" w:eastAsia="MS Mincho" w:hAnsi="Calibri" w:cs="Calibri"/>
          <w:color w:val="auto"/>
          <w:sz w:val="22"/>
        </w:rPr>
        <w:t>e</w:t>
      </w:r>
      <w:r w:rsidRPr="005559DD">
        <w:rPr>
          <w:rFonts w:ascii="Calibri" w:eastAsia="MS Mincho" w:hAnsi="Calibri" w:cs="Calibri"/>
          <w:color w:val="auto"/>
          <w:sz w:val="22"/>
        </w:rPr>
        <w:t xml:space="preserve"> specifies. </w:t>
      </w:r>
    </w:p>
    <w:p w14:paraId="49B7CA6E" w14:textId="77777777"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The standard applies to both new buildings and, where practicable, alterations to existing buildings, ensuring that people with disabilities have equitable access to the built environment.</w:t>
      </w:r>
    </w:p>
    <w:p w14:paraId="2ADDA884" w14:textId="5137887B"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 xml:space="preserve">NZS 4121:2001 </w:t>
      </w:r>
      <w:r w:rsidR="00D62CA1" w:rsidRPr="005559DD">
        <w:rPr>
          <w:rFonts w:ascii="Calibri" w:eastAsia="MS Mincho" w:hAnsi="Calibri" w:cs="Calibri"/>
          <w:color w:val="auto"/>
          <w:sz w:val="22"/>
        </w:rPr>
        <w:t xml:space="preserve">replaced </w:t>
      </w:r>
      <w:r w:rsidRPr="005559DD">
        <w:rPr>
          <w:rFonts w:ascii="Calibri" w:eastAsia="MS Mincho" w:hAnsi="Calibri" w:cs="Calibri"/>
          <w:color w:val="auto"/>
          <w:sz w:val="22"/>
        </w:rPr>
        <w:t xml:space="preserve">earlier versions, including NZS 4121:1985, reflecting evolving accessibility expectations and industry practices. It was developed through broad sector collaboration involving architects, building officials, disability organisations and </w:t>
      </w:r>
      <w:r w:rsidR="005E4C4D" w:rsidRPr="005559DD">
        <w:rPr>
          <w:rFonts w:ascii="Calibri" w:eastAsia="MS Mincho" w:hAnsi="Calibri" w:cs="Calibri"/>
          <w:color w:val="auto"/>
          <w:sz w:val="22"/>
        </w:rPr>
        <w:t xml:space="preserve">disability </w:t>
      </w:r>
      <w:r w:rsidRPr="005559DD">
        <w:rPr>
          <w:rFonts w:ascii="Calibri" w:eastAsia="MS Mincho" w:hAnsi="Calibri" w:cs="Calibri"/>
          <w:color w:val="auto"/>
          <w:sz w:val="22"/>
        </w:rPr>
        <w:t xml:space="preserve">access specialists. </w:t>
      </w:r>
    </w:p>
    <w:p w14:paraId="14969F88" w14:textId="77777777"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br w:type="page"/>
      </w:r>
    </w:p>
    <w:p w14:paraId="7172D422" w14:textId="77777777" w:rsidR="00844C99" w:rsidRPr="005559DD" w:rsidRDefault="00844C99" w:rsidP="009C57A4">
      <w:pPr>
        <w:pStyle w:val="Heading1"/>
        <w:rPr>
          <w:rFonts w:eastAsia="MS Gothic"/>
        </w:rPr>
      </w:pPr>
      <w:bookmarkStart w:id="3" w:name="_Toc227156474"/>
      <w:r w:rsidRPr="005559DD">
        <w:rPr>
          <w:rFonts w:eastAsia="MS Gothic"/>
        </w:rPr>
        <w:lastRenderedPageBreak/>
        <w:t>Part 1. Environmental scan of disability access standards</w:t>
      </w:r>
      <w:bookmarkEnd w:id="3"/>
    </w:p>
    <w:p w14:paraId="1C0BD138" w14:textId="77777777" w:rsidR="009C57A4" w:rsidRPr="005559DD" w:rsidRDefault="009C57A4" w:rsidP="00D22F22">
      <w:pPr>
        <w:spacing w:after="0" w:line="276" w:lineRule="auto"/>
        <w:rPr>
          <w:rFonts w:ascii="Calibri" w:eastAsia="MS Mincho" w:hAnsi="Calibri" w:cs="Calibri"/>
          <w:color w:val="auto"/>
          <w:sz w:val="22"/>
        </w:rPr>
      </w:pPr>
    </w:p>
    <w:p w14:paraId="5D41113D" w14:textId="1C5BD0FA"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 xml:space="preserve">NZS 4121:2001 has provided the foundational guidance for accessibility in New Zealand’s built environment since 2001. However, since its publication, global standards have advanced considerably, adopting broader definitions of disability, integrating </w:t>
      </w:r>
      <w:r w:rsidR="00590E1C" w:rsidRPr="005559DD">
        <w:rPr>
          <w:rFonts w:ascii="Calibri" w:eastAsia="MS Mincho" w:hAnsi="Calibri" w:cs="Calibri"/>
          <w:color w:val="auto"/>
          <w:sz w:val="22"/>
        </w:rPr>
        <w:t>universal design</w:t>
      </w:r>
      <w:r w:rsidRPr="005559DD">
        <w:rPr>
          <w:rFonts w:ascii="Calibri" w:eastAsia="MS Mincho" w:hAnsi="Calibri" w:cs="Calibri"/>
          <w:color w:val="auto"/>
          <w:sz w:val="22"/>
        </w:rPr>
        <w:t xml:space="preserve"> principles, and embedding provisions for emerging needs such as emergency evacuation, sensory accessibility, and cultural considerations.</w:t>
      </w:r>
    </w:p>
    <w:p w14:paraId="243F38CA" w14:textId="520CCF08"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In 2025</w:t>
      </w:r>
      <w:r w:rsidR="00311C89" w:rsidRPr="005559DD">
        <w:rPr>
          <w:rFonts w:ascii="Calibri" w:eastAsia="MS Mincho" w:hAnsi="Calibri" w:cs="Calibri"/>
          <w:color w:val="auto"/>
          <w:sz w:val="22"/>
        </w:rPr>
        <w:t>, with funding support from Whaikaha</w:t>
      </w:r>
      <w:r w:rsidR="00AB41D1" w:rsidRPr="005559DD">
        <w:rPr>
          <w:rFonts w:ascii="Calibri" w:eastAsia="MS Mincho" w:hAnsi="Calibri" w:cs="Calibri"/>
          <w:color w:val="auto"/>
          <w:sz w:val="22"/>
        </w:rPr>
        <w:t xml:space="preserve"> – The Ministry of Disabled People</w:t>
      </w:r>
      <w:r w:rsidR="00311C89" w:rsidRPr="005559DD">
        <w:rPr>
          <w:rFonts w:ascii="Calibri" w:eastAsia="MS Mincho" w:hAnsi="Calibri" w:cs="Calibri"/>
          <w:color w:val="auto"/>
          <w:sz w:val="22"/>
        </w:rPr>
        <w:t>,</w:t>
      </w:r>
      <w:r w:rsidRPr="005559DD">
        <w:rPr>
          <w:rFonts w:ascii="Calibri" w:eastAsia="MS Mincho" w:hAnsi="Calibri" w:cs="Calibri"/>
          <w:color w:val="auto"/>
          <w:sz w:val="22"/>
        </w:rPr>
        <w:t xml:space="preserve"> Standards New Zealand commissioned </w:t>
      </w:r>
      <w:r w:rsidR="00536BAD" w:rsidRPr="005559DD">
        <w:rPr>
          <w:rFonts w:ascii="Calibri" w:eastAsia="MS Mincho" w:hAnsi="Calibri" w:cs="Calibri"/>
          <w:color w:val="auto"/>
          <w:sz w:val="22"/>
        </w:rPr>
        <w:t xml:space="preserve">Global Research Ltd to undertake </w:t>
      </w:r>
      <w:r w:rsidRPr="005559DD">
        <w:rPr>
          <w:rFonts w:ascii="Calibri" w:eastAsia="MS Mincho" w:hAnsi="Calibri" w:cs="Calibri"/>
          <w:color w:val="auto"/>
          <w:sz w:val="22"/>
        </w:rPr>
        <w:t>an environmental scan of disability access standards</w:t>
      </w:r>
      <w:r w:rsidR="006A0101" w:rsidRPr="005559DD">
        <w:rPr>
          <w:rFonts w:ascii="Calibri" w:eastAsia="MS Mincho" w:hAnsi="Calibri" w:cs="Calibri"/>
          <w:color w:val="auto"/>
          <w:sz w:val="22"/>
        </w:rPr>
        <w:t>. This scan was commissioned</w:t>
      </w:r>
      <w:r w:rsidRPr="005559DD">
        <w:rPr>
          <w:rFonts w:ascii="Calibri" w:eastAsia="MS Mincho" w:hAnsi="Calibri" w:cs="Calibri"/>
          <w:color w:val="auto"/>
          <w:sz w:val="22"/>
        </w:rPr>
        <w:t xml:space="preserve"> to identify whether there was more current content that could be incorporated into NZS 4121</w:t>
      </w:r>
      <w:r w:rsidR="00836E4A" w:rsidRPr="005559DD">
        <w:rPr>
          <w:rFonts w:ascii="Calibri" w:eastAsia="MS Mincho" w:hAnsi="Calibri" w:cs="Calibri"/>
          <w:color w:val="auto"/>
          <w:sz w:val="22"/>
        </w:rPr>
        <w:t>. This coul</w:t>
      </w:r>
      <w:r w:rsidR="00FC6435" w:rsidRPr="005559DD">
        <w:rPr>
          <w:rFonts w:ascii="Calibri" w:eastAsia="MS Mincho" w:hAnsi="Calibri" w:cs="Calibri"/>
          <w:color w:val="auto"/>
          <w:sz w:val="22"/>
        </w:rPr>
        <w:t>d</w:t>
      </w:r>
      <w:r w:rsidR="00836E4A" w:rsidRPr="005559DD">
        <w:rPr>
          <w:rFonts w:ascii="Calibri" w:eastAsia="MS Mincho" w:hAnsi="Calibri" w:cs="Calibri"/>
          <w:color w:val="auto"/>
          <w:sz w:val="22"/>
        </w:rPr>
        <w:t xml:space="preserve"> then</w:t>
      </w:r>
      <w:r w:rsidRPr="005559DD">
        <w:rPr>
          <w:rFonts w:ascii="Calibri" w:eastAsia="MS Mincho" w:hAnsi="Calibri" w:cs="Calibri"/>
          <w:color w:val="auto"/>
          <w:sz w:val="22"/>
        </w:rPr>
        <w:t xml:space="preserve"> ensure New Zealand’s approach to accessibility is aligned with international good practice, reflects advances in technology, and recognises evolving design and technology in disability access.</w:t>
      </w:r>
      <w:r w:rsidR="00536BAD" w:rsidRPr="005559DD">
        <w:rPr>
          <w:rFonts w:ascii="Calibri" w:eastAsia="MS Mincho" w:hAnsi="Calibri" w:cs="Calibri"/>
          <w:color w:val="auto"/>
          <w:sz w:val="22"/>
        </w:rPr>
        <w:t xml:space="preserve"> The Global Research Ltd report</w:t>
      </w:r>
      <w:r w:rsidR="0061604D" w:rsidRPr="005559DD">
        <w:rPr>
          <w:rFonts w:ascii="Calibri" w:eastAsia="MS Mincho" w:hAnsi="Calibri" w:cs="Calibri"/>
          <w:color w:val="auto"/>
          <w:sz w:val="22"/>
        </w:rPr>
        <w:t xml:space="preserve">, with alternate formats </w:t>
      </w:r>
      <w:r w:rsidR="004662F4" w:rsidRPr="005559DD">
        <w:rPr>
          <w:rFonts w:ascii="Calibri" w:eastAsia="MS Mincho" w:hAnsi="Calibri" w:cs="Calibri"/>
          <w:color w:val="auto"/>
          <w:sz w:val="22"/>
        </w:rPr>
        <w:t>of the executive summary,</w:t>
      </w:r>
      <w:r w:rsidR="00536BAD" w:rsidRPr="005559DD">
        <w:rPr>
          <w:rFonts w:ascii="Calibri" w:eastAsia="MS Mincho" w:hAnsi="Calibri" w:cs="Calibri"/>
          <w:color w:val="auto"/>
          <w:sz w:val="22"/>
        </w:rPr>
        <w:t xml:space="preserve"> is available on the Whaikaha website: </w:t>
      </w:r>
      <w:hyperlink r:id="rId15" w:history="1">
        <w:r w:rsidR="009C6ED4" w:rsidRPr="005559DD">
          <w:rPr>
            <w:rStyle w:val="Hyperlink"/>
            <w:rFonts w:ascii="Calibri" w:eastAsia="MS Mincho" w:hAnsi="Calibri" w:cs="Calibri"/>
            <w:sz w:val="22"/>
          </w:rPr>
          <w:t>https://www.whaikaha.govt.nz/about-us/our-work/accessibility-work-programme/revision-of-new-zealand-standard-41212001</w:t>
        </w:r>
      </w:hyperlink>
      <w:r w:rsidR="009C6ED4" w:rsidRPr="005559DD">
        <w:rPr>
          <w:rFonts w:ascii="Calibri" w:eastAsia="MS Mincho" w:hAnsi="Calibri" w:cs="Calibri"/>
          <w:color w:val="auto"/>
          <w:sz w:val="22"/>
        </w:rPr>
        <w:t xml:space="preserve"> </w:t>
      </w:r>
    </w:p>
    <w:p w14:paraId="287258E1" w14:textId="25D481BD" w:rsidR="00844C99" w:rsidRPr="005559DD" w:rsidRDefault="00844C99" w:rsidP="009C57A4">
      <w:pPr>
        <w:pStyle w:val="Heading2"/>
        <w:rPr>
          <w:rFonts w:eastAsia="MS Gothic"/>
        </w:rPr>
      </w:pPr>
      <w:bookmarkStart w:id="4" w:name="_Toc212569766"/>
      <w:bookmarkStart w:id="5" w:name="_Toc227156475"/>
      <w:r w:rsidRPr="005559DD">
        <w:rPr>
          <w:rFonts w:eastAsia="MS Gothic"/>
        </w:rPr>
        <w:t>Scope and methodology</w:t>
      </w:r>
      <w:bookmarkEnd w:id="5"/>
      <w:r w:rsidRPr="005559DD">
        <w:rPr>
          <w:rFonts w:eastAsia="MS Gothic"/>
        </w:rPr>
        <w:t xml:space="preserve"> </w:t>
      </w:r>
      <w:bookmarkEnd w:id="4"/>
    </w:p>
    <w:p w14:paraId="45C86BC1" w14:textId="77777777"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The environmental scan benchmarked NZS 4121:2001 against leading standards from:</w:t>
      </w:r>
    </w:p>
    <w:p w14:paraId="34DAB7E9" w14:textId="77777777" w:rsidR="00844C99" w:rsidRPr="005559DD" w:rsidRDefault="00844C99" w:rsidP="00EB678A">
      <w:pPr>
        <w:numPr>
          <w:ilvl w:val="0"/>
          <w:numId w:val="8"/>
        </w:numPr>
        <w:spacing w:after="0" w:line="360"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Canada (CSA/ASC B651:23 </w:t>
      </w:r>
      <w:r w:rsidRPr="005559DD">
        <w:rPr>
          <w:rFonts w:ascii="Calibri" w:eastAsia="MS Mincho" w:hAnsi="Calibri" w:cs="Calibri"/>
          <w:i/>
          <w:iCs/>
          <w:color w:val="auto"/>
          <w:sz w:val="22"/>
        </w:rPr>
        <w:t>Accessible design for the built environment</w:t>
      </w:r>
      <w:r w:rsidRPr="005559DD">
        <w:rPr>
          <w:rFonts w:ascii="Calibri" w:eastAsia="MS Mincho" w:hAnsi="Calibri" w:cs="Calibri"/>
          <w:color w:val="auto"/>
          <w:sz w:val="22"/>
        </w:rPr>
        <w:t>)</w:t>
      </w:r>
    </w:p>
    <w:p w14:paraId="45CE3598" w14:textId="77777777" w:rsidR="00844C99" w:rsidRPr="005559DD" w:rsidRDefault="00844C99" w:rsidP="00EB678A">
      <w:pPr>
        <w:numPr>
          <w:ilvl w:val="0"/>
          <w:numId w:val="8"/>
        </w:numPr>
        <w:spacing w:after="0" w:line="360"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European Union (EN 17210:2021 </w:t>
      </w:r>
      <w:r w:rsidRPr="005559DD">
        <w:rPr>
          <w:rFonts w:ascii="Calibri" w:eastAsia="MS Mincho" w:hAnsi="Calibri" w:cs="Calibri"/>
          <w:i/>
          <w:iCs/>
          <w:color w:val="auto"/>
          <w:sz w:val="22"/>
        </w:rPr>
        <w:t>Accessibility and usability of the built environment - Functional requirements</w:t>
      </w:r>
      <w:r w:rsidRPr="005559DD">
        <w:rPr>
          <w:rFonts w:ascii="Calibri" w:eastAsia="MS Mincho" w:hAnsi="Calibri" w:cs="Calibri"/>
          <w:color w:val="auto"/>
          <w:sz w:val="22"/>
        </w:rPr>
        <w:t>)</w:t>
      </w:r>
    </w:p>
    <w:p w14:paraId="12EADACB" w14:textId="77777777" w:rsidR="00844C99" w:rsidRPr="005559DD" w:rsidRDefault="00844C99" w:rsidP="00EB678A">
      <w:pPr>
        <w:numPr>
          <w:ilvl w:val="0"/>
          <w:numId w:val="8"/>
        </w:numPr>
        <w:spacing w:after="0" w:line="360"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United States (2010 ADA </w:t>
      </w:r>
      <w:r w:rsidRPr="005559DD">
        <w:rPr>
          <w:rFonts w:ascii="Calibri" w:eastAsia="MS Mincho" w:hAnsi="Calibri" w:cs="Calibri"/>
          <w:i/>
          <w:iCs/>
          <w:color w:val="auto"/>
          <w:sz w:val="22"/>
        </w:rPr>
        <w:t>Standards for Accessible Design</w:t>
      </w:r>
      <w:r w:rsidRPr="005559DD">
        <w:rPr>
          <w:rFonts w:ascii="Calibri" w:eastAsia="MS Mincho" w:hAnsi="Calibri" w:cs="Calibri"/>
          <w:color w:val="auto"/>
          <w:sz w:val="22"/>
        </w:rPr>
        <w:t>)</w:t>
      </w:r>
    </w:p>
    <w:p w14:paraId="56D857AA" w14:textId="746EC25E" w:rsidR="00844C99" w:rsidRPr="005559DD" w:rsidRDefault="00844C99" w:rsidP="00EB678A">
      <w:pPr>
        <w:numPr>
          <w:ilvl w:val="0"/>
          <w:numId w:val="8"/>
        </w:numPr>
        <w:spacing w:after="0" w:line="360"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United Kingdom (BS 8300-2:2018 </w:t>
      </w:r>
      <w:r w:rsidRPr="005559DD">
        <w:rPr>
          <w:rFonts w:ascii="Calibri" w:eastAsia="MS Mincho" w:hAnsi="Calibri" w:cs="Calibri"/>
          <w:i/>
          <w:iCs/>
          <w:color w:val="auto"/>
          <w:sz w:val="22"/>
        </w:rPr>
        <w:t xml:space="preserve">Design of an accessible and inclusive built environment </w:t>
      </w:r>
      <w:r w:rsidR="005E7CC8" w:rsidRPr="005559DD">
        <w:rPr>
          <w:rFonts w:ascii="Calibri" w:eastAsia="MS Mincho" w:hAnsi="Calibri" w:cs="Calibri"/>
          <w:i/>
          <w:iCs/>
          <w:color w:val="auto"/>
          <w:sz w:val="22"/>
        </w:rPr>
        <w:t>–</w:t>
      </w:r>
      <w:r w:rsidRPr="005559DD">
        <w:rPr>
          <w:rFonts w:ascii="Calibri" w:eastAsia="MS Mincho" w:hAnsi="Calibri" w:cs="Calibri"/>
          <w:i/>
          <w:iCs/>
          <w:color w:val="auto"/>
          <w:sz w:val="22"/>
        </w:rPr>
        <w:t xml:space="preserve"> Buildings. Code of practice</w:t>
      </w:r>
      <w:r w:rsidRPr="005559DD">
        <w:rPr>
          <w:rFonts w:ascii="Calibri" w:eastAsia="MS Mincho" w:hAnsi="Calibri" w:cs="Calibri"/>
          <w:color w:val="auto"/>
          <w:sz w:val="22"/>
        </w:rPr>
        <w:t xml:space="preserve"> and the UK Building Regulations Approved Document M </w:t>
      </w:r>
      <w:r w:rsidRPr="005559DD">
        <w:rPr>
          <w:rFonts w:ascii="Calibri" w:eastAsia="MS Mincho" w:hAnsi="Calibri" w:cs="Calibri"/>
          <w:i/>
          <w:iCs/>
          <w:color w:val="auto"/>
          <w:sz w:val="22"/>
        </w:rPr>
        <w:t>‘Access to and use of buildings’</w:t>
      </w:r>
    </w:p>
    <w:p w14:paraId="44A7FE42" w14:textId="77777777" w:rsidR="00844C99" w:rsidRPr="005559DD" w:rsidRDefault="00844C99" w:rsidP="00EB678A">
      <w:pPr>
        <w:numPr>
          <w:ilvl w:val="0"/>
          <w:numId w:val="8"/>
        </w:numPr>
        <w:spacing w:after="0" w:line="360"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Australia (AS 1428 </w:t>
      </w:r>
      <w:r w:rsidRPr="005559DD">
        <w:rPr>
          <w:rFonts w:ascii="Calibri" w:eastAsia="MS Mincho" w:hAnsi="Calibri" w:cs="Calibri"/>
          <w:i/>
          <w:iCs/>
          <w:color w:val="auto"/>
          <w:sz w:val="22"/>
        </w:rPr>
        <w:t>Design for access and mobility</w:t>
      </w:r>
      <w:r w:rsidRPr="005559DD">
        <w:rPr>
          <w:rFonts w:ascii="Calibri" w:eastAsia="MS Mincho" w:hAnsi="Calibri" w:cs="Calibri"/>
          <w:color w:val="auto"/>
          <w:sz w:val="22"/>
        </w:rPr>
        <w:t xml:space="preserve"> (series) and Disability </w:t>
      </w:r>
      <w:r w:rsidRPr="005559DD">
        <w:rPr>
          <w:rFonts w:ascii="Calibri" w:eastAsia="MS Mincho" w:hAnsi="Calibri" w:cs="Calibri"/>
          <w:i/>
          <w:iCs/>
          <w:color w:val="auto"/>
          <w:sz w:val="22"/>
        </w:rPr>
        <w:t>Access to Premises Standard 2010</w:t>
      </w:r>
      <w:r w:rsidRPr="005559DD">
        <w:rPr>
          <w:rFonts w:ascii="Calibri" w:eastAsia="MS Mincho" w:hAnsi="Calibri" w:cs="Calibri"/>
          <w:color w:val="auto"/>
          <w:sz w:val="22"/>
        </w:rPr>
        <w:t>).</w:t>
      </w:r>
    </w:p>
    <w:p w14:paraId="7BD1FA39" w14:textId="21C95493"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 xml:space="preserve">The </w:t>
      </w:r>
      <w:r w:rsidR="002C0CE6" w:rsidRPr="005559DD">
        <w:rPr>
          <w:rFonts w:ascii="Calibri" w:eastAsia="MS Mincho" w:hAnsi="Calibri" w:cs="Calibri"/>
          <w:color w:val="auto"/>
          <w:sz w:val="22"/>
        </w:rPr>
        <w:t>international standard</w:t>
      </w:r>
      <w:r w:rsidR="00FB5A8B">
        <w:rPr>
          <w:rFonts w:ascii="Calibri" w:eastAsia="MS Mincho" w:hAnsi="Calibri" w:cs="Calibri"/>
          <w:color w:val="auto"/>
          <w:sz w:val="22"/>
        </w:rPr>
        <w:t>,</w:t>
      </w:r>
      <w:r w:rsidR="002C0CE6" w:rsidRPr="005559DD">
        <w:rPr>
          <w:rFonts w:ascii="Calibri" w:eastAsia="MS Mincho" w:hAnsi="Calibri" w:cs="Calibri"/>
          <w:color w:val="auto"/>
          <w:sz w:val="22"/>
        </w:rPr>
        <w:t xml:space="preserve"> </w:t>
      </w:r>
      <w:r w:rsidRPr="005559DD">
        <w:rPr>
          <w:rFonts w:ascii="Calibri" w:eastAsia="MS Mincho" w:hAnsi="Calibri" w:cs="Calibri"/>
          <w:color w:val="auto"/>
          <w:sz w:val="22"/>
        </w:rPr>
        <w:t xml:space="preserve">ISO 21542:2021 </w:t>
      </w:r>
      <w:r w:rsidRPr="005559DD">
        <w:rPr>
          <w:rFonts w:ascii="Calibri" w:eastAsia="MS Mincho" w:hAnsi="Calibri" w:cs="Calibri"/>
          <w:i/>
          <w:iCs/>
          <w:color w:val="auto"/>
          <w:sz w:val="22"/>
        </w:rPr>
        <w:t xml:space="preserve">Building construction </w:t>
      </w:r>
      <w:r w:rsidR="004A4DE3" w:rsidRPr="005559DD">
        <w:rPr>
          <w:rFonts w:ascii="Calibri" w:eastAsia="MS Mincho" w:hAnsi="Calibri" w:cs="Calibri"/>
          <w:i/>
          <w:iCs/>
          <w:color w:val="auto"/>
          <w:sz w:val="22"/>
        </w:rPr>
        <w:t>–</w:t>
      </w:r>
      <w:r w:rsidRPr="005559DD">
        <w:rPr>
          <w:rFonts w:ascii="Calibri" w:eastAsia="MS Mincho" w:hAnsi="Calibri" w:cs="Calibri"/>
          <w:i/>
          <w:iCs/>
          <w:color w:val="auto"/>
          <w:sz w:val="22"/>
        </w:rPr>
        <w:t xml:space="preserve"> Accessibility and usability of the built environment</w:t>
      </w:r>
      <w:r w:rsidR="00FB5A8B">
        <w:rPr>
          <w:rFonts w:ascii="Calibri" w:eastAsia="MS Mincho" w:hAnsi="Calibri" w:cs="Calibri"/>
          <w:i/>
          <w:iCs/>
          <w:color w:val="auto"/>
          <w:sz w:val="22"/>
        </w:rPr>
        <w:t>,</w:t>
      </w:r>
      <w:r w:rsidRPr="005559DD">
        <w:rPr>
          <w:rFonts w:ascii="Calibri" w:eastAsia="MS Mincho" w:hAnsi="Calibri" w:cs="Calibri"/>
          <w:color w:val="auto"/>
          <w:sz w:val="22"/>
        </w:rPr>
        <w:t xml:space="preserve"> was also considered. However, as the European</w:t>
      </w:r>
      <w:r w:rsidR="008B01A4">
        <w:rPr>
          <w:rFonts w:ascii="Calibri" w:eastAsia="MS Mincho" w:hAnsi="Calibri" w:cs="Calibri"/>
          <w:color w:val="auto"/>
          <w:sz w:val="22"/>
        </w:rPr>
        <w:t xml:space="preserve"> standard</w:t>
      </w:r>
      <w:r w:rsidRPr="005559DD">
        <w:rPr>
          <w:rFonts w:ascii="Calibri" w:eastAsia="MS Mincho" w:hAnsi="Calibri" w:cs="Calibri"/>
          <w:color w:val="auto"/>
          <w:sz w:val="22"/>
        </w:rPr>
        <w:t xml:space="preserve"> EN</w:t>
      </w:r>
      <w:r w:rsidR="008B01A4">
        <w:rPr>
          <w:rFonts w:ascii="Calibri" w:eastAsia="MS Mincho" w:hAnsi="Calibri" w:cs="Calibri"/>
          <w:color w:val="auto"/>
          <w:sz w:val="22"/>
        </w:rPr>
        <w:t xml:space="preserve"> </w:t>
      </w:r>
      <w:r w:rsidRPr="005559DD">
        <w:rPr>
          <w:rFonts w:ascii="Calibri" w:eastAsia="MS Mincho" w:hAnsi="Calibri" w:cs="Calibri"/>
          <w:color w:val="auto"/>
          <w:sz w:val="22"/>
        </w:rPr>
        <w:t>17210</w:t>
      </w:r>
      <w:r w:rsidR="008B01A4">
        <w:rPr>
          <w:rFonts w:ascii="Calibri" w:eastAsia="MS Mincho" w:hAnsi="Calibri" w:cs="Calibri"/>
          <w:color w:val="auto"/>
          <w:sz w:val="22"/>
        </w:rPr>
        <w:t>:2021</w:t>
      </w:r>
      <w:r w:rsidRPr="005559DD">
        <w:rPr>
          <w:rFonts w:ascii="Calibri" w:eastAsia="MS Mincho" w:hAnsi="Calibri" w:cs="Calibri"/>
          <w:color w:val="auto"/>
          <w:sz w:val="22"/>
        </w:rPr>
        <w:t xml:space="preserve"> </w:t>
      </w:r>
      <w:r w:rsidR="00F11A1E">
        <w:rPr>
          <w:rFonts w:ascii="Calibri" w:eastAsia="MS Mincho" w:hAnsi="Calibri" w:cs="Calibri"/>
          <w:color w:val="auto"/>
          <w:sz w:val="22"/>
        </w:rPr>
        <w:t>is closely related to and aligned with</w:t>
      </w:r>
      <w:r w:rsidRPr="005559DD">
        <w:rPr>
          <w:rFonts w:ascii="Calibri" w:eastAsia="MS Mincho" w:hAnsi="Calibri" w:cs="Calibri"/>
          <w:color w:val="auto"/>
          <w:sz w:val="22"/>
        </w:rPr>
        <w:t xml:space="preserve"> the </w:t>
      </w:r>
      <w:r w:rsidR="00A44D43" w:rsidRPr="005559DD">
        <w:rPr>
          <w:rFonts w:ascii="Calibri" w:eastAsia="MS Mincho" w:hAnsi="Calibri" w:cs="Calibri"/>
          <w:color w:val="auto"/>
          <w:sz w:val="22"/>
        </w:rPr>
        <w:t>ISO</w:t>
      </w:r>
      <w:r w:rsidRPr="005559DD">
        <w:rPr>
          <w:rFonts w:ascii="Calibri" w:eastAsia="MS Mincho" w:hAnsi="Calibri" w:cs="Calibri"/>
          <w:color w:val="auto"/>
          <w:sz w:val="22"/>
        </w:rPr>
        <w:t xml:space="preserve"> </w:t>
      </w:r>
      <w:r w:rsidR="005E7CC8" w:rsidRPr="005559DD">
        <w:rPr>
          <w:rFonts w:ascii="Calibri" w:eastAsia="MS Mincho" w:hAnsi="Calibri" w:cs="Calibri"/>
          <w:color w:val="auto"/>
          <w:sz w:val="22"/>
        </w:rPr>
        <w:t>s</w:t>
      </w:r>
      <w:r w:rsidRPr="005559DD">
        <w:rPr>
          <w:rFonts w:ascii="Calibri" w:eastAsia="MS Mincho" w:hAnsi="Calibri" w:cs="Calibri"/>
          <w:color w:val="auto"/>
          <w:sz w:val="22"/>
        </w:rPr>
        <w:t>tandard, a detailed analysis of ISO 21542:20</w:t>
      </w:r>
      <w:r w:rsidR="00914D10" w:rsidRPr="005559DD">
        <w:rPr>
          <w:rFonts w:ascii="Calibri" w:eastAsia="MS Mincho" w:hAnsi="Calibri" w:cs="Calibri"/>
          <w:color w:val="auto"/>
          <w:sz w:val="22"/>
        </w:rPr>
        <w:t>2</w:t>
      </w:r>
      <w:r w:rsidRPr="005559DD">
        <w:rPr>
          <w:rFonts w:ascii="Calibri" w:eastAsia="MS Mincho" w:hAnsi="Calibri" w:cs="Calibri"/>
          <w:color w:val="auto"/>
          <w:sz w:val="22"/>
        </w:rPr>
        <w:t>1 was deemed unnecessary.</w:t>
      </w:r>
      <w:r w:rsidR="00296634" w:rsidRPr="005559DD">
        <w:rPr>
          <w:rFonts w:ascii="Calibri" w:eastAsia="MS Mincho" w:hAnsi="Calibri" w:cs="Calibri"/>
          <w:color w:val="auto"/>
          <w:sz w:val="22"/>
        </w:rPr>
        <w:t xml:space="preserve"> </w:t>
      </w:r>
    </w:p>
    <w:p w14:paraId="41794B27" w14:textId="77777777"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Collectively, these represent global good practice and highlight where New Zealand’s standard is strong and where it is outdated or incomplete.</w:t>
      </w:r>
    </w:p>
    <w:p w14:paraId="1F633C79" w14:textId="77777777"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 xml:space="preserve">A systematic comparison of the overseas standards was completed with a focus on comparing and identifying the differences between NZS 4121:2001 and similar standards in the collected </w:t>
      </w:r>
      <w:r w:rsidRPr="005559DD">
        <w:rPr>
          <w:rFonts w:ascii="Calibri" w:eastAsia="MS Mincho" w:hAnsi="Calibri" w:cs="Calibri"/>
          <w:color w:val="auto"/>
          <w:sz w:val="22"/>
        </w:rPr>
        <w:lastRenderedPageBreak/>
        <w:t>material. Topics not covered by NZS 4121:2001 were also noted as areas to be considered for inclusion in the future revision. The overseas standards listed above were assessed by:</w:t>
      </w:r>
    </w:p>
    <w:p w14:paraId="3D13A7E1"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format </w:t>
      </w:r>
    </w:p>
    <w:p w14:paraId="361C25E0"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scope </w:t>
      </w:r>
    </w:p>
    <w:p w14:paraId="70E5D29F"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comprehensiveness</w:t>
      </w:r>
    </w:p>
    <w:p w14:paraId="3BCE0C35"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level of specific detail</w:t>
      </w:r>
    </w:p>
    <w:p w14:paraId="6AB71D33"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age. </w:t>
      </w:r>
    </w:p>
    <w:p w14:paraId="2121042A" w14:textId="77777777" w:rsidR="00D22F22" w:rsidRPr="005559DD" w:rsidRDefault="00D22F22" w:rsidP="00D22F22">
      <w:pPr>
        <w:spacing w:after="0" w:line="276" w:lineRule="auto"/>
        <w:rPr>
          <w:rFonts w:ascii="Calibri" w:eastAsia="MS Mincho" w:hAnsi="Calibri" w:cs="Calibri"/>
          <w:color w:val="auto"/>
          <w:sz w:val="22"/>
        </w:rPr>
      </w:pPr>
    </w:p>
    <w:p w14:paraId="0DE82677" w14:textId="1C1D0A4E"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 xml:space="preserve">Each standard was given a score out of five for each criterion. </w:t>
      </w:r>
    </w:p>
    <w:p w14:paraId="1E185D27" w14:textId="220DC0AC"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NVivo</w:t>
      </w:r>
      <w:r w:rsidR="00D22F22" w:rsidRPr="005559DD">
        <w:rPr>
          <w:rFonts w:ascii="Calibri" w:eastAsia="MS Mincho" w:hAnsi="Calibri" w:cs="Calibri"/>
          <w:color w:val="auto"/>
          <w:sz w:val="22"/>
        </w:rPr>
        <w:t>,</w:t>
      </w:r>
      <w:r w:rsidRPr="005559DD">
        <w:rPr>
          <w:rFonts w:ascii="Calibri" w:eastAsia="MS Mincho" w:hAnsi="Calibri" w:cs="Calibri"/>
          <w:color w:val="auto"/>
          <w:sz w:val="22"/>
        </w:rPr>
        <w:t xml:space="preserve"> qualitative analysis software was used to systematically manage this </w:t>
      </w:r>
      <w:proofErr w:type="gramStart"/>
      <w:r w:rsidRPr="005559DD">
        <w:rPr>
          <w:rFonts w:ascii="Calibri" w:eastAsia="MS Mincho" w:hAnsi="Calibri" w:cs="Calibri"/>
          <w:color w:val="auto"/>
          <w:sz w:val="22"/>
        </w:rPr>
        <w:t>process, and</w:t>
      </w:r>
      <w:proofErr w:type="gramEnd"/>
      <w:r w:rsidRPr="005559DD">
        <w:rPr>
          <w:rFonts w:ascii="Calibri" w:eastAsia="MS Mincho" w:hAnsi="Calibri" w:cs="Calibri"/>
          <w:color w:val="auto"/>
          <w:sz w:val="22"/>
        </w:rPr>
        <w:t xml:space="preserve"> assist data analysis. While some artificial intelligence </w:t>
      </w:r>
      <w:r w:rsidR="005E7CC8" w:rsidRPr="005559DD">
        <w:rPr>
          <w:rFonts w:ascii="Calibri" w:eastAsia="MS Mincho" w:hAnsi="Calibri" w:cs="Calibri"/>
          <w:color w:val="auto"/>
          <w:sz w:val="22"/>
        </w:rPr>
        <w:t xml:space="preserve">(AI) </w:t>
      </w:r>
      <w:r w:rsidRPr="005559DD">
        <w:rPr>
          <w:rFonts w:ascii="Calibri" w:eastAsia="MS Mincho" w:hAnsi="Calibri" w:cs="Calibri"/>
          <w:color w:val="auto"/>
          <w:sz w:val="22"/>
        </w:rPr>
        <w:t xml:space="preserve">was used to support the environmental scan, </w:t>
      </w:r>
      <w:proofErr w:type="gramStart"/>
      <w:r w:rsidRPr="005559DD">
        <w:rPr>
          <w:rFonts w:ascii="Calibri" w:eastAsia="MS Mincho" w:hAnsi="Calibri" w:cs="Calibri"/>
          <w:color w:val="auto"/>
          <w:sz w:val="22"/>
        </w:rPr>
        <w:t>the majority of</w:t>
      </w:r>
      <w:proofErr w:type="gramEnd"/>
      <w:r w:rsidRPr="005559DD">
        <w:rPr>
          <w:rFonts w:ascii="Calibri" w:eastAsia="MS Mincho" w:hAnsi="Calibri" w:cs="Calibri"/>
          <w:color w:val="auto"/>
          <w:sz w:val="22"/>
        </w:rPr>
        <w:t xml:space="preserve"> analysis was completed by human researchers. Note that </w:t>
      </w:r>
      <w:r w:rsidR="002F323B" w:rsidRPr="005559DD">
        <w:rPr>
          <w:rFonts w:ascii="Calibri" w:eastAsia="MS Mincho" w:hAnsi="Calibri" w:cs="Calibri"/>
          <w:color w:val="auto"/>
          <w:sz w:val="22"/>
        </w:rPr>
        <w:t>while NVivo has AI assistance available, it is not itself an AI application</w:t>
      </w:r>
      <w:r w:rsidRPr="005559DD">
        <w:rPr>
          <w:rFonts w:ascii="Calibri" w:eastAsia="MS Mincho" w:hAnsi="Calibri" w:cs="Calibri"/>
          <w:color w:val="auto"/>
          <w:sz w:val="22"/>
        </w:rPr>
        <w:t>.</w:t>
      </w:r>
    </w:p>
    <w:p w14:paraId="27BA644E" w14:textId="77777777" w:rsidR="00844C99" w:rsidRPr="005559DD" w:rsidRDefault="00844C99" w:rsidP="009C57A4">
      <w:pPr>
        <w:pStyle w:val="Heading2"/>
        <w:rPr>
          <w:rFonts w:eastAsia="MS Gothic"/>
        </w:rPr>
      </w:pPr>
      <w:bookmarkStart w:id="6" w:name="_Toc227156476"/>
      <w:r w:rsidRPr="005559DD">
        <w:rPr>
          <w:rFonts w:eastAsia="MS Gothic"/>
        </w:rPr>
        <w:t>High-level findings</w:t>
      </w:r>
      <w:bookmarkEnd w:id="6"/>
    </w:p>
    <w:p w14:paraId="34A6D496" w14:textId="1209F4E6"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The Canadian and EU standards were assessed to be of the highest quality</w:t>
      </w:r>
      <w:r w:rsidR="001B4758" w:rsidRPr="005559DD">
        <w:rPr>
          <w:rFonts w:ascii="Calibri" w:eastAsia="MS Mincho" w:hAnsi="Calibri" w:cs="Calibri"/>
          <w:color w:val="auto"/>
          <w:sz w:val="22"/>
        </w:rPr>
        <w:t xml:space="preserve"> of the six standards assessed</w:t>
      </w:r>
      <w:r w:rsidRPr="005559DD">
        <w:rPr>
          <w:rFonts w:ascii="Calibri" w:eastAsia="MS Mincho" w:hAnsi="Calibri" w:cs="Calibri"/>
          <w:color w:val="auto"/>
          <w:sz w:val="22"/>
        </w:rPr>
        <w:t>. Overall, the Canadian standard is easier to follow due to its coverage of technical details</w:t>
      </w:r>
      <w:r w:rsidR="00B03585" w:rsidRPr="005559DD">
        <w:rPr>
          <w:rFonts w:ascii="Calibri" w:eastAsia="MS Mincho" w:hAnsi="Calibri" w:cs="Calibri"/>
          <w:color w:val="auto"/>
          <w:sz w:val="22"/>
        </w:rPr>
        <w:t>;</w:t>
      </w:r>
      <w:r w:rsidRPr="005559DD">
        <w:rPr>
          <w:rFonts w:ascii="Calibri" w:eastAsia="MS Mincho" w:hAnsi="Calibri" w:cs="Calibri"/>
          <w:color w:val="auto"/>
          <w:sz w:val="22"/>
        </w:rPr>
        <w:t xml:space="preserve"> however</w:t>
      </w:r>
      <w:r w:rsidR="00B03585" w:rsidRPr="005559DD">
        <w:rPr>
          <w:rFonts w:ascii="Calibri" w:eastAsia="MS Mincho" w:hAnsi="Calibri" w:cs="Calibri"/>
          <w:color w:val="auto"/>
          <w:sz w:val="22"/>
        </w:rPr>
        <w:t>,</w:t>
      </w:r>
      <w:r w:rsidRPr="005559DD">
        <w:rPr>
          <w:rFonts w:ascii="Calibri" w:eastAsia="MS Mincho" w:hAnsi="Calibri" w:cs="Calibri"/>
          <w:color w:val="auto"/>
          <w:sz w:val="22"/>
        </w:rPr>
        <w:t xml:space="preserve"> the EU standard covers a wider range of topics.</w:t>
      </w:r>
    </w:p>
    <w:p w14:paraId="7F364692" w14:textId="77777777" w:rsidR="00844C99" w:rsidRPr="005559DD" w:rsidRDefault="00844C99" w:rsidP="002B39CB">
      <w:pPr>
        <w:pStyle w:val="Heading3"/>
        <w:rPr>
          <w:rFonts w:eastAsia="MS Gothic"/>
        </w:rPr>
      </w:pPr>
      <w:bookmarkStart w:id="7" w:name="_Toc212569769"/>
      <w:r w:rsidRPr="005559DD">
        <w:rPr>
          <w:rFonts w:eastAsia="MS Gothic"/>
        </w:rPr>
        <w:t>Strengths</w:t>
      </w:r>
      <w:bookmarkEnd w:id="7"/>
      <w:r w:rsidRPr="005559DD">
        <w:rPr>
          <w:rFonts w:eastAsia="MS Gothic"/>
        </w:rPr>
        <w:t xml:space="preserve"> of NZS 4121:2001</w:t>
      </w:r>
    </w:p>
    <w:p w14:paraId="603E4533"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Clear formatting and imposes measurable and actionable requirements</w:t>
      </w:r>
    </w:p>
    <w:p w14:paraId="4FF1A099" w14:textId="2304D208"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Includes unique coverage of topics such as design and access, shelters within </w:t>
      </w:r>
      <w:r w:rsidR="004B0768" w:rsidRPr="005559DD">
        <w:rPr>
          <w:rFonts w:ascii="Calibri" w:eastAsia="MS Mincho" w:hAnsi="Calibri" w:cs="Calibri"/>
          <w:color w:val="auto"/>
          <w:sz w:val="22"/>
        </w:rPr>
        <w:t>car park</w:t>
      </w:r>
      <w:r w:rsidRPr="005559DD">
        <w:rPr>
          <w:rFonts w:ascii="Calibri" w:eastAsia="MS Mincho" w:hAnsi="Calibri" w:cs="Calibri"/>
          <w:color w:val="auto"/>
          <w:sz w:val="22"/>
        </w:rPr>
        <w:t>s, the location of toilet and shower facilities, and access to accommodation.</w:t>
      </w:r>
    </w:p>
    <w:p w14:paraId="719D0239" w14:textId="77777777" w:rsidR="009C57A4" w:rsidRPr="005559DD" w:rsidRDefault="009C57A4" w:rsidP="00BD7B62">
      <w:pPr>
        <w:keepNext/>
        <w:keepLines/>
        <w:numPr>
          <w:ilvl w:val="2"/>
          <w:numId w:val="0"/>
        </w:numPr>
        <w:tabs>
          <w:tab w:val="left" w:pos="1134"/>
        </w:tabs>
        <w:spacing w:after="0" w:line="240" w:lineRule="auto"/>
        <w:ind w:left="357" w:hanging="357"/>
        <w:outlineLvl w:val="2"/>
        <w:rPr>
          <w:rFonts w:ascii="Calibri" w:eastAsia="MS Gothic" w:hAnsi="Calibri" w:cs="Calibri"/>
          <w:b/>
          <w:bCs/>
          <w:color w:val="4F81BD"/>
          <w:sz w:val="22"/>
        </w:rPr>
      </w:pPr>
      <w:bookmarkStart w:id="8" w:name="_Toc212569770"/>
    </w:p>
    <w:p w14:paraId="03AAFD14" w14:textId="40F0D15F" w:rsidR="00844C99" w:rsidRPr="005559DD" w:rsidRDefault="00844C99" w:rsidP="002B39CB">
      <w:pPr>
        <w:pStyle w:val="Heading3"/>
        <w:rPr>
          <w:rFonts w:eastAsia="MS Gothic"/>
        </w:rPr>
      </w:pPr>
      <w:r w:rsidRPr="005559DD">
        <w:rPr>
          <w:rFonts w:eastAsia="MS Gothic"/>
        </w:rPr>
        <w:t>Limitations</w:t>
      </w:r>
      <w:bookmarkEnd w:id="8"/>
      <w:r w:rsidRPr="005559DD">
        <w:rPr>
          <w:rFonts w:eastAsia="MS Gothic"/>
        </w:rPr>
        <w:t xml:space="preserve"> of NZS 4121:2001</w:t>
      </w:r>
    </w:p>
    <w:p w14:paraId="51BBA688"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standard often lacks rationale or detail for its provisions.</w:t>
      </w:r>
    </w:p>
    <w:p w14:paraId="26F08713"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Uses a narrow definition of disability, primarily focusing on mobility-related disabilities.</w:t>
      </w:r>
    </w:p>
    <w:p w14:paraId="747AAB4E"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Lacks coverage in areas such as emergency alerts and building evacuation, air quality, and acoustic design in built environments.</w:t>
      </w:r>
    </w:p>
    <w:p w14:paraId="210AD383"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Lacks cultural considerations for accessibility in buildings such as marae.</w:t>
      </w:r>
    </w:p>
    <w:p w14:paraId="37610BF4" w14:textId="3B6C8DC8"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Occasionally uses outdated language</w:t>
      </w:r>
      <w:r w:rsidR="005E7CC8" w:rsidRPr="005559DD">
        <w:rPr>
          <w:rFonts w:ascii="Calibri" w:eastAsia="MS Mincho" w:hAnsi="Calibri" w:cs="Calibri"/>
          <w:color w:val="auto"/>
          <w:sz w:val="22"/>
        </w:rPr>
        <w:t xml:space="preserve"> –</w:t>
      </w:r>
      <w:r w:rsidRPr="005559DD">
        <w:rPr>
          <w:rFonts w:ascii="Calibri" w:eastAsia="MS Mincho" w:hAnsi="Calibri" w:cs="Calibri"/>
          <w:color w:val="auto"/>
          <w:sz w:val="22"/>
        </w:rPr>
        <w:t xml:space="preserve"> for example</w:t>
      </w:r>
      <w:r w:rsidR="005E7CC8" w:rsidRPr="005559DD">
        <w:rPr>
          <w:rFonts w:ascii="Calibri" w:eastAsia="MS Mincho" w:hAnsi="Calibri" w:cs="Calibri"/>
          <w:color w:val="auto"/>
          <w:sz w:val="22"/>
        </w:rPr>
        <w:t>,</w:t>
      </w:r>
      <w:r w:rsidRPr="005559DD">
        <w:rPr>
          <w:rFonts w:ascii="Calibri" w:eastAsia="MS Mincho" w:hAnsi="Calibri" w:cs="Calibri"/>
          <w:color w:val="auto"/>
          <w:sz w:val="22"/>
        </w:rPr>
        <w:t xml:space="preserve"> when explaining accessibility, NZS 4121:2001 refers to it as “not an emotional issue” which minimises the personal and social impact of inaccessibility. Another example is the use of the word “embarrassing” when describing the situation of a disabled person calling for assistance when staying in public accommodation</w:t>
      </w:r>
      <w:r w:rsidR="005E7CC8" w:rsidRPr="005559DD">
        <w:rPr>
          <w:rFonts w:ascii="Calibri" w:eastAsia="MS Mincho" w:hAnsi="Calibri" w:cs="Calibri"/>
          <w:color w:val="auto"/>
          <w:sz w:val="22"/>
        </w:rPr>
        <w:t>;</w:t>
      </w:r>
      <w:r w:rsidRPr="005559DD">
        <w:rPr>
          <w:rFonts w:ascii="Calibri" w:eastAsia="MS Mincho" w:hAnsi="Calibri" w:cs="Calibri"/>
          <w:color w:val="auto"/>
          <w:sz w:val="22"/>
        </w:rPr>
        <w:t xml:space="preserve"> this suggests disability-related assistance is shameful. The use of this terminology </w:t>
      </w:r>
      <w:r w:rsidR="001B4758" w:rsidRPr="005559DD">
        <w:rPr>
          <w:rFonts w:ascii="Calibri" w:eastAsia="MS Mincho" w:hAnsi="Calibri" w:cs="Calibri"/>
          <w:color w:val="auto"/>
          <w:sz w:val="22"/>
        </w:rPr>
        <w:t>is</w:t>
      </w:r>
      <w:r w:rsidR="00B715F2" w:rsidRPr="005559DD">
        <w:rPr>
          <w:rFonts w:ascii="Calibri" w:eastAsia="MS Mincho" w:hAnsi="Calibri" w:cs="Calibri"/>
          <w:color w:val="auto"/>
          <w:sz w:val="22"/>
        </w:rPr>
        <w:t xml:space="preserve"> outdated and </w:t>
      </w:r>
      <w:r w:rsidRPr="005559DD">
        <w:rPr>
          <w:rFonts w:ascii="Calibri" w:eastAsia="MS Mincho" w:hAnsi="Calibri" w:cs="Calibri"/>
          <w:color w:val="auto"/>
          <w:sz w:val="22"/>
        </w:rPr>
        <w:t>not inclusive.</w:t>
      </w:r>
    </w:p>
    <w:p w14:paraId="21144E6F"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Acoustics, children and adolescents, air quality, functional and cognitive barriers and security access are not covered by the standard. </w:t>
      </w:r>
    </w:p>
    <w:p w14:paraId="2311B40B"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lastRenderedPageBreak/>
        <w:t>Implementation issues due to NZS 4121:2001 being referenced in the Building Act which makes updating the standard more difficult and creates inconsistencies with the Building Code.</w:t>
      </w:r>
    </w:p>
    <w:p w14:paraId="7934DAEA" w14:textId="77777777" w:rsidR="00844C99" w:rsidRPr="005559DD" w:rsidRDefault="00844C99" w:rsidP="002B39CB">
      <w:pPr>
        <w:pStyle w:val="Heading2"/>
      </w:pPr>
      <w:bookmarkStart w:id="9" w:name="_Toc227156477"/>
      <w:r w:rsidRPr="005559DD">
        <w:t>Assessment of overseas standards by topic</w:t>
      </w:r>
      <w:bookmarkEnd w:id="9"/>
    </w:p>
    <w:p w14:paraId="7BBF49CD" w14:textId="5241AB78"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The following list covers key aspects of NZS 4121:2001 and highest rated aspects from overseas standards.</w:t>
      </w:r>
      <w:r w:rsidR="00DF33D9" w:rsidRPr="005559DD">
        <w:rPr>
          <w:rFonts w:ascii="Calibri" w:eastAsia="MS Mincho" w:hAnsi="Calibri" w:cs="Calibri"/>
          <w:color w:val="auto"/>
          <w:sz w:val="22"/>
        </w:rPr>
        <w:t xml:space="preserve"> The different aspects in each standard were ra</w:t>
      </w:r>
      <w:r w:rsidR="004B3CE2" w:rsidRPr="005559DD">
        <w:rPr>
          <w:rFonts w:ascii="Calibri" w:eastAsia="MS Mincho" w:hAnsi="Calibri" w:cs="Calibri"/>
          <w:color w:val="auto"/>
          <w:sz w:val="22"/>
        </w:rPr>
        <w:t>t</w:t>
      </w:r>
      <w:r w:rsidR="00DF33D9" w:rsidRPr="005559DD">
        <w:rPr>
          <w:rFonts w:ascii="Calibri" w:eastAsia="MS Mincho" w:hAnsi="Calibri" w:cs="Calibri"/>
          <w:color w:val="auto"/>
          <w:sz w:val="22"/>
        </w:rPr>
        <w:t xml:space="preserve">ed relative to </w:t>
      </w:r>
      <w:r w:rsidR="004B3CE2" w:rsidRPr="005559DD">
        <w:rPr>
          <w:rFonts w:ascii="Calibri" w:eastAsia="MS Mincho" w:hAnsi="Calibri" w:cs="Calibri"/>
          <w:color w:val="auto"/>
          <w:sz w:val="22"/>
        </w:rPr>
        <w:t xml:space="preserve">their equivalents in </w:t>
      </w:r>
      <w:r w:rsidR="00DF33D9" w:rsidRPr="005559DD">
        <w:rPr>
          <w:rFonts w:ascii="Calibri" w:eastAsia="MS Mincho" w:hAnsi="Calibri" w:cs="Calibri"/>
          <w:color w:val="auto"/>
          <w:sz w:val="22"/>
        </w:rPr>
        <w:t>other standards assessed.</w:t>
      </w:r>
    </w:p>
    <w:p w14:paraId="747F34FB" w14:textId="0A3D8F89" w:rsidR="00844C99" w:rsidRPr="005559DD" w:rsidRDefault="00844C99" w:rsidP="00844C99">
      <w:pPr>
        <w:keepNext/>
        <w:keepLines/>
        <w:numPr>
          <w:ilvl w:val="2"/>
          <w:numId w:val="0"/>
        </w:numPr>
        <w:tabs>
          <w:tab w:val="left" w:pos="1134"/>
        </w:tabs>
        <w:spacing w:before="240" w:after="0" w:line="360" w:lineRule="auto"/>
        <w:ind w:left="357" w:hanging="357"/>
        <w:outlineLvl w:val="2"/>
        <w:rPr>
          <w:rFonts w:ascii="Calibri" w:eastAsia="MS Gothic" w:hAnsi="Calibri" w:cs="Calibri"/>
          <w:color w:val="auto"/>
          <w:sz w:val="22"/>
          <w:u w:val="single"/>
        </w:rPr>
      </w:pPr>
      <w:bookmarkStart w:id="10" w:name="_Toc212569773"/>
      <w:r w:rsidRPr="005559DD">
        <w:rPr>
          <w:rFonts w:ascii="Calibri" w:eastAsia="MS Gothic" w:hAnsi="Calibri" w:cs="Calibri"/>
          <w:color w:val="auto"/>
          <w:sz w:val="22"/>
          <w:u w:val="single"/>
        </w:rPr>
        <w:t xml:space="preserve">Definitions, </w:t>
      </w:r>
      <w:r w:rsidR="005E7CC8" w:rsidRPr="005559DD">
        <w:rPr>
          <w:rFonts w:ascii="Calibri" w:eastAsia="MS Gothic" w:hAnsi="Calibri" w:cs="Calibri"/>
          <w:color w:val="auto"/>
          <w:sz w:val="22"/>
          <w:u w:val="single"/>
        </w:rPr>
        <w:t>design and access</w:t>
      </w:r>
      <w:bookmarkEnd w:id="10"/>
    </w:p>
    <w:p w14:paraId="4F207698"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Canadian standard: highest rated definitions.</w:t>
      </w:r>
    </w:p>
    <w:p w14:paraId="2B729756"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Includes provisions for people with allergies</w:t>
      </w:r>
      <w:r w:rsidRPr="005559DD">
        <w:rPr>
          <w:rFonts w:ascii="Calibri" w:eastAsia="MS Mincho" w:hAnsi="Calibri" w:cs="Calibri"/>
          <w:color w:val="auto"/>
          <w:sz w:val="22"/>
        </w:rPr>
        <w:tab/>
      </w:r>
    </w:p>
    <w:p w14:paraId="66248A38" w14:textId="5AAF888D"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NZS 4121:2001: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best for Access and Design.</w:t>
      </w:r>
    </w:p>
    <w:p w14:paraId="22D7673A" w14:textId="4E880EDE" w:rsidR="00844C99" w:rsidRPr="005559DD" w:rsidRDefault="00844C99" w:rsidP="000C16EE">
      <w:pPr>
        <w:keepNext/>
        <w:keepLines/>
        <w:numPr>
          <w:ilvl w:val="2"/>
          <w:numId w:val="0"/>
        </w:numPr>
        <w:tabs>
          <w:tab w:val="left" w:pos="1134"/>
        </w:tabs>
        <w:spacing w:before="480" w:after="0" w:line="360" w:lineRule="auto"/>
        <w:ind w:left="357" w:hanging="357"/>
        <w:outlineLvl w:val="2"/>
        <w:rPr>
          <w:rFonts w:ascii="Calibri" w:eastAsia="MS Gothic" w:hAnsi="Calibri" w:cs="Calibri"/>
          <w:color w:val="auto"/>
          <w:sz w:val="22"/>
          <w:u w:val="single"/>
        </w:rPr>
      </w:pPr>
      <w:bookmarkStart w:id="11" w:name="_Toc212569774"/>
      <w:r w:rsidRPr="005559DD">
        <w:rPr>
          <w:rFonts w:ascii="Calibri" w:eastAsia="MS Gothic" w:hAnsi="Calibri" w:cs="Times New Roman"/>
          <w:color w:val="auto"/>
          <w:sz w:val="22"/>
          <w:u w:val="single"/>
        </w:rPr>
        <w:t xml:space="preserve">Accessible </w:t>
      </w:r>
      <w:bookmarkEnd w:id="11"/>
      <w:r w:rsidR="005E7CC8" w:rsidRPr="005559DD">
        <w:rPr>
          <w:rFonts w:ascii="Calibri" w:eastAsia="MS Gothic" w:hAnsi="Calibri" w:cs="Times New Roman"/>
          <w:color w:val="auto"/>
          <w:sz w:val="22"/>
          <w:u w:val="single"/>
        </w:rPr>
        <w:t>routes</w:t>
      </w:r>
    </w:p>
    <w:p w14:paraId="3C9FF097"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Canadian standard: detailed analysis on hazards and obstructions, direction indicators, signs, controls and fittings, and emergency provisions. Supplementary information on surface finishes and audible and visual cues.</w:t>
      </w:r>
    </w:p>
    <w:p w14:paraId="5EDDA67F"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detailed analysis on surface finishes, emergency provisions and audible and visual cues. Provides supplementary information on direction indicators and signs.</w:t>
      </w:r>
    </w:p>
    <w:p w14:paraId="78494793"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UK standard: the only standard to include Site and Building Layout.</w:t>
      </w:r>
    </w:p>
    <w:p w14:paraId="2E4BD2C2"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Australian standard: includes supplementary information for emergency provisions and audible and visual cues.</w:t>
      </w:r>
    </w:p>
    <w:p w14:paraId="2DE115CC" w14:textId="43C88C33" w:rsidR="00844C99" w:rsidRPr="005559DD" w:rsidRDefault="00844C99" w:rsidP="000C16EE">
      <w:pPr>
        <w:keepNext/>
        <w:keepLines/>
        <w:numPr>
          <w:ilvl w:val="2"/>
          <w:numId w:val="0"/>
        </w:numPr>
        <w:tabs>
          <w:tab w:val="left" w:pos="1134"/>
        </w:tabs>
        <w:spacing w:before="480" w:after="0" w:line="360" w:lineRule="auto"/>
        <w:ind w:left="357" w:hanging="357"/>
        <w:outlineLvl w:val="2"/>
        <w:rPr>
          <w:rFonts w:ascii="Calibri" w:eastAsia="MS Gothic" w:hAnsi="Calibri" w:cs="Times New Roman"/>
          <w:color w:val="auto"/>
          <w:sz w:val="22"/>
          <w:u w:val="single"/>
        </w:rPr>
      </w:pPr>
      <w:bookmarkStart w:id="12" w:name="_Toc212569775"/>
      <w:r w:rsidRPr="005559DD">
        <w:rPr>
          <w:rFonts w:ascii="Calibri" w:eastAsia="MS Gothic" w:hAnsi="Calibri" w:cs="Times New Roman"/>
          <w:color w:val="auto"/>
          <w:sz w:val="22"/>
          <w:u w:val="single"/>
        </w:rPr>
        <w:t xml:space="preserve">Car </w:t>
      </w:r>
      <w:r w:rsidR="005E7CC8" w:rsidRPr="005559DD">
        <w:rPr>
          <w:rFonts w:ascii="Calibri" w:eastAsia="MS Gothic" w:hAnsi="Calibri" w:cs="Times New Roman"/>
          <w:color w:val="auto"/>
          <w:sz w:val="22"/>
          <w:u w:val="single"/>
        </w:rPr>
        <w:t>p</w:t>
      </w:r>
      <w:r w:rsidRPr="005559DD">
        <w:rPr>
          <w:rFonts w:ascii="Calibri" w:eastAsia="MS Gothic" w:hAnsi="Calibri" w:cs="Times New Roman"/>
          <w:color w:val="auto"/>
          <w:sz w:val="22"/>
          <w:u w:val="single"/>
        </w:rPr>
        <w:t>arks</w:t>
      </w:r>
      <w:bookmarkEnd w:id="12"/>
    </w:p>
    <w:p w14:paraId="2F0E0B3A" w14:textId="662C529D"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The Canadian standard: Detailed information on signs, required number of parking spaces, </w:t>
      </w:r>
      <w:r w:rsidR="004B0768" w:rsidRPr="005559DD">
        <w:rPr>
          <w:rFonts w:ascii="Calibri" w:eastAsia="MS Mincho" w:hAnsi="Calibri" w:cs="Calibri"/>
          <w:color w:val="auto"/>
          <w:sz w:val="22"/>
        </w:rPr>
        <w:t>car park</w:t>
      </w:r>
      <w:r w:rsidRPr="005559DD">
        <w:rPr>
          <w:rFonts w:ascii="Calibri" w:eastAsia="MS Mincho" w:hAnsi="Calibri" w:cs="Calibri"/>
          <w:color w:val="auto"/>
          <w:sz w:val="22"/>
        </w:rPr>
        <w:t xml:space="preserve"> dimensions and surface finishes. Lacks detailed information on access from </w:t>
      </w:r>
      <w:r w:rsidR="004B0768" w:rsidRPr="005559DD">
        <w:rPr>
          <w:rFonts w:ascii="Calibri" w:eastAsia="MS Mincho" w:hAnsi="Calibri" w:cs="Calibri"/>
          <w:color w:val="auto"/>
          <w:sz w:val="22"/>
        </w:rPr>
        <w:t>car park</w:t>
      </w:r>
      <w:r w:rsidRPr="005559DD">
        <w:rPr>
          <w:rFonts w:ascii="Calibri" w:eastAsia="MS Mincho" w:hAnsi="Calibri" w:cs="Calibri"/>
          <w:color w:val="auto"/>
          <w:sz w:val="22"/>
        </w:rPr>
        <w:t xml:space="preserve">s/pick up areas. </w:t>
      </w:r>
    </w:p>
    <w:p w14:paraId="48D17AEC"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Best overall requirements for signs, number required, dimensions, surfaces, and facilities.</w:t>
      </w:r>
    </w:p>
    <w:p w14:paraId="27659B2F"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NZS 4121:2001: The only standard to include shelter. Provides detailed analysis for facilities, and number required.</w:t>
      </w:r>
    </w:p>
    <w:p w14:paraId="7FFF1FAE" w14:textId="73CA4783" w:rsidR="00844C99" w:rsidRPr="005559DD" w:rsidRDefault="00844C99" w:rsidP="000C16EE">
      <w:pPr>
        <w:keepNext/>
        <w:keepLines/>
        <w:numPr>
          <w:ilvl w:val="2"/>
          <w:numId w:val="0"/>
        </w:numPr>
        <w:tabs>
          <w:tab w:val="left" w:pos="1134"/>
        </w:tabs>
        <w:spacing w:before="480" w:after="0" w:line="360" w:lineRule="auto"/>
        <w:ind w:left="357" w:hanging="357"/>
        <w:outlineLvl w:val="2"/>
        <w:rPr>
          <w:rFonts w:ascii="Calibri" w:eastAsia="MS Gothic" w:hAnsi="Calibri" w:cs="Times New Roman"/>
          <w:color w:val="auto"/>
          <w:sz w:val="22"/>
          <w:u w:val="single"/>
        </w:rPr>
      </w:pPr>
      <w:bookmarkStart w:id="13" w:name="_Toc212569776"/>
      <w:r w:rsidRPr="005559DD">
        <w:rPr>
          <w:rFonts w:ascii="Calibri" w:eastAsia="MS Gothic" w:hAnsi="Calibri" w:cs="Times New Roman"/>
          <w:color w:val="auto"/>
          <w:sz w:val="22"/>
          <w:u w:val="single"/>
        </w:rPr>
        <w:t xml:space="preserve">Footpaths, </w:t>
      </w:r>
      <w:r w:rsidR="005E7CC8" w:rsidRPr="005559DD">
        <w:rPr>
          <w:rFonts w:ascii="Calibri" w:eastAsia="MS Gothic" w:hAnsi="Calibri" w:cs="Times New Roman"/>
          <w:color w:val="auto"/>
          <w:sz w:val="22"/>
          <w:u w:val="single"/>
        </w:rPr>
        <w:t>r</w:t>
      </w:r>
      <w:r w:rsidRPr="005559DD">
        <w:rPr>
          <w:rFonts w:ascii="Calibri" w:eastAsia="MS Gothic" w:hAnsi="Calibri" w:cs="Times New Roman"/>
          <w:color w:val="auto"/>
          <w:sz w:val="22"/>
          <w:u w:val="single"/>
        </w:rPr>
        <w:t xml:space="preserve">amps and </w:t>
      </w:r>
      <w:r w:rsidR="005E7CC8" w:rsidRPr="005559DD">
        <w:rPr>
          <w:rFonts w:ascii="Calibri" w:eastAsia="MS Gothic" w:hAnsi="Calibri" w:cs="Times New Roman"/>
          <w:color w:val="auto"/>
          <w:sz w:val="22"/>
          <w:u w:val="single"/>
        </w:rPr>
        <w:t>l</w:t>
      </w:r>
      <w:r w:rsidRPr="005559DD">
        <w:rPr>
          <w:rFonts w:ascii="Calibri" w:eastAsia="MS Gothic" w:hAnsi="Calibri" w:cs="Times New Roman"/>
          <w:color w:val="auto"/>
          <w:sz w:val="22"/>
          <w:u w:val="single"/>
        </w:rPr>
        <w:t>andings</w:t>
      </w:r>
      <w:bookmarkEnd w:id="13"/>
    </w:p>
    <w:p w14:paraId="796F4C98"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Canadian standard: favoured standard for moving walkways, escalators and ramps/ramp landings.</w:t>
      </w:r>
    </w:p>
    <w:p w14:paraId="3DDA631F"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provides detailed requirements for footpaths and fairing of surfaces as well as supplementary information for moving walkways.</w:t>
      </w:r>
    </w:p>
    <w:p w14:paraId="7E19787F"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lastRenderedPageBreak/>
        <w:t>NZS 4121:2001: provides good information regarding ramps/ramp landings and fairing of surfaces as well as supplementary information on moving walkways.</w:t>
      </w:r>
    </w:p>
    <w:p w14:paraId="323090FB" w14:textId="01FBD09E" w:rsidR="00844C99" w:rsidRPr="005559DD" w:rsidRDefault="00844C99" w:rsidP="000C16EE">
      <w:pPr>
        <w:keepNext/>
        <w:keepLines/>
        <w:numPr>
          <w:ilvl w:val="2"/>
          <w:numId w:val="0"/>
        </w:numPr>
        <w:tabs>
          <w:tab w:val="left" w:pos="1134"/>
        </w:tabs>
        <w:spacing w:before="480" w:after="0" w:line="360" w:lineRule="auto"/>
        <w:ind w:left="357" w:hanging="357"/>
        <w:outlineLvl w:val="2"/>
        <w:rPr>
          <w:rFonts w:ascii="Calibri" w:eastAsia="MS Gothic" w:hAnsi="Calibri" w:cs="Calibri"/>
          <w:color w:val="auto"/>
          <w:sz w:val="22"/>
          <w:u w:val="single"/>
        </w:rPr>
      </w:pPr>
      <w:bookmarkStart w:id="14" w:name="_Toc212569777"/>
      <w:r w:rsidRPr="005559DD">
        <w:rPr>
          <w:rFonts w:ascii="Calibri" w:eastAsia="MS Gothic" w:hAnsi="Calibri" w:cs="Calibri"/>
          <w:color w:val="auto"/>
          <w:sz w:val="22"/>
          <w:u w:val="single"/>
        </w:rPr>
        <w:t xml:space="preserve">Entrances, </w:t>
      </w:r>
      <w:r w:rsidR="005E7CC8" w:rsidRPr="005559DD">
        <w:rPr>
          <w:rFonts w:ascii="Calibri" w:eastAsia="MS Gothic" w:hAnsi="Calibri" w:cs="Calibri"/>
          <w:color w:val="auto"/>
          <w:sz w:val="22"/>
          <w:u w:val="single"/>
        </w:rPr>
        <w:t>corridors, doorways and doors</w:t>
      </w:r>
      <w:bookmarkEnd w:id="14"/>
    </w:p>
    <w:p w14:paraId="0C36B5F1"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favoured standard for corridors. Provides supplementary information for entrances and doorways.</w:t>
      </w:r>
    </w:p>
    <w:p w14:paraId="29EEA057" w14:textId="09E5987C"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NZS 4121:2001: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highest for entrances and doorways.</w:t>
      </w:r>
    </w:p>
    <w:p w14:paraId="4289EF84"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UK standard: provides supplementary information on corridors.</w:t>
      </w:r>
    </w:p>
    <w:p w14:paraId="40B6607D"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Australian standard: provides supplementary information on doorways.</w:t>
      </w:r>
    </w:p>
    <w:p w14:paraId="2FA06477" w14:textId="588E341B" w:rsidR="00844C99" w:rsidRPr="005559DD" w:rsidRDefault="00844C99" w:rsidP="000C16EE">
      <w:pPr>
        <w:keepNext/>
        <w:keepLines/>
        <w:numPr>
          <w:ilvl w:val="2"/>
          <w:numId w:val="0"/>
        </w:numPr>
        <w:tabs>
          <w:tab w:val="left" w:pos="1134"/>
        </w:tabs>
        <w:spacing w:before="480" w:after="0" w:line="360" w:lineRule="auto"/>
        <w:ind w:left="357" w:hanging="357"/>
        <w:outlineLvl w:val="2"/>
        <w:rPr>
          <w:rFonts w:ascii="Calibri" w:eastAsia="MS Gothic" w:hAnsi="Calibri" w:cs="Times New Roman"/>
          <w:color w:val="auto"/>
          <w:sz w:val="22"/>
          <w:u w:val="single"/>
        </w:rPr>
      </w:pPr>
      <w:bookmarkStart w:id="15" w:name="_Toc212569778"/>
      <w:r w:rsidRPr="005559DD">
        <w:rPr>
          <w:rFonts w:ascii="Calibri" w:eastAsia="MS Gothic" w:hAnsi="Calibri" w:cs="Times New Roman"/>
          <w:color w:val="auto"/>
          <w:sz w:val="22"/>
          <w:u w:val="single"/>
        </w:rPr>
        <w:t xml:space="preserve">Stairs and </w:t>
      </w:r>
      <w:r w:rsidR="005E7CC8" w:rsidRPr="005559DD">
        <w:rPr>
          <w:rFonts w:ascii="Calibri" w:eastAsia="MS Gothic" w:hAnsi="Calibri" w:cs="Times New Roman"/>
          <w:color w:val="auto"/>
          <w:sz w:val="22"/>
          <w:u w:val="single"/>
        </w:rPr>
        <w:t>l</w:t>
      </w:r>
      <w:r w:rsidRPr="005559DD">
        <w:rPr>
          <w:rFonts w:ascii="Calibri" w:eastAsia="MS Gothic" w:hAnsi="Calibri" w:cs="Times New Roman"/>
          <w:color w:val="auto"/>
          <w:sz w:val="22"/>
          <w:u w:val="single"/>
        </w:rPr>
        <w:t>ifts</w:t>
      </w:r>
      <w:bookmarkEnd w:id="15"/>
    </w:p>
    <w:p w14:paraId="373B06E4"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Canadian standard: supplementary information on stair design and construction.</w:t>
      </w:r>
    </w:p>
    <w:p w14:paraId="6E84349D" w14:textId="49F38EF3"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highest for auditory, tactile and visual cues, and design of lifts. It also provides supplementary information on stair handrails.</w:t>
      </w:r>
    </w:p>
    <w:p w14:paraId="60E3586E" w14:textId="20C42988"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NZS 4121:2001: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highest for stair design and construction, and handrails. It also provides supplementary information on auditory, tactile, and visual cues.</w:t>
      </w:r>
    </w:p>
    <w:p w14:paraId="0CC4554C"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UK standard: provides supplementary information on design of lifts.</w:t>
      </w:r>
    </w:p>
    <w:p w14:paraId="6308F636" w14:textId="750A742D" w:rsidR="00844C99" w:rsidRPr="005559DD" w:rsidRDefault="00844C99" w:rsidP="000C16EE">
      <w:pPr>
        <w:keepNext/>
        <w:keepLines/>
        <w:numPr>
          <w:ilvl w:val="2"/>
          <w:numId w:val="0"/>
        </w:numPr>
        <w:tabs>
          <w:tab w:val="left" w:pos="1134"/>
        </w:tabs>
        <w:spacing w:before="480" w:after="0" w:line="360" w:lineRule="auto"/>
        <w:ind w:left="357" w:hanging="357"/>
        <w:outlineLvl w:val="2"/>
        <w:rPr>
          <w:rFonts w:ascii="Calibri" w:eastAsia="MS Gothic" w:hAnsi="Calibri" w:cs="Times New Roman"/>
          <w:color w:val="auto"/>
          <w:sz w:val="22"/>
          <w:u w:val="single"/>
        </w:rPr>
      </w:pPr>
      <w:bookmarkStart w:id="16" w:name="_Toc212569779"/>
      <w:r w:rsidRPr="005559DD">
        <w:rPr>
          <w:rFonts w:ascii="Calibri" w:eastAsia="MS Gothic" w:hAnsi="Calibri" w:cs="Times New Roman"/>
          <w:color w:val="auto"/>
          <w:sz w:val="22"/>
          <w:u w:val="single"/>
        </w:rPr>
        <w:t>Toilet</w:t>
      </w:r>
      <w:r w:rsidR="005E7CC8" w:rsidRPr="005559DD">
        <w:rPr>
          <w:rFonts w:ascii="Calibri" w:eastAsia="MS Gothic" w:hAnsi="Calibri" w:cs="Times New Roman"/>
          <w:color w:val="auto"/>
          <w:sz w:val="22"/>
          <w:u w:val="single"/>
        </w:rPr>
        <w:t>s</w:t>
      </w:r>
      <w:r w:rsidRPr="005559DD">
        <w:rPr>
          <w:rFonts w:ascii="Calibri" w:eastAsia="MS Gothic" w:hAnsi="Calibri" w:cs="Times New Roman"/>
          <w:color w:val="auto"/>
          <w:sz w:val="22"/>
          <w:u w:val="single"/>
        </w:rPr>
        <w:t xml:space="preserve"> and </w:t>
      </w:r>
      <w:r w:rsidR="005E7CC8" w:rsidRPr="005559DD">
        <w:rPr>
          <w:rFonts w:ascii="Calibri" w:eastAsia="MS Gothic" w:hAnsi="Calibri" w:cs="Times New Roman"/>
          <w:color w:val="auto"/>
          <w:sz w:val="22"/>
          <w:u w:val="single"/>
        </w:rPr>
        <w:t>s</w:t>
      </w:r>
      <w:r w:rsidRPr="005559DD">
        <w:rPr>
          <w:rFonts w:ascii="Calibri" w:eastAsia="MS Gothic" w:hAnsi="Calibri" w:cs="Times New Roman"/>
          <w:color w:val="auto"/>
          <w:sz w:val="22"/>
          <w:u w:val="single"/>
        </w:rPr>
        <w:t>hower</w:t>
      </w:r>
      <w:bookmarkEnd w:id="16"/>
      <w:r w:rsidR="005E7CC8" w:rsidRPr="005559DD">
        <w:rPr>
          <w:rFonts w:ascii="Calibri" w:eastAsia="MS Gothic" w:hAnsi="Calibri" w:cs="Times New Roman"/>
          <w:color w:val="auto"/>
          <w:sz w:val="22"/>
          <w:u w:val="single"/>
        </w:rPr>
        <w:t>s</w:t>
      </w:r>
    </w:p>
    <w:p w14:paraId="69DA58E5" w14:textId="0BBD2320"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Canadian standard: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the highest for signs and design.</w:t>
      </w:r>
    </w:p>
    <w:p w14:paraId="78913CE1" w14:textId="30AF27B5"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the highest for design and the inclusion of baby facilities such as breast-feeding rooms and non-gendered baby changing rooms.</w:t>
      </w:r>
    </w:p>
    <w:p w14:paraId="76D96EF5" w14:textId="213BF93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NZS 4121:2001: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the highest for location and number of toilets and showers. It also provides supplementary information regarding design.</w:t>
      </w:r>
      <w:r w:rsidRPr="005559DD">
        <w:rPr>
          <w:rFonts w:ascii="Calibri" w:eastAsia="MS Mincho" w:hAnsi="Calibri" w:cs="Calibri"/>
          <w:color w:val="auto"/>
          <w:sz w:val="22"/>
        </w:rPr>
        <w:tab/>
      </w:r>
    </w:p>
    <w:p w14:paraId="0E82AA83" w14:textId="2A594FFC" w:rsidR="00844C99" w:rsidRPr="005559DD" w:rsidRDefault="00844C99" w:rsidP="000C16EE">
      <w:pPr>
        <w:keepNext/>
        <w:keepLines/>
        <w:numPr>
          <w:ilvl w:val="2"/>
          <w:numId w:val="0"/>
        </w:numPr>
        <w:tabs>
          <w:tab w:val="left" w:pos="1134"/>
        </w:tabs>
        <w:spacing w:before="480" w:after="0" w:line="360" w:lineRule="auto"/>
        <w:ind w:left="357" w:hanging="357"/>
        <w:outlineLvl w:val="2"/>
        <w:rPr>
          <w:rFonts w:ascii="Calibri" w:eastAsia="MS Gothic" w:hAnsi="Calibri" w:cs="Times New Roman"/>
          <w:color w:val="auto"/>
          <w:sz w:val="22"/>
          <w:u w:val="single"/>
        </w:rPr>
      </w:pPr>
      <w:bookmarkStart w:id="17" w:name="_Toc212569780"/>
      <w:r w:rsidRPr="005559DD">
        <w:rPr>
          <w:rFonts w:ascii="Calibri" w:eastAsia="MS Gothic" w:hAnsi="Calibri" w:cs="Times New Roman"/>
          <w:color w:val="auto"/>
          <w:sz w:val="22"/>
          <w:u w:val="single"/>
        </w:rPr>
        <w:t xml:space="preserve">Public </w:t>
      </w:r>
      <w:r w:rsidR="005E7CC8" w:rsidRPr="005559DD">
        <w:rPr>
          <w:rFonts w:ascii="Calibri" w:eastAsia="MS Gothic" w:hAnsi="Calibri" w:cs="Times New Roman"/>
          <w:color w:val="auto"/>
          <w:sz w:val="22"/>
          <w:u w:val="single"/>
        </w:rPr>
        <w:t>f</w:t>
      </w:r>
      <w:r w:rsidRPr="005559DD">
        <w:rPr>
          <w:rFonts w:ascii="Calibri" w:eastAsia="MS Gothic" w:hAnsi="Calibri" w:cs="Times New Roman"/>
          <w:color w:val="auto"/>
          <w:sz w:val="22"/>
          <w:u w:val="single"/>
        </w:rPr>
        <w:t>acilities</w:t>
      </w:r>
      <w:bookmarkEnd w:id="17"/>
    </w:p>
    <w:p w14:paraId="45D420A8" w14:textId="01F36F1E"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Canadian standard: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the highest for dressing/fitting rooms; and drinking fountains. It also provides additional criteria for telephones.</w:t>
      </w:r>
    </w:p>
    <w:p w14:paraId="75F5A84A" w14:textId="4771B69D"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the highest for public counters and desks, ATMs and vending machines. Provides unique requirements for assistant dog facilities, rubbish bins, seating and waiting and storage spaces.</w:t>
      </w:r>
    </w:p>
    <w:p w14:paraId="6C462839"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NZS 4121:2001: provides supplementary information about telephones and ATMs and vending machines.</w:t>
      </w:r>
    </w:p>
    <w:p w14:paraId="5A8210F6"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US standard: provides additional information about drinking fountains.</w:t>
      </w:r>
    </w:p>
    <w:p w14:paraId="4AD189C1" w14:textId="7C5B2AFD" w:rsidR="00844C99" w:rsidRPr="005559DD" w:rsidRDefault="00844C99" w:rsidP="000C16EE">
      <w:pPr>
        <w:keepNext/>
        <w:keepLines/>
        <w:numPr>
          <w:ilvl w:val="2"/>
          <w:numId w:val="0"/>
        </w:numPr>
        <w:tabs>
          <w:tab w:val="left" w:pos="1134"/>
        </w:tabs>
        <w:spacing w:before="480" w:after="0" w:line="360" w:lineRule="auto"/>
        <w:ind w:left="357" w:hanging="357"/>
        <w:outlineLvl w:val="2"/>
        <w:rPr>
          <w:rFonts w:ascii="Calibri" w:eastAsia="MS Gothic" w:hAnsi="Calibri" w:cs="Times New Roman"/>
          <w:color w:val="auto"/>
          <w:sz w:val="22"/>
          <w:u w:val="single"/>
        </w:rPr>
      </w:pPr>
      <w:bookmarkStart w:id="18" w:name="_Toc212569781"/>
      <w:r w:rsidRPr="005559DD">
        <w:rPr>
          <w:rFonts w:ascii="Calibri" w:eastAsia="MS Gothic" w:hAnsi="Calibri" w:cs="Times New Roman"/>
          <w:color w:val="auto"/>
          <w:sz w:val="22"/>
          <w:u w:val="single"/>
        </w:rPr>
        <w:t xml:space="preserve">Places of </w:t>
      </w:r>
      <w:r w:rsidR="005E7CC8" w:rsidRPr="005559DD">
        <w:rPr>
          <w:rFonts w:ascii="Calibri" w:eastAsia="MS Gothic" w:hAnsi="Calibri" w:cs="Times New Roman"/>
          <w:color w:val="auto"/>
          <w:sz w:val="22"/>
          <w:u w:val="single"/>
        </w:rPr>
        <w:t>assembly, entertainment and recreation</w:t>
      </w:r>
      <w:bookmarkEnd w:id="18"/>
    </w:p>
    <w:p w14:paraId="639E8987" w14:textId="6104B983"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Canadian standard: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the highest for places of recreation.</w:t>
      </w:r>
    </w:p>
    <w:p w14:paraId="540EE6C5" w14:textId="2CF02004"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ra</w:t>
      </w:r>
      <w:r w:rsidR="004B3CE2" w:rsidRPr="005559DD">
        <w:rPr>
          <w:rFonts w:ascii="Calibri" w:eastAsia="MS Mincho" w:hAnsi="Calibri" w:cs="Calibri"/>
          <w:color w:val="auto"/>
          <w:sz w:val="22"/>
        </w:rPr>
        <w:t>t</w:t>
      </w:r>
      <w:r w:rsidRPr="005559DD">
        <w:rPr>
          <w:rFonts w:ascii="Calibri" w:eastAsia="MS Mincho" w:hAnsi="Calibri" w:cs="Calibri"/>
          <w:color w:val="auto"/>
          <w:sz w:val="22"/>
        </w:rPr>
        <w:t>ed the highest for places of assembly and entertainment.</w:t>
      </w:r>
    </w:p>
    <w:p w14:paraId="5AB7EE87"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UK standard: has additional requirements for places of assembly and entertainment.</w:t>
      </w:r>
    </w:p>
    <w:p w14:paraId="5D469E83"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lastRenderedPageBreak/>
        <w:t>The US and Australian standards have supplementary coverage of places of recreation.</w:t>
      </w:r>
    </w:p>
    <w:p w14:paraId="793BEFE3" w14:textId="128A2E72" w:rsidR="00844C99" w:rsidRPr="005559DD" w:rsidRDefault="00844C99" w:rsidP="00711454">
      <w:pPr>
        <w:keepNext/>
        <w:keepLines/>
        <w:numPr>
          <w:ilvl w:val="2"/>
          <w:numId w:val="0"/>
        </w:numPr>
        <w:tabs>
          <w:tab w:val="left" w:pos="1134"/>
        </w:tabs>
        <w:spacing w:before="480" w:after="0" w:line="360" w:lineRule="auto"/>
        <w:ind w:left="357" w:hanging="357"/>
        <w:outlineLvl w:val="2"/>
        <w:rPr>
          <w:rFonts w:ascii="Calibri" w:eastAsia="MS Gothic" w:hAnsi="Calibri" w:cs="Times New Roman"/>
          <w:color w:val="auto"/>
          <w:sz w:val="22"/>
          <w:u w:val="single"/>
        </w:rPr>
      </w:pPr>
      <w:bookmarkStart w:id="19" w:name="_Toc212569782"/>
      <w:r w:rsidRPr="005559DD">
        <w:rPr>
          <w:rFonts w:ascii="Calibri" w:eastAsia="MS Gothic" w:hAnsi="Calibri" w:cs="Times New Roman"/>
          <w:color w:val="auto"/>
          <w:sz w:val="22"/>
          <w:u w:val="single"/>
        </w:rPr>
        <w:t xml:space="preserve">Accessible </w:t>
      </w:r>
      <w:r w:rsidR="005E7CC8" w:rsidRPr="005559DD">
        <w:rPr>
          <w:rFonts w:ascii="Calibri" w:eastAsia="MS Gothic" w:hAnsi="Calibri" w:cs="Times New Roman"/>
          <w:color w:val="auto"/>
          <w:sz w:val="22"/>
          <w:u w:val="single"/>
        </w:rPr>
        <w:t>outdoor public areas</w:t>
      </w:r>
      <w:bookmarkEnd w:id="19"/>
    </w:p>
    <w:p w14:paraId="0B6ED1AD"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Canadian standard: Provides additional coverage of outdoor hazards, kerb ramps, street furniture and facilities, pedestrian crossings, and transit facilities.</w:t>
      </w:r>
    </w:p>
    <w:p w14:paraId="356E9737"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has the highest rated requirements for outdoor hazards, street furniture and facilities, landscaping, pedestrian crossings, and transit facilities.</w:t>
      </w:r>
    </w:p>
    <w:p w14:paraId="6EABE9C0"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NZS 4121:2001: provides the best coverage of kerb design and kerb ramps.</w:t>
      </w:r>
    </w:p>
    <w:p w14:paraId="5433639C" w14:textId="77777777" w:rsidR="00844C99" w:rsidRPr="005559DD" w:rsidRDefault="00844C99" w:rsidP="00711454">
      <w:pPr>
        <w:keepNext/>
        <w:keepLines/>
        <w:numPr>
          <w:ilvl w:val="2"/>
          <w:numId w:val="0"/>
        </w:numPr>
        <w:tabs>
          <w:tab w:val="left" w:pos="1134"/>
        </w:tabs>
        <w:spacing w:before="480" w:after="0" w:line="360" w:lineRule="auto"/>
        <w:ind w:left="357" w:hanging="357"/>
        <w:outlineLvl w:val="2"/>
        <w:rPr>
          <w:rFonts w:ascii="Calibri" w:eastAsia="MS Gothic" w:hAnsi="Calibri" w:cs="Times New Roman"/>
          <w:color w:val="auto"/>
          <w:sz w:val="22"/>
          <w:u w:val="single"/>
        </w:rPr>
      </w:pPr>
      <w:bookmarkStart w:id="20" w:name="_Toc212569783"/>
      <w:r w:rsidRPr="005559DD">
        <w:rPr>
          <w:rFonts w:ascii="Calibri" w:eastAsia="MS Gothic" w:hAnsi="Calibri" w:cs="Times New Roman"/>
          <w:color w:val="auto"/>
          <w:sz w:val="22"/>
          <w:u w:val="single"/>
        </w:rPr>
        <w:t>Accommodation</w:t>
      </w:r>
      <w:bookmarkEnd w:id="20"/>
    </w:p>
    <w:p w14:paraId="5281310F"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EU standard: In-depth requirements for accommodation arrival and departure. Provides additional recommendations for accessible accommodation.</w:t>
      </w:r>
    </w:p>
    <w:p w14:paraId="4144010A"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NZS 4121:2001: Has the best coverage of the application of the standard, access, and accessible accommodation. Supplementary information regarding arrival and departure.</w:t>
      </w:r>
    </w:p>
    <w:p w14:paraId="68E8A862"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The UK standard: Provides additional coverage of accessible accommodation.</w:t>
      </w:r>
    </w:p>
    <w:p w14:paraId="4090A9F1" w14:textId="6FD2818B" w:rsidR="00844C99" w:rsidRPr="005559DD" w:rsidRDefault="00844C99" w:rsidP="00711454">
      <w:pPr>
        <w:keepNext/>
        <w:keepLines/>
        <w:numPr>
          <w:ilvl w:val="2"/>
          <w:numId w:val="0"/>
        </w:numPr>
        <w:tabs>
          <w:tab w:val="left" w:pos="1134"/>
        </w:tabs>
        <w:spacing w:before="480" w:after="0" w:line="360" w:lineRule="auto"/>
        <w:ind w:left="357" w:hanging="357"/>
        <w:outlineLvl w:val="2"/>
        <w:rPr>
          <w:rFonts w:ascii="Calibri" w:eastAsia="MS Gothic" w:hAnsi="Calibri" w:cs="Times New Roman"/>
          <w:color w:val="auto"/>
          <w:sz w:val="22"/>
          <w:u w:val="single"/>
        </w:rPr>
      </w:pPr>
      <w:bookmarkStart w:id="21" w:name="_Toc212569784"/>
      <w:r w:rsidRPr="005559DD">
        <w:rPr>
          <w:rFonts w:ascii="Calibri" w:eastAsia="MS Gothic" w:hAnsi="Calibri" w:cs="Times New Roman"/>
          <w:color w:val="auto"/>
          <w:sz w:val="22"/>
          <w:u w:val="single"/>
        </w:rPr>
        <w:t>Topics not covered in NZS 4121:2001</w:t>
      </w:r>
    </w:p>
    <w:p w14:paraId="08D46370"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Ways to reduce functional and cognitive barriers. The Canadian standard is the only one covering that. It also provides additional information for acoustics, air quality and security access.</w:t>
      </w:r>
    </w:p>
    <w:p w14:paraId="56F76DD8" w14:textId="77777777" w:rsidR="00844C99" w:rsidRPr="005559DD" w:rsidRDefault="00844C99"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Acoustics and air quality. The European standard provides detailed coverage of acoustics and air quality. It also provides additional information for security access.</w:t>
      </w:r>
    </w:p>
    <w:p w14:paraId="6C573D02" w14:textId="08D0A7B9" w:rsidR="00A67642" w:rsidRPr="005559DD" w:rsidRDefault="00844C99" w:rsidP="002B39CB">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Children and adolescents. The Australian standard includes additional requirements for children and adolescents.</w:t>
      </w:r>
    </w:p>
    <w:p w14:paraId="76F29C9C" w14:textId="047180EB" w:rsidR="00844C99" w:rsidRPr="005559DD" w:rsidRDefault="009C57A4" w:rsidP="002B39CB">
      <w:pPr>
        <w:pStyle w:val="Heading2"/>
      </w:pPr>
      <w:bookmarkStart w:id="22" w:name="_Toc227156478"/>
      <w:r w:rsidRPr="005559DD">
        <w:t>Environmental scan r</w:t>
      </w:r>
      <w:r w:rsidR="00844C99" w:rsidRPr="005559DD">
        <w:t>ecommendations</w:t>
      </w:r>
      <w:bookmarkEnd w:id="22"/>
      <w:r w:rsidR="00844C99" w:rsidRPr="005559DD">
        <w:t xml:space="preserve"> </w:t>
      </w:r>
    </w:p>
    <w:p w14:paraId="546F0D2C" w14:textId="7B58F2E5" w:rsidR="00844C99" w:rsidRPr="005559DD" w:rsidRDefault="00B54DC2"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Overseas a</w:t>
      </w:r>
      <w:r w:rsidR="00844C99" w:rsidRPr="005559DD">
        <w:rPr>
          <w:rFonts w:ascii="Calibri" w:eastAsia="MS Mincho" w:hAnsi="Calibri" w:cs="Calibri"/>
          <w:color w:val="auto"/>
          <w:sz w:val="22"/>
        </w:rPr>
        <w:t xml:space="preserve">ccessibility standards </w:t>
      </w:r>
      <w:r w:rsidRPr="005559DD">
        <w:rPr>
          <w:rFonts w:ascii="Calibri" w:eastAsia="MS Mincho" w:hAnsi="Calibri" w:cs="Calibri"/>
          <w:color w:val="auto"/>
          <w:sz w:val="22"/>
        </w:rPr>
        <w:t xml:space="preserve">considered </w:t>
      </w:r>
      <w:r w:rsidR="00844C99" w:rsidRPr="005559DD">
        <w:rPr>
          <w:rFonts w:ascii="Calibri" w:eastAsia="MS Mincho" w:hAnsi="Calibri" w:cs="Calibri"/>
          <w:color w:val="auto"/>
          <w:sz w:val="22"/>
        </w:rPr>
        <w:t xml:space="preserve">are broader, more detailed, and better aligned with a modern definition of disability. </w:t>
      </w:r>
      <w:r w:rsidR="009604CE" w:rsidRPr="005559DD">
        <w:rPr>
          <w:rFonts w:ascii="Calibri" w:eastAsia="MS Mincho" w:hAnsi="Calibri" w:cs="Calibri"/>
          <w:color w:val="auto"/>
          <w:sz w:val="22"/>
        </w:rPr>
        <w:t>I</w:t>
      </w:r>
      <w:r w:rsidR="006431FE" w:rsidRPr="005559DD">
        <w:rPr>
          <w:rFonts w:ascii="Calibri" w:eastAsia="MS Mincho" w:hAnsi="Calibri" w:cs="Calibri"/>
          <w:color w:val="auto"/>
          <w:sz w:val="22"/>
        </w:rPr>
        <w:t xml:space="preserve">f </w:t>
      </w:r>
      <w:r w:rsidR="00844C99" w:rsidRPr="005559DD">
        <w:rPr>
          <w:rFonts w:ascii="Calibri" w:eastAsia="MS Mincho" w:hAnsi="Calibri" w:cs="Calibri"/>
          <w:color w:val="auto"/>
          <w:sz w:val="22"/>
        </w:rPr>
        <w:t>NZS 4121:2001 is revised</w:t>
      </w:r>
      <w:r w:rsidR="00E67A9F" w:rsidRPr="005559DD">
        <w:rPr>
          <w:rFonts w:ascii="Calibri" w:eastAsia="MS Mincho" w:hAnsi="Calibri" w:cs="Calibri"/>
          <w:color w:val="auto"/>
          <w:sz w:val="22"/>
        </w:rPr>
        <w:t>,</w:t>
      </w:r>
      <w:r w:rsidR="00844C99" w:rsidRPr="005559DD">
        <w:rPr>
          <w:rFonts w:ascii="Calibri" w:eastAsia="MS Mincho" w:hAnsi="Calibri" w:cs="Calibri"/>
          <w:color w:val="auto"/>
          <w:sz w:val="22"/>
        </w:rPr>
        <w:t xml:space="preserve"> it should:</w:t>
      </w:r>
    </w:p>
    <w:p w14:paraId="43593E9B" w14:textId="6CF2D9DD" w:rsidR="00844C99" w:rsidRPr="005559DD" w:rsidRDefault="00057BA7"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e</w:t>
      </w:r>
      <w:r w:rsidR="00844C99" w:rsidRPr="005559DD">
        <w:rPr>
          <w:rFonts w:ascii="Calibri" w:eastAsia="MS Mincho" w:hAnsi="Calibri" w:cs="Calibri"/>
          <w:color w:val="auto"/>
          <w:sz w:val="22"/>
        </w:rPr>
        <w:t>xtend coverage to emergency evacuation, sensory environments, cultural considerations, and accessibility for a wider range of disabilities</w:t>
      </w:r>
    </w:p>
    <w:p w14:paraId="51C3902E" w14:textId="50D53469" w:rsidR="00844C99" w:rsidRPr="005559DD" w:rsidRDefault="00057BA7"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d</w:t>
      </w:r>
      <w:r w:rsidR="00844C99" w:rsidRPr="005559DD">
        <w:rPr>
          <w:rFonts w:ascii="Calibri" w:eastAsia="MS Mincho" w:hAnsi="Calibri" w:cs="Calibri"/>
          <w:color w:val="auto"/>
          <w:sz w:val="22"/>
        </w:rPr>
        <w:t>raw on the Canadian and the EU standards as primary benchmarks, while also integrating selected provisions from the UK, United States and Australia</w:t>
      </w:r>
    </w:p>
    <w:p w14:paraId="567F26AD" w14:textId="1E487830" w:rsidR="00844C99" w:rsidRPr="005559DD" w:rsidRDefault="00057BA7"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incorporate inclusive language and rationale for provisions</w:t>
      </w:r>
    </w:p>
    <w:p w14:paraId="66FB9F40" w14:textId="182A40B7" w:rsidR="00844C99" w:rsidRPr="005559DD" w:rsidRDefault="00057BA7"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r</w:t>
      </w:r>
      <w:r w:rsidR="00844C99" w:rsidRPr="005559DD">
        <w:rPr>
          <w:rFonts w:ascii="Calibri" w:eastAsia="MS Mincho" w:hAnsi="Calibri" w:cs="Calibri"/>
          <w:color w:val="auto"/>
          <w:sz w:val="22"/>
        </w:rPr>
        <w:t>eference complementary standards such as AS/NZS 1428.4.1:2009 (tactile indicators).</w:t>
      </w:r>
    </w:p>
    <w:p w14:paraId="51DA5892" w14:textId="77777777" w:rsidR="000C16EE" w:rsidRPr="005559DD" w:rsidRDefault="000C16EE" w:rsidP="00D22F22">
      <w:pPr>
        <w:spacing w:after="0" w:line="276" w:lineRule="auto"/>
        <w:rPr>
          <w:rFonts w:ascii="Calibri" w:eastAsia="MS Mincho" w:hAnsi="Calibri" w:cs="Calibri"/>
          <w:color w:val="auto"/>
          <w:sz w:val="22"/>
        </w:rPr>
      </w:pPr>
    </w:p>
    <w:p w14:paraId="5E19435F" w14:textId="5D378D52"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 xml:space="preserve">New Zealand could also adopt an overseas </w:t>
      </w:r>
      <w:r w:rsidR="002762AC" w:rsidRPr="005559DD">
        <w:rPr>
          <w:rFonts w:ascii="Calibri" w:eastAsia="MS Mincho" w:hAnsi="Calibri" w:cs="Calibri"/>
          <w:color w:val="auto"/>
          <w:sz w:val="22"/>
        </w:rPr>
        <w:t>standard and</w:t>
      </w:r>
      <w:r w:rsidRPr="005559DD">
        <w:rPr>
          <w:rFonts w:ascii="Calibri" w:eastAsia="MS Mincho" w:hAnsi="Calibri" w:cs="Calibri"/>
          <w:color w:val="auto"/>
          <w:sz w:val="22"/>
        </w:rPr>
        <w:t xml:space="preserve"> replace NZS 4121:2001</w:t>
      </w:r>
      <w:r w:rsidR="002762AC" w:rsidRPr="005559DD">
        <w:rPr>
          <w:rFonts w:ascii="Calibri" w:eastAsia="MS Mincho" w:hAnsi="Calibri" w:cs="Calibri"/>
          <w:color w:val="auto"/>
          <w:sz w:val="22"/>
        </w:rPr>
        <w:t xml:space="preserve"> with it</w:t>
      </w:r>
      <w:r w:rsidRPr="005559DD">
        <w:rPr>
          <w:rFonts w:ascii="Calibri" w:eastAsia="MS Mincho" w:hAnsi="Calibri" w:cs="Calibri"/>
          <w:color w:val="auto"/>
          <w:sz w:val="22"/>
        </w:rPr>
        <w:t xml:space="preserve">. If this is considered an option, the Canadian CSA/ASC B651:2023 is recommended as it is comprehensive and well detailed. CSA/ASC B651:2023 contains requirements for making buildings and other facilities accessible to persons with a range of not only physical but also sensory and cognitive </w:t>
      </w:r>
      <w:r w:rsidRPr="005559DD">
        <w:rPr>
          <w:rFonts w:ascii="Calibri" w:eastAsia="MS Mincho" w:hAnsi="Calibri" w:cs="Calibri"/>
          <w:color w:val="auto"/>
          <w:sz w:val="22"/>
        </w:rPr>
        <w:lastRenderedPageBreak/>
        <w:t>disabilities</w:t>
      </w:r>
      <w:r w:rsidR="00483966" w:rsidRPr="005559DD">
        <w:rPr>
          <w:rFonts w:ascii="Calibri" w:eastAsia="MS Mincho" w:hAnsi="Calibri" w:cs="Calibri"/>
          <w:color w:val="auto"/>
          <w:sz w:val="22"/>
        </w:rPr>
        <w:t>,</w:t>
      </w:r>
      <w:r w:rsidRPr="005559DD">
        <w:rPr>
          <w:rFonts w:ascii="Calibri" w:eastAsia="MS Mincho" w:hAnsi="Calibri" w:cs="Calibri"/>
          <w:color w:val="auto"/>
          <w:sz w:val="22"/>
        </w:rPr>
        <w:t xml:space="preserve"> including but not limited to</w:t>
      </w:r>
      <w:r w:rsidR="00E964CA" w:rsidRPr="005559DD">
        <w:rPr>
          <w:rFonts w:ascii="Calibri" w:eastAsia="MS Mincho" w:hAnsi="Calibri" w:cs="Calibri"/>
          <w:color w:val="auto"/>
          <w:sz w:val="22"/>
        </w:rPr>
        <w:t>;</w:t>
      </w:r>
      <w:r w:rsidRPr="005559DD">
        <w:rPr>
          <w:rFonts w:ascii="Calibri" w:eastAsia="MS Mincho" w:hAnsi="Calibri" w:cs="Calibri"/>
          <w:color w:val="auto"/>
          <w:sz w:val="22"/>
        </w:rPr>
        <w:t xml:space="preserve"> mobility impairments, reaching or manipulation disabilities, hearing and visual impairments.</w:t>
      </w:r>
      <w:r w:rsidR="00296634" w:rsidRPr="005559DD">
        <w:rPr>
          <w:rFonts w:ascii="Calibri" w:eastAsia="MS Mincho" w:hAnsi="Calibri" w:cs="Calibri"/>
          <w:color w:val="auto"/>
          <w:sz w:val="22"/>
        </w:rPr>
        <w:t xml:space="preserve"> </w:t>
      </w:r>
    </w:p>
    <w:p w14:paraId="0358CFA2" w14:textId="3735725C"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 xml:space="preserve">Unique aspects of the EU standard (EN 17210:2021) </w:t>
      </w:r>
      <w:r w:rsidR="00DF2346" w:rsidRPr="005559DD">
        <w:rPr>
          <w:rFonts w:ascii="Calibri" w:eastAsia="MS Mincho" w:hAnsi="Calibri" w:cs="Calibri"/>
          <w:color w:val="auto"/>
          <w:sz w:val="22"/>
        </w:rPr>
        <w:t>c</w:t>
      </w:r>
      <w:r w:rsidRPr="005559DD">
        <w:rPr>
          <w:rFonts w:ascii="Calibri" w:eastAsia="MS Mincho" w:hAnsi="Calibri" w:cs="Calibri"/>
          <w:color w:val="auto"/>
          <w:sz w:val="22"/>
        </w:rPr>
        <w:t xml:space="preserve">ould also be incorporated into this new standard. Additionally, selected provisions from the existing New Zealand and Australian standards which are not covered in the Canadian and EU standards should also be integrated. </w:t>
      </w:r>
    </w:p>
    <w:p w14:paraId="0B4C8B9C" w14:textId="77777777" w:rsidR="002B39CB" w:rsidRPr="005559DD" w:rsidRDefault="002B39CB" w:rsidP="000C16EE">
      <w:pPr>
        <w:pStyle w:val="Heading2"/>
        <w:rPr>
          <w:rFonts w:eastAsia="MS Gothic"/>
        </w:rPr>
      </w:pPr>
    </w:p>
    <w:p w14:paraId="0122216B" w14:textId="47BF271E" w:rsidR="00844C99" w:rsidRPr="005559DD" w:rsidRDefault="00A67642" w:rsidP="000C16EE">
      <w:pPr>
        <w:pStyle w:val="Heading2"/>
        <w:rPr>
          <w:rFonts w:eastAsia="MS Gothic"/>
        </w:rPr>
      </w:pPr>
      <w:bookmarkStart w:id="23" w:name="_Toc227156479"/>
      <w:r w:rsidRPr="005559DD">
        <w:rPr>
          <w:rFonts w:eastAsia="MS Gothic"/>
        </w:rPr>
        <w:t>S</w:t>
      </w:r>
      <w:r w:rsidR="00844C99" w:rsidRPr="005559DD">
        <w:rPr>
          <w:rFonts w:eastAsia="MS Gothic"/>
        </w:rPr>
        <w:t>teps</w:t>
      </w:r>
      <w:bookmarkEnd w:id="21"/>
      <w:r w:rsidR="00844C99" w:rsidRPr="005559DD">
        <w:rPr>
          <w:rFonts w:eastAsia="MS Gothic"/>
        </w:rPr>
        <w:t xml:space="preserve"> following the environmental scan</w:t>
      </w:r>
      <w:bookmarkEnd w:id="23"/>
    </w:p>
    <w:p w14:paraId="1568B5C1" w14:textId="77777777" w:rsidR="00844C99" w:rsidRPr="005559DD" w:rsidRDefault="00844C99" w:rsidP="00844C99">
      <w:pPr>
        <w:spacing w:after="200" w:line="276" w:lineRule="auto"/>
        <w:rPr>
          <w:rFonts w:ascii="Calibri" w:eastAsia="MS Mincho" w:hAnsi="Calibri" w:cs="Calibri"/>
          <w:color w:val="auto"/>
          <w:sz w:val="22"/>
        </w:rPr>
      </w:pPr>
      <w:r w:rsidRPr="005559DD">
        <w:rPr>
          <w:rFonts w:ascii="Calibri" w:eastAsia="MS Mincho" w:hAnsi="Calibri" w:cs="Calibri"/>
          <w:color w:val="auto"/>
          <w:sz w:val="22"/>
        </w:rPr>
        <w:t>The environmental scan was the first stage in the revision process. The next phases include:</w:t>
      </w:r>
    </w:p>
    <w:p w14:paraId="6D116336" w14:textId="7A28594F" w:rsidR="00844C99" w:rsidRPr="005559DD" w:rsidRDefault="00057BA7"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stakeholder scoping workshops to consult with the disability sector, design professionals, and other stakeholders</w:t>
      </w:r>
    </w:p>
    <w:p w14:paraId="4F17F980" w14:textId="78F72F0C" w:rsidR="00844C99" w:rsidRPr="005559DD" w:rsidRDefault="00057BA7"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identification </w:t>
      </w:r>
      <w:r w:rsidR="00844C99" w:rsidRPr="005559DD">
        <w:rPr>
          <w:rFonts w:ascii="Calibri" w:eastAsia="MS Mincho" w:hAnsi="Calibri" w:cs="Calibri"/>
          <w:color w:val="auto"/>
          <w:sz w:val="22"/>
        </w:rPr>
        <w:t>of priority areas for revision of NZS 4121:2001</w:t>
      </w:r>
    </w:p>
    <w:p w14:paraId="65CB94DD" w14:textId="3DD4C93C" w:rsidR="00844C99" w:rsidRPr="005559DD" w:rsidRDefault="00057BA7" w:rsidP="00EB678A">
      <w:pPr>
        <w:numPr>
          <w:ilvl w:val="0"/>
          <w:numId w:val="10"/>
        </w:numPr>
        <w:spacing w:after="200" w:line="276" w:lineRule="auto"/>
        <w:contextualSpacing/>
        <w:rPr>
          <w:rFonts w:ascii="Calibri" w:eastAsia="MS Mincho" w:hAnsi="Calibri" w:cs="Calibri"/>
          <w:color w:val="auto"/>
          <w:sz w:val="22"/>
        </w:rPr>
      </w:pPr>
      <w:r w:rsidRPr="005559DD">
        <w:rPr>
          <w:rFonts w:ascii="Calibri" w:eastAsia="MS Mincho" w:hAnsi="Calibri" w:cs="Calibri"/>
          <w:color w:val="auto"/>
          <w:sz w:val="22"/>
        </w:rPr>
        <w:t xml:space="preserve">development </w:t>
      </w:r>
      <w:r w:rsidR="00844C99" w:rsidRPr="005559DD">
        <w:rPr>
          <w:rFonts w:ascii="Calibri" w:eastAsia="MS Mincho" w:hAnsi="Calibri" w:cs="Calibri"/>
          <w:color w:val="auto"/>
          <w:sz w:val="22"/>
        </w:rPr>
        <w:t>of a structured process for updating or replacing NZS 4121:2001 to ensure standards are future-proofed, internationally aligned, and culturally appropriate for Aotearoa New Zealand.</w:t>
      </w:r>
      <w:r w:rsidR="00844C99" w:rsidRPr="005559DD">
        <w:rPr>
          <w:rFonts w:ascii="Calibri" w:eastAsia="MS Mincho" w:hAnsi="Calibri" w:cs="Calibri"/>
          <w:color w:val="auto"/>
          <w:sz w:val="22"/>
        </w:rPr>
        <w:br w:type="page"/>
      </w:r>
    </w:p>
    <w:p w14:paraId="4E1ADBAB" w14:textId="77777777" w:rsidR="00844C99" w:rsidRPr="00844C99" w:rsidRDefault="00844C99" w:rsidP="00420AB6">
      <w:pPr>
        <w:pStyle w:val="Heading1"/>
        <w:rPr>
          <w:rFonts w:eastAsia="MS Gothic"/>
        </w:rPr>
      </w:pPr>
      <w:bookmarkStart w:id="24" w:name="_Toc227156480"/>
      <w:r w:rsidRPr="00844C99">
        <w:rPr>
          <w:rFonts w:eastAsia="MS Gothic"/>
        </w:rPr>
        <w:lastRenderedPageBreak/>
        <w:t>Part 2. Scoping exercise</w:t>
      </w:r>
      <w:bookmarkEnd w:id="24"/>
    </w:p>
    <w:p w14:paraId="776A12D9" w14:textId="77777777" w:rsidR="00844C99" w:rsidRPr="00844C99" w:rsidRDefault="00844C99" w:rsidP="00844C99">
      <w:pPr>
        <w:spacing w:after="200" w:line="276" w:lineRule="auto"/>
        <w:contextualSpacing/>
        <w:rPr>
          <w:rFonts w:ascii="Calibri" w:eastAsia="MS Mincho" w:hAnsi="Calibri" w:cs="Calibri"/>
          <w:color w:val="auto"/>
          <w:sz w:val="22"/>
        </w:rPr>
      </w:pPr>
    </w:p>
    <w:p w14:paraId="3A8BCDBE" w14:textId="04A55A09" w:rsidR="00844C99" w:rsidRPr="00844C99" w:rsidRDefault="00844C99" w:rsidP="00844C99">
      <w:pPr>
        <w:spacing w:after="200" w:line="276" w:lineRule="auto"/>
        <w:contextualSpacing/>
        <w:rPr>
          <w:rFonts w:ascii="Calibri" w:eastAsia="MS Mincho" w:hAnsi="Calibri" w:cs="Calibri"/>
          <w:color w:val="auto"/>
          <w:sz w:val="22"/>
        </w:rPr>
      </w:pPr>
      <w:r w:rsidRPr="00844C99">
        <w:rPr>
          <w:rFonts w:ascii="Calibri" w:eastAsia="MS Mincho" w:hAnsi="Calibri" w:cs="Calibri"/>
          <w:color w:val="auto"/>
          <w:sz w:val="22"/>
        </w:rPr>
        <w:t xml:space="preserve">A scoping exercise is a standard </w:t>
      </w:r>
      <w:r w:rsidR="00CA5EFB" w:rsidRPr="00B54DC2">
        <w:rPr>
          <w:rFonts w:ascii="Calibri" w:eastAsia="MS Mincho" w:hAnsi="Calibri" w:cs="Calibri"/>
          <w:color w:val="auto"/>
          <w:sz w:val="22"/>
        </w:rPr>
        <w:t xml:space="preserve">service </w:t>
      </w:r>
      <w:r w:rsidRPr="00B54DC2">
        <w:rPr>
          <w:rFonts w:ascii="Calibri" w:eastAsia="MS Mincho" w:hAnsi="Calibri" w:cs="Calibri"/>
          <w:color w:val="auto"/>
          <w:sz w:val="22"/>
        </w:rPr>
        <w:t>o</w:t>
      </w:r>
      <w:r w:rsidRPr="00844C99">
        <w:rPr>
          <w:rFonts w:ascii="Calibri" w:eastAsia="MS Mincho" w:hAnsi="Calibri" w:cs="Calibri"/>
          <w:color w:val="auto"/>
          <w:sz w:val="22"/>
        </w:rPr>
        <w:t>ffering by Standards New Zealand which aims to determine an understanding of the fundamental issue/s (</w:t>
      </w:r>
      <w:r w:rsidR="00E67A9F">
        <w:rPr>
          <w:rFonts w:ascii="Calibri" w:eastAsia="MS Mincho" w:hAnsi="Calibri" w:cs="Calibri"/>
          <w:color w:val="auto"/>
          <w:sz w:val="22"/>
        </w:rPr>
        <w:t>for example,</w:t>
      </w:r>
      <w:r w:rsidRPr="00844C99">
        <w:rPr>
          <w:rFonts w:ascii="Calibri" w:eastAsia="MS Mincho" w:hAnsi="Calibri" w:cs="Calibri"/>
          <w:color w:val="auto"/>
          <w:sz w:val="22"/>
        </w:rPr>
        <w:t xml:space="preserve"> with an existing standard or a new standard to be developed) and determine options to address it. A scoping exercise is particularly useful for aged standards that have not been amended and/or revised for </w:t>
      </w:r>
      <w:r w:rsidR="006A387B">
        <w:rPr>
          <w:rFonts w:ascii="Calibri" w:eastAsia="MS Mincho" w:hAnsi="Calibri" w:cs="Calibri"/>
          <w:color w:val="auto"/>
          <w:sz w:val="22"/>
        </w:rPr>
        <w:t xml:space="preserve">more than </w:t>
      </w:r>
      <w:r w:rsidRPr="00844C99">
        <w:rPr>
          <w:rFonts w:ascii="Calibri" w:eastAsia="MS Mincho" w:hAnsi="Calibri" w:cs="Calibri"/>
          <w:color w:val="auto"/>
          <w:sz w:val="22"/>
        </w:rPr>
        <w:t>7</w:t>
      </w:r>
      <w:r w:rsidR="006A387B">
        <w:rPr>
          <w:rFonts w:ascii="Calibri" w:eastAsia="MS Mincho" w:hAnsi="Calibri" w:cs="Calibri"/>
          <w:color w:val="auto"/>
          <w:sz w:val="22"/>
        </w:rPr>
        <w:t xml:space="preserve"> to </w:t>
      </w:r>
      <w:r w:rsidRPr="00844C99">
        <w:rPr>
          <w:rFonts w:ascii="Calibri" w:eastAsia="MS Mincho" w:hAnsi="Calibri" w:cs="Calibri"/>
          <w:color w:val="auto"/>
          <w:sz w:val="22"/>
        </w:rPr>
        <w:t>10 years.</w:t>
      </w:r>
      <w:r w:rsidR="00296634">
        <w:rPr>
          <w:rFonts w:ascii="Calibri" w:eastAsia="MS Mincho" w:hAnsi="Calibri" w:cs="Calibri"/>
          <w:color w:val="auto"/>
          <w:sz w:val="22"/>
        </w:rPr>
        <w:t xml:space="preserve"> </w:t>
      </w:r>
      <w:r w:rsidRPr="00844C99">
        <w:rPr>
          <w:rFonts w:ascii="Calibri" w:eastAsia="MS Mincho" w:hAnsi="Calibri" w:cs="Calibri"/>
          <w:color w:val="auto"/>
          <w:sz w:val="22"/>
        </w:rPr>
        <w:t>Currency of such standards needs to be tested with relevant stakeholders to ensure that a relevant intervention is employed to modernise these standards.</w:t>
      </w:r>
    </w:p>
    <w:p w14:paraId="2060B2EA" w14:textId="77777777" w:rsidR="00844C99" w:rsidRPr="00844C99" w:rsidRDefault="00844C99" w:rsidP="00844C99">
      <w:pPr>
        <w:spacing w:after="200" w:line="276" w:lineRule="auto"/>
        <w:contextualSpacing/>
        <w:rPr>
          <w:rFonts w:ascii="Calibri" w:eastAsia="MS Mincho" w:hAnsi="Calibri" w:cs="Calibri"/>
          <w:color w:val="auto"/>
          <w:sz w:val="22"/>
        </w:rPr>
      </w:pPr>
    </w:p>
    <w:p w14:paraId="38BC7A06" w14:textId="02740EE0" w:rsidR="00844C99" w:rsidRPr="00844C99" w:rsidRDefault="00057BA7" w:rsidP="00844C99">
      <w:pPr>
        <w:spacing w:after="200" w:line="276" w:lineRule="auto"/>
        <w:contextualSpacing/>
        <w:rPr>
          <w:rFonts w:ascii="Calibri" w:eastAsia="MS Mincho" w:hAnsi="Calibri" w:cs="Calibri"/>
          <w:color w:val="auto"/>
          <w:sz w:val="22"/>
        </w:rPr>
      </w:pPr>
      <w:r>
        <w:rPr>
          <w:rFonts w:ascii="Calibri" w:eastAsia="MS Mincho" w:hAnsi="Calibri" w:cs="Calibri"/>
          <w:color w:val="auto"/>
          <w:sz w:val="22"/>
        </w:rPr>
        <w:t>The m</w:t>
      </w:r>
      <w:r w:rsidR="00844C99" w:rsidRPr="00844C99">
        <w:rPr>
          <w:rFonts w:ascii="Calibri" w:eastAsia="MS Mincho" w:hAnsi="Calibri" w:cs="Calibri"/>
          <w:color w:val="auto"/>
          <w:sz w:val="22"/>
        </w:rPr>
        <w:t>ain objectives of the NZS 4121 scoping exercise were</w:t>
      </w:r>
      <w:r>
        <w:rPr>
          <w:rFonts w:ascii="Calibri" w:eastAsia="MS Mincho" w:hAnsi="Calibri" w:cs="Calibri"/>
          <w:color w:val="auto"/>
          <w:sz w:val="22"/>
        </w:rPr>
        <w:t xml:space="preserve"> to</w:t>
      </w:r>
      <w:r w:rsidR="00844C99" w:rsidRPr="00844C99">
        <w:rPr>
          <w:rFonts w:ascii="Calibri" w:eastAsia="MS Mincho" w:hAnsi="Calibri" w:cs="Calibri"/>
          <w:color w:val="auto"/>
          <w:sz w:val="22"/>
        </w:rPr>
        <w:t>:</w:t>
      </w:r>
    </w:p>
    <w:p w14:paraId="31A208CE" w14:textId="02C0D6DC" w:rsidR="00844C99" w:rsidRPr="007E3F14" w:rsidRDefault="00844C99" w:rsidP="000F03A2">
      <w:pPr>
        <w:pStyle w:val="ListParagraph"/>
        <w:numPr>
          <w:ilvl w:val="0"/>
          <w:numId w:val="16"/>
        </w:numPr>
        <w:tabs>
          <w:tab w:val="num" w:pos="360"/>
        </w:tabs>
        <w:spacing w:after="200" w:line="276" w:lineRule="auto"/>
        <w:rPr>
          <w:rFonts w:ascii="Calibri" w:eastAsia="MS Mincho" w:hAnsi="Calibri" w:cs="Calibri"/>
          <w:color w:val="auto"/>
          <w:sz w:val="22"/>
        </w:rPr>
      </w:pPr>
      <w:r w:rsidRPr="007E3F14">
        <w:rPr>
          <w:rFonts w:ascii="Calibri" w:eastAsia="MS Mincho" w:hAnsi="Calibri" w:cs="Calibri"/>
          <w:color w:val="auto"/>
          <w:sz w:val="22"/>
        </w:rPr>
        <w:t xml:space="preserve">gather comprehensive feedback on NZS 4121:2001 ahead of a </w:t>
      </w:r>
      <w:r w:rsidR="00905F5A">
        <w:rPr>
          <w:rFonts w:ascii="Calibri" w:eastAsia="MS Mincho" w:hAnsi="Calibri" w:cs="Calibri"/>
          <w:color w:val="auto"/>
          <w:sz w:val="22"/>
        </w:rPr>
        <w:t>possible</w:t>
      </w:r>
      <w:r w:rsidR="00905F5A" w:rsidRPr="007E3F14">
        <w:rPr>
          <w:rFonts w:ascii="Calibri" w:eastAsia="MS Mincho" w:hAnsi="Calibri" w:cs="Calibri"/>
          <w:color w:val="auto"/>
          <w:sz w:val="22"/>
        </w:rPr>
        <w:t xml:space="preserve"> </w:t>
      </w:r>
      <w:r w:rsidRPr="007E3F14">
        <w:rPr>
          <w:rFonts w:ascii="Calibri" w:eastAsia="MS Mincho" w:hAnsi="Calibri" w:cs="Calibri"/>
          <w:color w:val="auto"/>
          <w:sz w:val="22"/>
        </w:rPr>
        <w:t>full revision</w:t>
      </w:r>
    </w:p>
    <w:p w14:paraId="30388B66" w14:textId="118A3244" w:rsidR="00844C99" w:rsidRPr="007E3F14" w:rsidRDefault="00844C99" w:rsidP="000F03A2">
      <w:pPr>
        <w:pStyle w:val="ListParagraph"/>
        <w:numPr>
          <w:ilvl w:val="0"/>
          <w:numId w:val="16"/>
        </w:numPr>
        <w:tabs>
          <w:tab w:val="num" w:pos="360"/>
        </w:tabs>
        <w:spacing w:after="200" w:line="276" w:lineRule="auto"/>
        <w:rPr>
          <w:rFonts w:ascii="Calibri" w:eastAsia="MS Mincho" w:hAnsi="Calibri" w:cs="Calibri"/>
          <w:color w:val="auto"/>
          <w:sz w:val="22"/>
        </w:rPr>
      </w:pPr>
      <w:r w:rsidRPr="007E3F14">
        <w:rPr>
          <w:rFonts w:ascii="Calibri" w:eastAsia="MS Mincho" w:hAnsi="Calibri" w:cs="Calibri"/>
          <w:color w:val="auto"/>
          <w:sz w:val="22"/>
        </w:rPr>
        <w:t>identify issues, gaps and limitations in the current standard</w:t>
      </w:r>
    </w:p>
    <w:p w14:paraId="04488341" w14:textId="7DB70662" w:rsidR="00844C99" w:rsidRPr="007E3F14" w:rsidRDefault="00844C99" w:rsidP="000F03A2">
      <w:pPr>
        <w:pStyle w:val="ListParagraph"/>
        <w:numPr>
          <w:ilvl w:val="0"/>
          <w:numId w:val="16"/>
        </w:numPr>
        <w:tabs>
          <w:tab w:val="num" w:pos="360"/>
        </w:tabs>
        <w:spacing w:after="200" w:line="276" w:lineRule="auto"/>
        <w:rPr>
          <w:rFonts w:ascii="Calibri" w:eastAsia="MS Mincho" w:hAnsi="Calibri" w:cs="Calibri"/>
          <w:color w:val="auto"/>
          <w:sz w:val="22"/>
        </w:rPr>
      </w:pPr>
      <w:r w:rsidRPr="007E3F14">
        <w:rPr>
          <w:rFonts w:ascii="Calibri" w:eastAsia="MS Mincho" w:hAnsi="Calibri" w:cs="Calibri"/>
          <w:color w:val="auto"/>
          <w:sz w:val="22"/>
        </w:rPr>
        <w:t>document potential solutions and recommendations for improvement</w:t>
      </w:r>
    </w:p>
    <w:p w14:paraId="6CDFF4C1" w14:textId="396B4C9D" w:rsidR="00844C99" w:rsidRPr="007E3F14" w:rsidRDefault="00844C99" w:rsidP="000F03A2">
      <w:pPr>
        <w:pStyle w:val="ListParagraph"/>
        <w:numPr>
          <w:ilvl w:val="0"/>
          <w:numId w:val="16"/>
        </w:numPr>
        <w:tabs>
          <w:tab w:val="num" w:pos="360"/>
        </w:tabs>
        <w:spacing w:after="200" w:line="276" w:lineRule="auto"/>
        <w:rPr>
          <w:rFonts w:ascii="Calibri" w:eastAsia="MS Mincho" w:hAnsi="Calibri" w:cs="Calibri"/>
          <w:color w:val="auto"/>
          <w:sz w:val="22"/>
        </w:rPr>
      </w:pPr>
      <w:r w:rsidRPr="007E3F14">
        <w:rPr>
          <w:rFonts w:ascii="Calibri" w:eastAsia="MS Mincho" w:hAnsi="Calibri" w:cs="Calibri"/>
          <w:color w:val="auto"/>
          <w:sz w:val="22"/>
        </w:rPr>
        <w:t xml:space="preserve">inform decisions on whether to revise </w:t>
      </w:r>
      <w:r w:rsidR="00057BA7">
        <w:rPr>
          <w:rFonts w:ascii="Calibri" w:eastAsia="MS Mincho" w:hAnsi="Calibri" w:cs="Calibri"/>
          <w:color w:val="auto"/>
          <w:sz w:val="22"/>
        </w:rPr>
        <w:t xml:space="preserve">or replace </w:t>
      </w:r>
      <w:r w:rsidRPr="007E3F14">
        <w:rPr>
          <w:rFonts w:ascii="Calibri" w:eastAsia="MS Mincho" w:hAnsi="Calibri" w:cs="Calibri"/>
          <w:color w:val="auto"/>
          <w:sz w:val="22"/>
        </w:rPr>
        <w:t>the existing NZS 4121:2001</w:t>
      </w:r>
      <w:r w:rsidR="00057BA7">
        <w:rPr>
          <w:rFonts w:ascii="Calibri" w:eastAsia="MS Mincho" w:hAnsi="Calibri" w:cs="Calibri"/>
          <w:color w:val="auto"/>
          <w:sz w:val="22"/>
        </w:rPr>
        <w:t xml:space="preserve"> </w:t>
      </w:r>
      <w:r w:rsidRPr="007E3F14">
        <w:rPr>
          <w:rFonts w:ascii="Calibri" w:eastAsia="MS Mincho" w:hAnsi="Calibri" w:cs="Calibri"/>
          <w:color w:val="auto"/>
          <w:sz w:val="22"/>
        </w:rPr>
        <w:t>or adopt an international base standard adapted to New Zealand context</w:t>
      </w:r>
    </w:p>
    <w:p w14:paraId="66BD8D64" w14:textId="77777777" w:rsidR="00844C99" w:rsidRPr="007E3F14" w:rsidRDefault="00844C99" w:rsidP="000F03A2">
      <w:pPr>
        <w:pStyle w:val="ListParagraph"/>
        <w:numPr>
          <w:ilvl w:val="0"/>
          <w:numId w:val="16"/>
        </w:numPr>
        <w:tabs>
          <w:tab w:val="num" w:pos="360"/>
        </w:tabs>
        <w:spacing w:after="200" w:line="276" w:lineRule="auto"/>
        <w:rPr>
          <w:rFonts w:ascii="Calibri" w:eastAsia="MS Mincho" w:hAnsi="Calibri" w:cs="Calibri"/>
          <w:color w:val="auto"/>
          <w:sz w:val="22"/>
        </w:rPr>
      </w:pPr>
      <w:r w:rsidRPr="007E3F14">
        <w:rPr>
          <w:rFonts w:ascii="Calibri" w:eastAsia="MS Mincho" w:hAnsi="Calibri" w:cs="Calibri"/>
          <w:color w:val="auto"/>
          <w:sz w:val="22"/>
        </w:rPr>
        <w:t>focus the discussion on matters relevant to the standard, while noting broader system issues for separate consideration.</w:t>
      </w:r>
    </w:p>
    <w:p w14:paraId="0560B410" w14:textId="5CAEC00D" w:rsidR="00844C99" w:rsidRPr="00844C99" w:rsidRDefault="00844C99" w:rsidP="00BD7B62">
      <w:pPr>
        <w:pStyle w:val="Heading2"/>
        <w:rPr>
          <w:rFonts w:eastAsia="MS Gothic"/>
        </w:rPr>
      </w:pPr>
      <w:bookmarkStart w:id="25" w:name="_Toc227156481"/>
      <w:r w:rsidRPr="00844C99">
        <w:rPr>
          <w:rFonts w:eastAsia="MS Gothic"/>
        </w:rPr>
        <w:t>Issues identified in workshops</w:t>
      </w:r>
      <w:bookmarkEnd w:id="25"/>
    </w:p>
    <w:p w14:paraId="45711812" w14:textId="70108B8E" w:rsidR="00F764F7" w:rsidRPr="00844C99" w:rsidRDefault="00844C99" w:rsidP="00F764F7">
      <w:pPr>
        <w:spacing w:after="200" w:line="276" w:lineRule="auto"/>
        <w:rPr>
          <w:rFonts w:ascii="Calibri" w:eastAsia="MS Mincho" w:hAnsi="Calibri" w:cs="Calibri"/>
          <w:color w:val="auto"/>
          <w:sz w:val="22"/>
        </w:rPr>
      </w:pPr>
      <w:r w:rsidRPr="00844C99">
        <w:rPr>
          <w:rFonts w:ascii="Calibri" w:eastAsia="MS Mincho" w:hAnsi="Calibri" w:cs="Calibri"/>
          <w:color w:val="auto"/>
          <w:sz w:val="22"/>
        </w:rPr>
        <w:t xml:space="preserve">The total of 89 issues were identified </w:t>
      </w:r>
      <w:r w:rsidR="005B32FA">
        <w:rPr>
          <w:rFonts w:ascii="Calibri" w:eastAsia="MS Mincho" w:hAnsi="Calibri" w:cs="Calibri"/>
          <w:color w:val="auto"/>
          <w:sz w:val="22"/>
        </w:rPr>
        <w:t>through the</w:t>
      </w:r>
      <w:r w:rsidRPr="00844C99">
        <w:rPr>
          <w:rFonts w:ascii="Calibri" w:eastAsia="MS Mincho" w:hAnsi="Calibri" w:cs="Calibri"/>
          <w:color w:val="auto"/>
          <w:sz w:val="22"/>
        </w:rPr>
        <w:t xml:space="preserve"> scoping workshops </w:t>
      </w:r>
      <w:r w:rsidR="00067EFF">
        <w:rPr>
          <w:rFonts w:ascii="Calibri" w:eastAsia="MS Mincho" w:hAnsi="Calibri" w:cs="Calibri"/>
          <w:color w:val="auto"/>
          <w:sz w:val="22"/>
        </w:rPr>
        <w:t>(</w:t>
      </w:r>
      <w:r w:rsidRPr="00844C99">
        <w:rPr>
          <w:rFonts w:ascii="Calibri" w:eastAsia="MS Mincho" w:hAnsi="Calibri" w:cs="Calibri"/>
          <w:color w:val="auto"/>
          <w:sz w:val="22"/>
        </w:rPr>
        <w:t>refer to Appendix A for the full list</w:t>
      </w:r>
      <w:r w:rsidR="00067EFF">
        <w:rPr>
          <w:rFonts w:ascii="Calibri" w:eastAsia="MS Mincho" w:hAnsi="Calibri" w:cs="Calibri"/>
          <w:color w:val="auto"/>
          <w:sz w:val="22"/>
        </w:rPr>
        <w:t>)</w:t>
      </w:r>
      <w:r w:rsidRPr="00844C99">
        <w:rPr>
          <w:rFonts w:ascii="Calibri" w:eastAsia="MS Mincho" w:hAnsi="Calibri" w:cs="Calibri"/>
          <w:color w:val="auto"/>
          <w:sz w:val="22"/>
        </w:rPr>
        <w:t xml:space="preserve">. </w:t>
      </w:r>
    </w:p>
    <w:p w14:paraId="69E882C1" w14:textId="142FAEC2" w:rsidR="00844C99" w:rsidRDefault="00F764F7" w:rsidP="00844C99">
      <w:pPr>
        <w:spacing w:after="200" w:line="276" w:lineRule="auto"/>
        <w:rPr>
          <w:rFonts w:ascii="Calibri" w:eastAsia="MS Mincho" w:hAnsi="Calibri" w:cs="Calibri"/>
          <w:color w:val="auto"/>
          <w:sz w:val="22"/>
        </w:rPr>
      </w:pPr>
      <w:r>
        <w:rPr>
          <w:rFonts w:ascii="Calibri" w:eastAsia="MS Mincho" w:hAnsi="Calibri" w:cs="Calibri"/>
          <w:color w:val="auto"/>
          <w:sz w:val="22"/>
        </w:rPr>
        <w:t>B</w:t>
      </w:r>
      <w:r w:rsidR="00067EFF">
        <w:rPr>
          <w:rFonts w:ascii="Calibri" w:eastAsia="MS Mincho" w:hAnsi="Calibri" w:cs="Calibri"/>
          <w:color w:val="auto"/>
          <w:sz w:val="22"/>
        </w:rPr>
        <w:t>roadly</w:t>
      </w:r>
      <w:r>
        <w:rPr>
          <w:rFonts w:ascii="Calibri" w:eastAsia="MS Mincho" w:hAnsi="Calibri" w:cs="Calibri"/>
          <w:color w:val="auto"/>
          <w:sz w:val="22"/>
        </w:rPr>
        <w:t>, issues identified in the scoping workshops fall</w:t>
      </w:r>
      <w:r w:rsidR="00067EFF">
        <w:rPr>
          <w:rFonts w:ascii="Calibri" w:eastAsia="MS Mincho" w:hAnsi="Calibri" w:cs="Calibri"/>
          <w:color w:val="auto"/>
          <w:sz w:val="22"/>
        </w:rPr>
        <w:t xml:space="preserve"> </w:t>
      </w:r>
      <w:r w:rsidR="00705105">
        <w:rPr>
          <w:rFonts w:ascii="Calibri" w:eastAsia="MS Mincho" w:hAnsi="Calibri" w:cs="Calibri"/>
          <w:color w:val="auto"/>
          <w:sz w:val="22"/>
        </w:rPr>
        <w:t xml:space="preserve">into three </w:t>
      </w:r>
      <w:r w:rsidR="00067EFF">
        <w:rPr>
          <w:rFonts w:ascii="Calibri" w:eastAsia="MS Mincho" w:hAnsi="Calibri" w:cs="Calibri"/>
          <w:color w:val="auto"/>
          <w:sz w:val="22"/>
        </w:rPr>
        <w:t xml:space="preserve">categories: </w:t>
      </w:r>
    </w:p>
    <w:p w14:paraId="0FB1B77B" w14:textId="5F9553D0" w:rsidR="00067EFF" w:rsidRPr="005B32FA" w:rsidRDefault="00057BA7" w:rsidP="000F03A2">
      <w:pPr>
        <w:pStyle w:val="ListParagraph"/>
        <w:numPr>
          <w:ilvl w:val="0"/>
          <w:numId w:val="34"/>
        </w:numPr>
        <w:spacing w:after="200" w:line="276" w:lineRule="auto"/>
        <w:rPr>
          <w:rFonts w:ascii="Calibri" w:eastAsia="MS Mincho" w:hAnsi="Calibri" w:cs="Calibri"/>
          <w:color w:val="auto"/>
          <w:sz w:val="22"/>
        </w:rPr>
      </w:pPr>
      <w:r>
        <w:rPr>
          <w:rFonts w:ascii="Calibri" w:eastAsia="MS Mincho" w:hAnsi="Calibri" w:cs="Calibri"/>
          <w:color w:val="auto"/>
          <w:sz w:val="22"/>
        </w:rPr>
        <w:t>i</w:t>
      </w:r>
      <w:r w:rsidRPr="005B32FA">
        <w:rPr>
          <w:rFonts w:ascii="Calibri" w:eastAsia="MS Mincho" w:hAnsi="Calibri" w:cs="Calibri"/>
          <w:color w:val="auto"/>
          <w:sz w:val="22"/>
        </w:rPr>
        <w:t xml:space="preserve">ssues </w:t>
      </w:r>
      <w:r w:rsidR="00067EFF" w:rsidRPr="005B32FA">
        <w:rPr>
          <w:rFonts w:ascii="Calibri" w:eastAsia="MS Mincho" w:hAnsi="Calibri" w:cs="Calibri"/>
          <w:color w:val="auto"/>
          <w:sz w:val="22"/>
        </w:rPr>
        <w:t>with the standard</w:t>
      </w:r>
      <w:r w:rsidR="00705105">
        <w:rPr>
          <w:rFonts w:ascii="Calibri" w:eastAsia="MS Mincho" w:hAnsi="Calibri" w:cs="Calibri"/>
          <w:color w:val="auto"/>
          <w:sz w:val="22"/>
        </w:rPr>
        <w:t>: matters</w:t>
      </w:r>
      <w:r w:rsidR="00067EFF" w:rsidRPr="005B32FA">
        <w:rPr>
          <w:rFonts w:ascii="Calibri" w:eastAsia="MS Mincho" w:hAnsi="Calibri" w:cs="Calibri"/>
          <w:color w:val="auto"/>
          <w:sz w:val="22"/>
        </w:rPr>
        <w:t xml:space="preserve"> that can be addressed </w:t>
      </w:r>
      <w:r w:rsidR="00705105">
        <w:rPr>
          <w:rFonts w:ascii="Calibri" w:eastAsia="MS Mincho" w:hAnsi="Calibri" w:cs="Calibri"/>
          <w:color w:val="auto"/>
          <w:sz w:val="22"/>
        </w:rPr>
        <w:t xml:space="preserve">through </w:t>
      </w:r>
      <w:r w:rsidR="00067EFF" w:rsidRPr="005B32FA">
        <w:rPr>
          <w:rFonts w:ascii="Calibri" w:eastAsia="MS Mincho" w:hAnsi="Calibri" w:cs="Calibri"/>
          <w:color w:val="auto"/>
          <w:sz w:val="22"/>
        </w:rPr>
        <w:t>a revision of NZS 4121:2001</w:t>
      </w:r>
    </w:p>
    <w:p w14:paraId="3BDF48D7" w14:textId="3DD85500" w:rsidR="00067EFF" w:rsidRPr="005B32FA" w:rsidRDefault="00057BA7" w:rsidP="000F03A2">
      <w:pPr>
        <w:pStyle w:val="ListParagraph"/>
        <w:numPr>
          <w:ilvl w:val="0"/>
          <w:numId w:val="34"/>
        </w:numPr>
        <w:spacing w:after="200" w:line="276" w:lineRule="auto"/>
        <w:rPr>
          <w:rFonts w:ascii="Calibri" w:eastAsia="MS Mincho" w:hAnsi="Calibri" w:cs="Calibri"/>
          <w:color w:val="auto"/>
          <w:sz w:val="22"/>
        </w:rPr>
      </w:pPr>
      <w:r>
        <w:rPr>
          <w:rFonts w:ascii="Calibri" w:eastAsia="MS Mincho" w:hAnsi="Calibri" w:cs="Calibri"/>
          <w:color w:val="auto"/>
          <w:sz w:val="22"/>
        </w:rPr>
        <w:t>r</w:t>
      </w:r>
      <w:r w:rsidRPr="005B32FA">
        <w:rPr>
          <w:rFonts w:ascii="Calibri" w:eastAsia="MS Mincho" w:hAnsi="Calibri" w:cs="Calibri"/>
          <w:color w:val="auto"/>
          <w:sz w:val="22"/>
        </w:rPr>
        <w:t xml:space="preserve">egulatory </w:t>
      </w:r>
      <w:r w:rsidR="00067EFF" w:rsidRPr="005B32FA">
        <w:rPr>
          <w:rFonts w:ascii="Calibri" w:eastAsia="MS Mincho" w:hAnsi="Calibri" w:cs="Calibri"/>
          <w:color w:val="auto"/>
          <w:sz w:val="22"/>
        </w:rPr>
        <w:t>issues</w:t>
      </w:r>
      <w:r w:rsidR="00705105">
        <w:rPr>
          <w:rFonts w:ascii="Calibri" w:eastAsia="MS Mincho" w:hAnsi="Calibri" w:cs="Calibri"/>
          <w:color w:val="auto"/>
          <w:sz w:val="22"/>
        </w:rPr>
        <w:t>: matters that relate to legislative or regulatory settings rather than the content of the standard itself</w:t>
      </w:r>
    </w:p>
    <w:p w14:paraId="234DD3CF" w14:textId="05DDB079" w:rsidR="00F764F7" w:rsidRPr="00F05335" w:rsidRDefault="00057BA7" w:rsidP="000F03A2">
      <w:pPr>
        <w:pStyle w:val="ListParagraph"/>
        <w:numPr>
          <w:ilvl w:val="0"/>
          <w:numId w:val="34"/>
        </w:numPr>
        <w:spacing w:after="240" w:line="276" w:lineRule="auto"/>
        <w:ind w:left="714" w:hanging="357"/>
        <w:rPr>
          <w:rFonts w:ascii="Calibri" w:eastAsia="MS Mincho" w:hAnsi="Calibri" w:cs="Calibri"/>
          <w:color w:val="auto"/>
          <w:sz w:val="22"/>
        </w:rPr>
      </w:pPr>
      <w:r>
        <w:rPr>
          <w:rFonts w:ascii="Calibri" w:eastAsia="MS Mincho" w:hAnsi="Calibri" w:cs="Calibri"/>
          <w:color w:val="auto"/>
          <w:sz w:val="22"/>
        </w:rPr>
        <w:t>o</w:t>
      </w:r>
      <w:r w:rsidR="00067EFF" w:rsidRPr="005B32FA">
        <w:rPr>
          <w:rFonts w:ascii="Calibri" w:eastAsia="MS Mincho" w:hAnsi="Calibri" w:cs="Calibri"/>
          <w:color w:val="auto"/>
          <w:sz w:val="22"/>
        </w:rPr>
        <w:t>ther issues</w:t>
      </w:r>
      <w:r w:rsidR="00705105">
        <w:rPr>
          <w:rFonts w:ascii="Calibri" w:eastAsia="MS Mincho" w:hAnsi="Calibri" w:cs="Calibri"/>
          <w:color w:val="auto"/>
          <w:sz w:val="22"/>
        </w:rPr>
        <w:t xml:space="preserve">: </w:t>
      </w:r>
      <w:r>
        <w:rPr>
          <w:rFonts w:ascii="Calibri" w:eastAsia="MS Mincho" w:hAnsi="Calibri" w:cs="Calibri"/>
          <w:color w:val="auto"/>
          <w:sz w:val="22"/>
        </w:rPr>
        <w:t>m</w:t>
      </w:r>
      <w:r w:rsidR="00705105" w:rsidRPr="00705105">
        <w:rPr>
          <w:rFonts w:ascii="Calibri" w:eastAsia="MS Mincho" w:hAnsi="Calibri" w:cs="Calibri"/>
          <w:color w:val="auto"/>
          <w:sz w:val="22"/>
        </w:rPr>
        <w:t xml:space="preserve">atters that cannot be resolved through either improvements to NZS 4121 or changes to the regulatory framework. </w:t>
      </w:r>
    </w:p>
    <w:p w14:paraId="43D26953" w14:textId="590DDDCE" w:rsidR="00F764F7" w:rsidRPr="00C8497E" w:rsidRDefault="00844C99" w:rsidP="00C8497E">
      <w:pPr>
        <w:rPr>
          <w:rFonts w:asciiTheme="majorHAnsi" w:hAnsiTheme="majorHAnsi" w:cstheme="majorBidi"/>
          <w:color w:val="007DA6" w:themeColor="accent1"/>
          <w:sz w:val="28"/>
          <w:szCs w:val="24"/>
          <w:u w:val="single"/>
        </w:rPr>
      </w:pPr>
      <w:r w:rsidRPr="00C8497E">
        <w:rPr>
          <w:sz w:val="22"/>
          <w:szCs w:val="24"/>
          <w:u w:val="single"/>
        </w:rPr>
        <w:t xml:space="preserve">Issues </w:t>
      </w:r>
      <w:r w:rsidR="00F764F7" w:rsidRPr="00C8497E">
        <w:rPr>
          <w:sz w:val="22"/>
          <w:szCs w:val="24"/>
          <w:u w:val="single"/>
        </w:rPr>
        <w:t>with NZS 4121:2001</w:t>
      </w:r>
    </w:p>
    <w:p w14:paraId="365A5CD9" w14:textId="4006114C" w:rsidR="00844C99" w:rsidRPr="00844C99" w:rsidRDefault="00844C99" w:rsidP="00844C99">
      <w:pPr>
        <w:spacing w:after="200" w:line="276" w:lineRule="auto"/>
        <w:rPr>
          <w:rFonts w:ascii="Calibri" w:eastAsia="MS Mincho" w:hAnsi="Calibri" w:cs="Calibri"/>
          <w:color w:val="auto"/>
          <w:sz w:val="22"/>
        </w:rPr>
      </w:pPr>
      <w:r w:rsidRPr="00844C99">
        <w:rPr>
          <w:rFonts w:ascii="Calibri" w:eastAsia="MS Mincho" w:hAnsi="Calibri" w:cs="Calibri"/>
          <w:color w:val="auto"/>
          <w:sz w:val="22"/>
        </w:rPr>
        <w:t>Examples of issues suitable for resolution through changes to NZS 4121:</w:t>
      </w:r>
    </w:p>
    <w:p w14:paraId="43A8C80D" w14:textId="5E3E5DF7" w:rsidR="00844C99" w:rsidRPr="00EB13BF" w:rsidRDefault="00057BA7" w:rsidP="000F03A2">
      <w:pPr>
        <w:pStyle w:val="ListParagraph"/>
        <w:numPr>
          <w:ilvl w:val="0"/>
          <w:numId w:val="19"/>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doorway clear openings, corridor widths and turning radii to suit contemporary mobility devices</w:t>
      </w:r>
    </w:p>
    <w:p w14:paraId="3D0F6D12" w14:textId="24C7CC2E" w:rsidR="00844C99" w:rsidRPr="00EB13BF" w:rsidRDefault="00057BA7" w:rsidP="000F03A2">
      <w:pPr>
        <w:pStyle w:val="ListParagraph"/>
        <w:numPr>
          <w:ilvl w:val="0"/>
          <w:numId w:val="19"/>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threshold, kerb ramp and drainage details that minimise lips and traps and improve whole route usability</w:t>
      </w:r>
    </w:p>
    <w:p w14:paraId="13D816EC" w14:textId="1FF0B95C" w:rsidR="00844C99" w:rsidRPr="00EB13BF" w:rsidRDefault="00057BA7" w:rsidP="000F03A2">
      <w:pPr>
        <w:pStyle w:val="ListParagraph"/>
        <w:numPr>
          <w:ilvl w:val="0"/>
          <w:numId w:val="19"/>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 xml:space="preserve">detailed </w:t>
      </w:r>
      <w:r w:rsidR="00844C99" w:rsidRPr="00EB13BF">
        <w:rPr>
          <w:rFonts w:ascii="Calibri" w:eastAsia="MS Mincho" w:hAnsi="Calibri" w:cs="Calibri"/>
          <w:color w:val="auto"/>
          <w:sz w:val="22"/>
        </w:rPr>
        <w:t>requirements for alarms and egress including visual alerting devices and places of refuge</w:t>
      </w:r>
    </w:p>
    <w:p w14:paraId="63F404DE" w14:textId="7103BE2F" w:rsidR="00844C99" w:rsidRPr="00EB13BF" w:rsidRDefault="00057BA7" w:rsidP="000F03A2">
      <w:pPr>
        <w:pStyle w:val="ListParagraph"/>
        <w:numPr>
          <w:ilvl w:val="0"/>
          <w:numId w:val="19"/>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lastRenderedPageBreak/>
        <w:t>bathroom layouts including adult assisted change facilities, left and right transfer options and placement of rails and controls</w:t>
      </w:r>
    </w:p>
    <w:p w14:paraId="236BAE23" w14:textId="37A40105" w:rsidR="00844C99" w:rsidRPr="00EB13BF" w:rsidRDefault="00057BA7" w:rsidP="000F03A2">
      <w:pPr>
        <w:pStyle w:val="ListParagraph"/>
        <w:numPr>
          <w:ilvl w:val="0"/>
          <w:numId w:val="19"/>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lift usability including control placement, alternative input methods and audio-visual cues</w:t>
      </w:r>
    </w:p>
    <w:p w14:paraId="7504475C" w14:textId="3C42E1C5" w:rsidR="00844C99" w:rsidRPr="00EB13BF" w:rsidRDefault="00057BA7" w:rsidP="000F03A2">
      <w:pPr>
        <w:pStyle w:val="ListParagraph"/>
        <w:numPr>
          <w:ilvl w:val="0"/>
          <w:numId w:val="19"/>
        </w:numPr>
        <w:tabs>
          <w:tab w:val="num" w:pos="360"/>
        </w:tabs>
        <w:spacing w:after="200" w:line="276" w:lineRule="auto"/>
        <w:rPr>
          <w:rFonts w:ascii="Calibri" w:eastAsia="MS Mincho" w:hAnsi="Calibri" w:cs="Calibri"/>
          <w:color w:val="auto"/>
          <w:sz w:val="22"/>
        </w:rPr>
      </w:pPr>
      <w:r>
        <w:rPr>
          <w:rFonts w:ascii="Calibri" w:eastAsia="MS Mincho" w:hAnsi="Calibri" w:cs="Calibri"/>
          <w:color w:val="auto"/>
          <w:sz w:val="22"/>
        </w:rPr>
        <w:t>d</w:t>
      </w:r>
      <w:r w:rsidR="00844C99" w:rsidRPr="00EB13BF">
        <w:rPr>
          <w:rFonts w:ascii="Calibri" w:eastAsia="MS Mincho" w:hAnsi="Calibri" w:cs="Calibri"/>
          <w:color w:val="auto"/>
          <w:sz w:val="22"/>
        </w:rPr>
        <w:t>esign and placement of TGSI aligned with recognised New Zealand guidance, with product performance and maintenance expectations</w:t>
      </w:r>
    </w:p>
    <w:p w14:paraId="40327BAC" w14:textId="6CDC0C12" w:rsidR="00844C99" w:rsidRPr="00EB13BF" w:rsidRDefault="00057BA7" w:rsidP="000F03A2">
      <w:pPr>
        <w:pStyle w:val="ListParagraph"/>
        <w:numPr>
          <w:ilvl w:val="0"/>
          <w:numId w:val="19"/>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signage, wayfinding, lighting and contrast requirements to support users with low vision and cognitive needs</w:t>
      </w:r>
    </w:p>
    <w:p w14:paraId="6BBF5B03" w14:textId="50C7EFA5" w:rsidR="00844C99" w:rsidRPr="00EB13BF" w:rsidRDefault="00057BA7" w:rsidP="000F03A2">
      <w:pPr>
        <w:pStyle w:val="ListParagraph"/>
        <w:numPr>
          <w:ilvl w:val="0"/>
          <w:numId w:val="19"/>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 xml:space="preserve">parking </w:t>
      </w:r>
      <w:r w:rsidR="00844C99" w:rsidRPr="00EB13BF">
        <w:rPr>
          <w:rFonts w:ascii="Calibri" w:eastAsia="MS Mincho" w:hAnsi="Calibri" w:cs="Calibri"/>
          <w:color w:val="auto"/>
          <w:sz w:val="22"/>
        </w:rPr>
        <w:t xml:space="preserve">and </w:t>
      </w:r>
      <w:r w:rsidR="004B0768">
        <w:rPr>
          <w:rFonts w:ascii="Calibri" w:eastAsia="MS Mincho" w:hAnsi="Calibri" w:cs="Calibri"/>
          <w:color w:val="auto"/>
          <w:sz w:val="22"/>
        </w:rPr>
        <w:t>drop-off</w:t>
      </w:r>
      <w:r w:rsidR="00844C99" w:rsidRPr="00EB13BF">
        <w:rPr>
          <w:rFonts w:ascii="Calibri" w:eastAsia="MS Mincho" w:hAnsi="Calibri" w:cs="Calibri"/>
          <w:color w:val="auto"/>
          <w:sz w:val="22"/>
        </w:rPr>
        <w:t xml:space="preserve"> design parameters including parallel spaces, side clearances, rear ramp space and headroom guidance.</w:t>
      </w:r>
    </w:p>
    <w:p w14:paraId="271360A7" w14:textId="00F487AF" w:rsidR="00844C99" w:rsidRPr="00C8497E" w:rsidRDefault="00F764F7" w:rsidP="00C8497E">
      <w:pPr>
        <w:rPr>
          <w:sz w:val="22"/>
          <w:szCs w:val="24"/>
          <w:u w:val="single"/>
        </w:rPr>
      </w:pPr>
      <w:r w:rsidRPr="00C8497E">
        <w:rPr>
          <w:sz w:val="22"/>
          <w:szCs w:val="24"/>
          <w:u w:val="single"/>
        </w:rPr>
        <w:t>Regulatory i</w:t>
      </w:r>
      <w:r w:rsidR="00844C99" w:rsidRPr="00C8497E">
        <w:rPr>
          <w:sz w:val="22"/>
          <w:szCs w:val="24"/>
          <w:u w:val="single"/>
        </w:rPr>
        <w:t>ssues</w:t>
      </w:r>
    </w:p>
    <w:p w14:paraId="2D6FA323" w14:textId="7F948075" w:rsidR="00844C99" w:rsidRPr="00EB13BF" w:rsidRDefault="00844C99" w:rsidP="000F03A2">
      <w:pPr>
        <w:pStyle w:val="ListParagraph"/>
        <w:numPr>
          <w:ilvl w:val="0"/>
          <w:numId w:val="20"/>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Embedding accessibility obligations and enforcement within the Building Act and related instruments, including the effect of Section 18 that limits requirements to Code minimums</w:t>
      </w:r>
      <w:r w:rsidR="00E41FBE">
        <w:rPr>
          <w:rFonts w:ascii="Calibri" w:eastAsia="MS Mincho" w:hAnsi="Calibri" w:cs="Calibri"/>
          <w:color w:val="auto"/>
          <w:sz w:val="22"/>
        </w:rPr>
        <w:t>.</w:t>
      </w:r>
    </w:p>
    <w:p w14:paraId="2ED23F98" w14:textId="3A6A0E41" w:rsidR="00844C99" w:rsidRPr="00EB13BF" w:rsidRDefault="00844C99" w:rsidP="000F03A2">
      <w:pPr>
        <w:pStyle w:val="ListParagraph"/>
        <w:numPr>
          <w:ilvl w:val="0"/>
          <w:numId w:val="20"/>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Reinstating or strengthening ongoing compliance checks such as a Building Warrant of Fitness for accessibility and associated enforcement mechanisms</w:t>
      </w:r>
      <w:r w:rsidR="00E41FBE">
        <w:rPr>
          <w:rFonts w:ascii="Calibri" w:eastAsia="MS Mincho" w:hAnsi="Calibri" w:cs="Calibri"/>
          <w:color w:val="auto"/>
          <w:sz w:val="22"/>
        </w:rPr>
        <w:t>.</w:t>
      </w:r>
    </w:p>
    <w:p w14:paraId="52DE87CE" w14:textId="345C71E6" w:rsidR="00844C99" w:rsidRPr="00EB13BF" w:rsidRDefault="00844C99" w:rsidP="000F03A2">
      <w:pPr>
        <w:pStyle w:val="ListParagraph"/>
        <w:numPr>
          <w:ilvl w:val="0"/>
          <w:numId w:val="20"/>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Centralising guidance and clarifications across the building system so designers and consent authorities can locate authoritative advice</w:t>
      </w:r>
      <w:r w:rsidR="00E41FBE">
        <w:rPr>
          <w:rFonts w:ascii="Calibri" w:eastAsia="MS Mincho" w:hAnsi="Calibri" w:cs="Calibri"/>
          <w:color w:val="auto"/>
          <w:sz w:val="22"/>
        </w:rPr>
        <w:t>.</w:t>
      </w:r>
    </w:p>
    <w:p w14:paraId="3E0CBEA8" w14:textId="0795A279" w:rsidR="00844C99" w:rsidRPr="00EB13BF" w:rsidRDefault="00844C99" w:rsidP="000F03A2">
      <w:pPr>
        <w:pStyle w:val="ListParagraph"/>
        <w:numPr>
          <w:ilvl w:val="0"/>
          <w:numId w:val="20"/>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Education and competency development for designers, consent officers and building owners including formal training and qualifications</w:t>
      </w:r>
      <w:r w:rsidR="00E41FBE">
        <w:rPr>
          <w:rFonts w:ascii="Calibri" w:eastAsia="MS Mincho" w:hAnsi="Calibri" w:cs="Calibri"/>
          <w:color w:val="auto"/>
          <w:sz w:val="22"/>
        </w:rPr>
        <w:t>.</w:t>
      </w:r>
    </w:p>
    <w:p w14:paraId="09FAFE30" w14:textId="218D4891" w:rsidR="00844C99" w:rsidRPr="00EB13BF" w:rsidRDefault="00844C99" w:rsidP="000F03A2">
      <w:pPr>
        <w:pStyle w:val="ListParagraph"/>
        <w:numPr>
          <w:ilvl w:val="0"/>
          <w:numId w:val="20"/>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 xml:space="preserve">Consideration of broader human rights and </w:t>
      </w:r>
      <w:r w:rsidR="00EB13BF" w:rsidRPr="00EB13BF">
        <w:rPr>
          <w:rFonts w:ascii="Calibri" w:eastAsia="MS Mincho" w:hAnsi="Calibri" w:cs="Calibri"/>
          <w:color w:val="auto"/>
          <w:sz w:val="22"/>
        </w:rPr>
        <w:t>anti-discrimination</w:t>
      </w:r>
      <w:r w:rsidRPr="00EB13BF">
        <w:rPr>
          <w:rFonts w:ascii="Calibri" w:eastAsia="MS Mincho" w:hAnsi="Calibri" w:cs="Calibri"/>
          <w:color w:val="auto"/>
          <w:sz w:val="22"/>
        </w:rPr>
        <w:t xml:space="preserve"> frameworks that sit outside NZS 4121</w:t>
      </w:r>
      <w:r w:rsidR="00E41FBE">
        <w:rPr>
          <w:rFonts w:ascii="Calibri" w:eastAsia="MS Mincho" w:hAnsi="Calibri" w:cs="Calibri"/>
          <w:color w:val="auto"/>
          <w:sz w:val="22"/>
        </w:rPr>
        <w:t>.</w:t>
      </w:r>
    </w:p>
    <w:p w14:paraId="7CF63207" w14:textId="77777777" w:rsidR="00844C99" w:rsidRPr="00EB13BF" w:rsidRDefault="00844C99" w:rsidP="000F03A2">
      <w:pPr>
        <w:pStyle w:val="ListParagraph"/>
        <w:numPr>
          <w:ilvl w:val="0"/>
          <w:numId w:val="20"/>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Alignment of triggers and bases for requirements in the Code and related documents, for example lift provision rules that currently differ from NZS 4121 provisions.</w:t>
      </w:r>
    </w:p>
    <w:p w14:paraId="26D1AD06" w14:textId="4687DB8D" w:rsidR="005E6C40" w:rsidRPr="00C8497E" w:rsidRDefault="005E6C40" w:rsidP="00C8497E">
      <w:pPr>
        <w:rPr>
          <w:sz w:val="22"/>
          <w:szCs w:val="24"/>
          <w:u w:val="single"/>
        </w:rPr>
      </w:pPr>
      <w:r w:rsidRPr="00C8497E">
        <w:rPr>
          <w:sz w:val="22"/>
          <w:szCs w:val="24"/>
          <w:u w:val="single"/>
        </w:rPr>
        <w:t>Other issues</w:t>
      </w:r>
    </w:p>
    <w:p w14:paraId="702ED9F6" w14:textId="736DD55C" w:rsidR="005E6C40" w:rsidRDefault="005E6C40" w:rsidP="000F03A2">
      <w:pPr>
        <w:pStyle w:val="ListParagraph"/>
        <w:numPr>
          <w:ilvl w:val="0"/>
          <w:numId w:val="35"/>
        </w:numPr>
        <w:spacing w:after="200" w:line="276" w:lineRule="auto"/>
        <w:rPr>
          <w:rFonts w:ascii="Calibri" w:eastAsia="MS Mincho" w:hAnsi="Calibri" w:cs="Calibri"/>
          <w:color w:val="auto"/>
          <w:sz w:val="22"/>
        </w:rPr>
      </w:pPr>
      <w:r w:rsidRPr="005E6C40">
        <w:rPr>
          <w:rFonts w:ascii="Calibri" w:eastAsia="MS Mincho" w:hAnsi="Calibri" w:cs="Calibri"/>
          <w:color w:val="auto"/>
          <w:sz w:val="22"/>
          <w:lang w:eastAsia="en-NZ"/>
        </w:rPr>
        <w:t>Disabled people concentrated in smaller towns with fewer resources; design must address social isolation, bus stops, libraries, and low-cost recreation spaces critical for inclusion</w:t>
      </w:r>
      <w:r w:rsidR="00E41FBE">
        <w:rPr>
          <w:rFonts w:ascii="Calibri" w:eastAsia="MS Mincho" w:hAnsi="Calibri" w:cs="Calibri"/>
          <w:color w:val="auto"/>
          <w:sz w:val="22"/>
          <w:lang w:eastAsia="en-NZ"/>
        </w:rPr>
        <w:t>.</w:t>
      </w:r>
    </w:p>
    <w:p w14:paraId="3114BEE0" w14:textId="127A40D8" w:rsidR="005E6C40" w:rsidRDefault="005E6C40" w:rsidP="000F03A2">
      <w:pPr>
        <w:pStyle w:val="ListParagraph"/>
        <w:numPr>
          <w:ilvl w:val="0"/>
          <w:numId w:val="35"/>
        </w:numPr>
        <w:spacing w:after="200" w:line="276" w:lineRule="auto"/>
        <w:rPr>
          <w:rFonts w:ascii="Calibri" w:eastAsia="MS Mincho" w:hAnsi="Calibri" w:cs="Calibri"/>
          <w:color w:val="auto"/>
          <w:sz w:val="22"/>
        </w:rPr>
      </w:pPr>
      <w:r w:rsidRPr="00844C99">
        <w:rPr>
          <w:rFonts w:ascii="Calibri" w:eastAsia="MS Mincho" w:hAnsi="Calibri" w:cs="Calibri"/>
          <w:color w:val="auto"/>
          <w:sz w:val="22"/>
        </w:rPr>
        <w:t>Lack of accessibility education in architecture and design program</w:t>
      </w:r>
      <w:r w:rsidR="00557CC1">
        <w:rPr>
          <w:rFonts w:ascii="Calibri" w:eastAsia="MS Mincho" w:hAnsi="Calibri" w:cs="Calibri"/>
          <w:color w:val="auto"/>
          <w:sz w:val="22"/>
        </w:rPr>
        <w:t>me</w:t>
      </w:r>
      <w:r w:rsidRPr="00844C99">
        <w:rPr>
          <w:rFonts w:ascii="Calibri" w:eastAsia="MS Mincho" w:hAnsi="Calibri" w:cs="Calibri"/>
          <w:color w:val="auto"/>
          <w:sz w:val="22"/>
        </w:rPr>
        <w:t>s</w:t>
      </w:r>
      <w:r w:rsidR="00E41FBE">
        <w:rPr>
          <w:rFonts w:ascii="Calibri" w:eastAsia="MS Mincho" w:hAnsi="Calibri" w:cs="Calibri"/>
          <w:color w:val="auto"/>
          <w:sz w:val="22"/>
        </w:rPr>
        <w:t>.</w:t>
      </w:r>
    </w:p>
    <w:p w14:paraId="77C0CB10" w14:textId="2264FB34" w:rsidR="005E6C40" w:rsidRDefault="00C8497E" w:rsidP="000F03A2">
      <w:pPr>
        <w:pStyle w:val="ListParagraph"/>
        <w:numPr>
          <w:ilvl w:val="0"/>
          <w:numId w:val="35"/>
        </w:numPr>
        <w:spacing w:after="200" w:line="276" w:lineRule="auto"/>
        <w:rPr>
          <w:rFonts w:ascii="Calibri" w:eastAsia="MS Mincho" w:hAnsi="Calibri" w:cs="Calibri"/>
          <w:color w:val="auto"/>
          <w:sz w:val="22"/>
        </w:rPr>
      </w:pPr>
      <w:r w:rsidRPr="00844C99">
        <w:rPr>
          <w:rFonts w:ascii="Calibri" w:eastAsia="MS Mincho" w:hAnsi="Calibri" w:cs="Calibri"/>
          <w:color w:val="auto"/>
          <w:sz w:val="22"/>
          <w:lang w:eastAsia="en-NZ"/>
        </w:rPr>
        <w:t>Accessibility requirements scattered across multiple codes make it hard for architects to design compliant buildings</w:t>
      </w:r>
      <w:r w:rsidR="00E41FBE">
        <w:rPr>
          <w:rFonts w:ascii="Calibri" w:eastAsia="MS Mincho" w:hAnsi="Calibri" w:cs="Calibri"/>
          <w:color w:val="auto"/>
          <w:sz w:val="22"/>
          <w:lang w:eastAsia="en-NZ"/>
        </w:rPr>
        <w:t>.</w:t>
      </w:r>
    </w:p>
    <w:p w14:paraId="629015D2" w14:textId="4CA1F72C" w:rsidR="00F05335" w:rsidRPr="005E6C40" w:rsidRDefault="00F05335" w:rsidP="000F03A2">
      <w:pPr>
        <w:pStyle w:val="ListParagraph"/>
        <w:numPr>
          <w:ilvl w:val="0"/>
          <w:numId w:val="35"/>
        </w:numPr>
        <w:spacing w:after="200" w:line="276" w:lineRule="auto"/>
        <w:rPr>
          <w:rFonts w:ascii="Calibri" w:eastAsia="MS Mincho" w:hAnsi="Calibri" w:cs="Calibri"/>
          <w:color w:val="auto"/>
          <w:sz w:val="22"/>
        </w:rPr>
      </w:pPr>
      <w:r w:rsidRPr="00844C99">
        <w:rPr>
          <w:rFonts w:ascii="Calibri" w:eastAsia="MS Mincho" w:hAnsi="Calibri" w:cs="Calibri"/>
          <w:color w:val="auto"/>
          <w:sz w:val="22"/>
          <w:lang w:eastAsia="en-NZ"/>
        </w:rPr>
        <w:t>Increasing use of digital controls (lighting, lifts, reception) without accessible features.</w:t>
      </w:r>
    </w:p>
    <w:p w14:paraId="6C86CA31" w14:textId="6BF364A3" w:rsidR="005E6C40" w:rsidRPr="005E6C40" w:rsidRDefault="005E6C40" w:rsidP="005E6C40">
      <w:r w:rsidRPr="006947AA">
        <w:rPr>
          <w:rFonts w:ascii="Calibri" w:eastAsia="MS Mincho" w:hAnsi="Calibri" w:cs="Calibri"/>
          <w:color w:val="auto"/>
          <w:sz w:val="22"/>
        </w:rPr>
        <w:t xml:space="preserve">While </w:t>
      </w:r>
      <w:r w:rsidR="00C8497E">
        <w:rPr>
          <w:rFonts w:ascii="Calibri" w:eastAsia="MS Mincho" w:hAnsi="Calibri" w:cs="Calibri"/>
          <w:color w:val="auto"/>
          <w:sz w:val="22"/>
        </w:rPr>
        <w:t>other issues</w:t>
      </w:r>
      <w:r w:rsidRPr="006947AA">
        <w:rPr>
          <w:rFonts w:ascii="Calibri" w:eastAsia="MS Mincho" w:hAnsi="Calibri" w:cs="Calibri"/>
          <w:color w:val="auto"/>
          <w:sz w:val="22"/>
        </w:rPr>
        <w:t xml:space="preserve"> identif</w:t>
      </w:r>
      <w:r w:rsidR="00C8497E">
        <w:rPr>
          <w:rFonts w:ascii="Calibri" w:eastAsia="MS Mincho" w:hAnsi="Calibri" w:cs="Calibri"/>
          <w:color w:val="auto"/>
          <w:sz w:val="22"/>
        </w:rPr>
        <w:t>y</w:t>
      </w:r>
      <w:r w:rsidRPr="006947AA">
        <w:rPr>
          <w:rFonts w:ascii="Calibri" w:eastAsia="MS Mincho" w:hAnsi="Calibri" w:cs="Calibri"/>
          <w:color w:val="auto"/>
          <w:sz w:val="22"/>
        </w:rPr>
        <w:t xml:space="preserve"> genuine and important concern</w:t>
      </w:r>
      <w:r w:rsidR="00C8497E">
        <w:rPr>
          <w:rFonts w:ascii="Calibri" w:eastAsia="MS Mincho" w:hAnsi="Calibri" w:cs="Calibri"/>
          <w:color w:val="auto"/>
          <w:sz w:val="22"/>
        </w:rPr>
        <w:t>s</w:t>
      </w:r>
      <w:r w:rsidRPr="006947AA">
        <w:rPr>
          <w:rFonts w:ascii="Calibri" w:eastAsia="MS Mincho" w:hAnsi="Calibri" w:cs="Calibri"/>
          <w:color w:val="auto"/>
          <w:sz w:val="22"/>
        </w:rPr>
        <w:t xml:space="preserve">, </w:t>
      </w:r>
      <w:r w:rsidR="00C8497E">
        <w:rPr>
          <w:rFonts w:ascii="Calibri" w:eastAsia="MS Mincho" w:hAnsi="Calibri" w:cs="Calibri"/>
          <w:color w:val="auto"/>
          <w:sz w:val="22"/>
        </w:rPr>
        <w:t>these are</w:t>
      </w:r>
      <w:r w:rsidRPr="006947AA">
        <w:rPr>
          <w:rFonts w:ascii="Calibri" w:eastAsia="MS Mincho" w:hAnsi="Calibri" w:cs="Calibri"/>
          <w:color w:val="auto"/>
          <w:sz w:val="22"/>
        </w:rPr>
        <w:t xml:space="preserve"> not </w:t>
      </w:r>
      <w:r w:rsidR="00C8497E">
        <w:rPr>
          <w:rFonts w:ascii="Calibri" w:eastAsia="MS Mincho" w:hAnsi="Calibri" w:cs="Calibri"/>
          <w:color w:val="auto"/>
          <w:sz w:val="22"/>
        </w:rPr>
        <w:t>the</w:t>
      </w:r>
      <w:r w:rsidRPr="006947AA">
        <w:rPr>
          <w:rFonts w:ascii="Calibri" w:eastAsia="MS Mincho" w:hAnsi="Calibri" w:cs="Calibri"/>
          <w:color w:val="auto"/>
          <w:sz w:val="22"/>
        </w:rPr>
        <w:t xml:space="preserve"> issue</w:t>
      </w:r>
      <w:r w:rsidR="00C8497E">
        <w:rPr>
          <w:rFonts w:ascii="Calibri" w:eastAsia="MS Mincho" w:hAnsi="Calibri" w:cs="Calibri"/>
          <w:color w:val="auto"/>
          <w:sz w:val="22"/>
        </w:rPr>
        <w:t>s</w:t>
      </w:r>
      <w:r w:rsidRPr="006947AA">
        <w:rPr>
          <w:rFonts w:ascii="Calibri" w:eastAsia="MS Mincho" w:hAnsi="Calibri" w:cs="Calibri"/>
          <w:color w:val="auto"/>
          <w:sz w:val="22"/>
        </w:rPr>
        <w:t xml:space="preserve"> that can be resolved through accessibility standards or building regulations alone.</w:t>
      </w:r>
    </w:p>
    <w:p w14:paraId="6891F743" w14:textId="77777777" w:rsidR="00D22F22" w:rsidRDefault="00D22F22" w:rsidP="00D22F22">
      <w:pPr>
        <w:rPr>
          <w:sz w:val="22"/>
          <w:szCs w:val="24"/>
        </w:rPr>
      </w:pPr>
    </w:p>
    <w:p w14:paraId="3D8E053E" w14:textId="656180AA" w:rsidR="00420AB6" w:rsidRPr="00445DBC" w:rsidRDefault="00BD7B62" w:rsidP="00D22F22">
      <w:pPr>
        <w:rPr>
          <w:sz w:val="22"/>
          <w:szCs w:val="24"/>
          <w:u w:val="single"/>
        </w:rPr>
      </w:pPr>
      <w:r w:rsidRPr="00445DBC">
        <w:rPr>
          <w:sz w:val="22"/>
          <w:szCs w:val="24"/>
          <w:u w:val="single"/>
        </w:rPr>
        <w:t>Complex relationship with</w:t>
      </w:r>
      <w:r w:rsidR="00420AB6" w:rsidRPr="00445DBC">
        <w:rPr>
          <w:sz w:val="22"/>
          <w:szCs w:val="24"/>
          <w:u w:val="single"/>
        </w:rPr>
        <w:t xml:space="preserve"> New Zealand Building Code</w:t>
      </w:r>
    </w:p>
    <w:p w14:paraId="1C8F3918" w14:textId="48B4FF54" w:rsidR="00420AB6" w:rsidRPr="00BD7B62" w:rsidRDefault="00420AB6" w:rsidP="00D22F22">
      <w:pPr>
        <w:spacing w:before="240" w:after="200" w:line="276" w:lineRule="auto"/>
        <w:rPr>
          <w:rFonts w:ascii="Calibri" w:eastAsia="MS Mincho" w:hAnsi="Calibri" w:cs="Calibri"/>
          <w:color w:val="auto"/>
          <w:sz w:val="22"/>
        </w:rPr>
      </w:pPr>
      <w:r w:rsidRPr="00BD7B62">
        <w:rPr>
          <w:rFonts w:ascii="Calibri" w:eastAsia="MS Mincho" w:hAnsi="Calibri" w:cs="Calibri"/>
          <w:color w:val="auto"/>
          <w:sz w:val="22"/>
        </w:rPr>
        <w:lastRenderedPageBreak/>
        <w:t xml:space="preserve">Stakeholders </w:t>
      </w:r>
      <w:r w:rsidR="00C8497E">
        <w:rPr>
          <w:rFonts w:ascii="Calibri" w:eastAsia="MS Mincho" w:hAnsi="Calibri" w:cs="Calibri"/>
          <w:color w:val="auto"/>
          <w:sz w:val="22"/>
        </w:rPr>
        <w:t xml:space="preserve">also noted </w:t>
      </w:r>
      <w:r w:rsidRPr="00BD7B62">
        <w:rPr>
          <w:rFonts w:ascii="Calibri" w:eastAsia="MS Mincho" w:hAnsi="Calibri" w:cs="Calibri"/>
          <w:color w:val="auto"/>
          <w:sz w:val="22"/>
        </w:rPr>
        <w:t>a complex relationship between NZS 4121</w:t>
      </w:r>
      <w:r w:rsidR="00BD7B62">
        <w:rPr>
          <w:rFonts w:ascii="Calibri" w:eastAsia="MS Mincho" w:hAnsi="Calibri" w:cs="Calibri"/>
          <w:color w:val="auto"/>
          <w:sz w:val="22"/>
        </w:rPr>
        <w:t>:2001</w:t>
      </w:r>
      <w:r w:rsidRPr="00BD7B62">
        <w:rPr>
          <w:rFonts w:ascii="Calibri" w:eastAsia="MS Mincho" w:hAnsi="Calibri" w:cs="Calibri"/>
          <w:color w:val="auto"/>
          <w:sz w:val="22"/>
        </w:rPr>
        <w:t xml:space="preserve"> and the Building Code. </w:t>
      </w:r>
      <w:r w:rsidR="00BD7B62">
        <w:rPr>
          <w:rFonts w:ascii="Calibri" w:eastAsia="MS Mincho" w:hAnsi="Calibri" w:cs="Calibri"/>
          <w:color w:val="auto"/>
          <w:sz w:val="22"/>
        </w:rPr>
        <w:t>The standard</w:t>
      </w:r>
      <w:r w:rsidRPr="00BD7B62">
        <w:rPr>
          <w:rFonts w:ascii="Calibri" w:eastAsia="MS Mincho" w:hAnsi="Calibri" w:cs="Calibri"/>
          <w:color w:val="auto"/>
          <w:sz w:val="22"/>
        </w:rPr>
        <w:t xml:space="preserve"> is referenced as a compliance pathway in the regulatory system, yet several areas of misalignment and contradiction were identified. Examples raised included differing triggers or bases for lift provision and the practical effect of Section 18 of the Building Act that limits requirements to </w:t>
      </w:r>
      <w:r w:rsidR="00BD7B62">
        <w:rPr>
          <w:rFonts w:ascii="Calibri" w:eastAsia="MS Mincho" w:hAnsi="Calibri" w:cs="Calibri"/>
          <w:color w:val="auto"/>
          <w:sz w:val="22"/>
        </w:rPr>
        <w:t xml:space="preserve">the Building </w:t>
      </w:r>
      <w:r w:rsidRPr="00BD7B62">
        <w:rPr>
          <w:rFonts w:ascii="Calibri" w:eastAsia="MS Mincho" w:hAnsi="Calibri" w:cs="Calibri"/>
          <w:color w:val="auto"/>
          <w:sz w:val="22"/>
        </w:rPr>
        <w:t>Code minimums. Participants also noted challenges arising from scattered guidance materials and the historical removal of some accessibility checks from the Building Warrant of Fitness regime, which can reduce ongoing assurance of accessibility features.</w:t>
      </w:r>
    </w:p>
    <w:p w14:paraId="0BEA3866" w14:textId="4093C6C5" w:rsidR="00844C99" w:rsidRPr="00844C99" w:rsidRDefault="00CA5EFB" w:rsidP="00AC54F7">
      <w:pPr>
        <w:pStyle w:val="Heading2"/>
        <w:rPr>
          <w:rFonts w:eastAsia="MS Gothic"/>
        </w:rPr>
      </w:pPr>
      <w:bookmarkStart w:id="26" w:name="_Toc227156482"/>
      <w:r w:rsidRPr="00B54DC2">
        <w:rPr>
          <w:rFonts w:eastAsia="MS Gothic"/>
          <w:color w:val="1B6571" w:themeColor="accent2" w:themeShade="80"/>
        </w:rPr>
        <w:t>Technical</w:t>
      </w:r>
      <w:r w:rsidRPr="00B54DC2">
        <w:rPr>
          <w:rFonts w:eastAsia="MS Gothic"/>
          <w:color w:val="auto"/>
        </w:rPr>
        <w:t xml:space="preserve"> </w:t>
      </w:r>
      <w:r>
        <w:rPr>
          <w:rFonts w:eastAsia="MS Gothic"/>
        </w:rPr>
        <w:t>r</w:t>
      </w:r>
      <w:r w:rsidR="00844C99" w:rsidRPr="00844C99">
        <w:rPr>
          <w:rFonts w:eastAsia="MS Gothic"/>
        </w:rPr>
        <w:t xml:space="preserve">ecommendations from NZS 4121 </w:t>
      </w:r>
      <w:r w:rsidR="00EB13BF">
        <w:rPr>
          <w:rFonts w:eastAsia="MS Gothic"/>
        </w:rPr>
        <w:t xml:space="preserve">scoping </w:t>
      </w:r>
      <w:r w:rsidR="00844C99" w:rsidRPr="00844C99">
        <w:rPr>
          <w:rFonts w:eastAsia="MS Gothic"/>
        </w:rPr>
        <w:t>workshops</w:t>
      </w:r>
      <w:bookmarkEnd w:id="26"/>
    </w:p>
    <w:p w14:paraId="33824C4A"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Entrances, doors and building entry</w:t>
      </w:r>
    </w:p>
    <w:p w14:paraId="28B5854E" w14:textId="77777777" w:rsidR="00844C99" w:rsidRPr="00EB13BF" w:rsidRDefault="00844C99" w:rsidP="000F03A2">
      <w:pPr>
        <w:pStyle w:val="ListParagraph"/>
        <w:numPr>
          <w:ilvl w:val="0"/>
          <w:numId w:val="21"/>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Accessible entry should be co-located with the primary entrance wherever practicable to avoid secondary routes.</w:t>
      </w:r>
    </w:p>
    <w:p w14:paraId="56C7D3AE" w14:textId="77777777" w:rsidR="00844C99" w:rsidRPr="00EB13BF" w:rsidRDefault="00844C99" w:rsidP="000F03A2">
      <w:pPr>
        <w:pStyle w:val="ListParagraph"/>
        <w:numPr>
          <w:ilvl w:val="0"/>
          <w:numId w:val="21"/>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Opening forces for doors are often too high; consider lower forces and provide power assisted or pushbutton operation where needed.</w:t>
      </w:r>
    </w:p>
    <w:p w14:paraId="4B10ABF4" w14:textId="5407A430" w:rsidR="00844C99" w:rsidRPr="00EB13BF" w:rsidRDefault="00844C99" w:rsidP="000F03A2">
      <w:pPr>
        <w:pStyle w:val="ListParagraph"/>
        <w:numPr>
          <w:ilvl w:val="0"/>
          <w:numId w:val="21"/>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Use hold</w:t>
      </w:r>
      <w:r w:rsidR="001D5A6F">
        <w:rPr>
          <w:rFonts w:ascii="Calibri" w:eastAsia="MS Mincho" w:hAnsi="Calibri" w:cs="Calibri"/>
          <w:color w:val="auto"/>
          <w:sz w:val="22"/>
        </w:rPr>
        <w:t>-</w:t>
      </w:r>
      <w:r w:rsidRPr="00EB13BF">
        <w:rPr>
          <w:rFonts w:ascii="Calibri" w:eastAsia="MS Mincho" w:hAnsi="Calibri" w:cs="Calibri"/>
          <w:color w:val="auto"/>
          <w:sz w:val="22"/>
        </w:rPr>
        <w:t xml:space="preserve">open or free-swing devices coordinated with fire </w:t>
      </w:r>
      <w:proofErr w:type="gramStart"/>
      <w:r w:rsidRPr="00EB13BF">
        <w:rPr>
          <w:rFonts w:ascii="Calibri" w:eastAsia="MS Mincho" w:hAnsi="Calibri" w:cs="Calibri"/>
          <w:color w:val="auto"/>
          <w:sz w:val="22"/>
        </w:rPr>
        <w:t>safety, and</w:t>
      </w:r>
      <w:proofErr w:type="gramEnd"/>
      <w:r w:rsidRPr="00EB13BF">
        <w:rPr>
          <w:rFonts w:ascii="Calibri" w:eastAsia="MS Mincho" w:hAnsi="Calibri" w:cs="Calibri"/>
          <w:color w:val="auto"/>
          <w:sz w:val="22"/>
        </w:rPr>
        <w:t xml:space="preserve"> ensure maintenance regimes keep automated solutions reliable.</w:t>
      </w:r>
    </w:p>
    <w:p w14:paraId="59A17F23" w14:textId="77777777" w:rsidR="00844C99" w:rsidRPr="00EB13BF" w:rsidRDefault="00844C99" w:rsidP="000F03A2">
      <w:pPr>
        <w:pStyle w:val="ListParagraph"/>
        <w:numPr>
          <w:ilvl w:val="0"/>
          <w:numId w:val="21"/>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Access control systems such as swipe readers need suitable placement, feedback and timings for a range of users.</w:t>
      </w:r>
    </w:p>
    <w:p w14:paraId="23975734"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Tactile ground surface indicators and wayfinding</w:t>
      </w:r>
    </w:p>
    <w:p w14:paraId="7FF93888" w14:textId="77777777" w:rsidR="00844C99" w:rsidRPr="00EB13BF" w:rsidRDefault="00844C99" w:rsidP="000F03A2">
      <w:pPr>
        <w:pStyle w:val="ListParagraph"/>
        <w:numPr>
          <w:ilvl w:val="0"/>
          <w:numId w:val="22"/>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Directional tiles can trap wheelchair casters and pose slip risks when poorly maintained; apply only where needed and select safer products.</w:t>
      </w:r>
    </w:p>
    <w:p w14:paraId="16FAC706" w14:textId="77777777" w:rsidR="00844C99" w:rsidRPr="00EB13BF" w:rsidRDefault="00844C99" w:rsidP="000F03A2">
      <w:pPr>
        <w:pStyle w:val="ListParagraph"/>
        <w:numPr>
          <w:ilvl w:val="0"/>
          <w:numId w:val="22"/>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Align Tactile Ground Surface Indicators (TGSI) design and placement with recognised New Zealand guidance, including setback from kerbs, colour and size.</w:t>
      </w:r>
    </w:p>
    <w:p w14:paraId="2DB1F058" w14:textId="77777777" w:rsidR="00844C99" w:rsidRPr="00EB13BF" w:rsidRDefault="00844C99" w:rsidP="000F03A2">
      <w:pPr>
        <w:pStyle w:val="ListParagraph"/>
        <w:numPr>
          <w:ilvl w:val="0"/>
          <w:numId w:val="22"/>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Provide hazard warnings at stairs, ramps and other risks, and maintain slip resistance over the product life.</w:t>
      </w:r>
    </w:p>
    <w:p w14:paraId="1E5E3E88"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Circulation widths, turning and layout</w:t>
      </w:r>
    </w:p>
    <w:p w14:paraId="2091A3BA" w14:textId="77777777" w:rsidR="00844C99" w:rsidRPr="00EB13BF" w:rsidRDefault="00844C99" w:rsidP="000F03A2">
      <w:pPr>
        <w:pStyle w:val="ListParagraph"/>
        <w:numPr>
          <w:ilvl w:val="0"/>
          <w:numId w:val="23"/>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The current minimum doorway clear opening of 760 mm is inadequate for many modern mobility devices; increases were recommended.</w:t>
      </w:r>
    </w:p>
    <w:p w14:paraId="0E42D284" w14:textId="77777777" w:rsidR="00844C99" w:rsidRPr="00EB13BF" w:rsidRDefault="00844C99" w:rsidP="000F03A2">
      <w:pPr>
        <w:pStyle w:val="ListParagraph"/>
        <w:numPr>
          <w:ilvl w:val="0"/>
          <w:numId w:val="23"/>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Wider corridors, passing spaces and generous corner turning radii are needed to support manoeuvring.</w:t>
      </w:r>
    </w:p>
    <w:p w14:paraId="5C3DC0D2" w14:textId="77777777" w:rsidR="00CC663C" w:rsidRPr="005F1F05" w:rsidRDefault="00CC663C" w:rsidP="003B64BB">
      <w:pPr>
        <w:pStyle w:val="ListParagraph"/>
        <w:numPr>
          <w:ilvl w:val="0"/>
          <w:numId w:val="23"/>
        </w:numPr>
        <w:spacing w:line="276" w:lineRule="auto"/>
        <w:rPr>
          <w:rFonts w:eastAsia="Times New Roman" w:cstheme="minorHAnsi"/>
          <w:color w:val="auto"/>
          <w:sz w:val="22"/>
          <w:lang w:eastAsia="en-NZ"/>
        </w:rPr>
      </w:pPr>
      <w:r w:rsidRPr="005F1F05">
        <w:rPr>
          <w:rFonts w:eastAsia="Times New Roman" w:cstheme="minorHAnsi"/>
          <w:color w:val="auto"/>
          <w:sz w:val="22"/>
          <w:lang w:eastAsia="en-NZ"/>
        </w:rPr>
        <w:t>Access routes to doors should provide straight or gently angled approaches, avoiding sharply constrained turning angles.</w:t>
      </w:r>
    </w:p>
    <w:p w14:paraId="7F78C9F0" w14:textId="5F51A6A7" w:rsidR="00844C99" w:rsidRPr="00844C99" w:rsidRDefault="00844C99" w:rsidP="003B64BB">
      <w:pPr>
        <w:spacing w:before="240"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Thresholds, kerbs and drainage</w:t>
      </w:r>
    </w:p>
    <w:p w14:paraId="57E7F4BF" w14:textId="35DDB2B7" w:rsidR="00844C99" w:rsidRPr="00EB13BF" w:rsidRDefault="00844C99" w:rsidP="000F03A2">
      <w:pPr>
        <w:pStyle w:val="ListParagraph"/>
        <w:numPr>
          <w:ilvl w:val="0"/>
          <w:numId w:val="24"/>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 xml:space="preserve">Threshold lips should be minimised and </w:t>
      </w:r>
      <w:r w:rsidR="005F1F05">
        <w:rPr>
          <w:rFonts w:ascii="Calibri" w:eastAsia="MS Mincho" w:hAnsi="Calibri" w:cs="Calibri"/>
          <w:color w:val="auto"/>
          <w:sz w:val="22"/>
        </w:rPr>
        <w:t>bevelled</w:t>
      </w:r>
      <w:r w:rsidR="0098279A">
        <w:rPr>
          <w:rFonts w:ascii="Calibri" w:eastAsia="MS Mincho" w:hAnsi="Calibri" w:cs="Calibri"/>
          <w:color w:val="auto"/>
          <w:sz w:val="22"/>
        </w:rPr>
        <w:t xml:space="preserve"> (</w:t>
      </w:r>
      <w:r w:rsidRPr="00EB13BF">
        <w:rPr>
          <w:rFonts w:ascii="Calibri" w:eastAsia="MS Mincho" w:hAnsi="Calibri" w:cs="Calibri"/>
          <w:color w:val="auto"/>
          <w:sz w:val="22"/>
        </w:rPr>
        <w:t>chamfered</w:t>
      </w:r>
      <w:r w:rsidR="0098279A">
        <w:rPr>
          <w:rFonts w:ascii="Calibri" w:eastAsia="MS Mincho" w:hAnsi="Calibri" w:cs="Calibri"/>
          <w:color w:val="auto"/>
          <w:sz w:val="22"/>
        </w:rPr>
        <w:t>)</w:t>
      </w:r>
      <w:r w:rsidRPr="00EB13BF">
        <w:rPr>
          <w:rFonts w:ascii="Calibri" w:eastAsia="MS Mincho" w:hAnsi="Calibri" w:cs="Calibri"/>
          <w:color w:val="auto"/>
          <w:sz w:val="22"/>
        </w:rPr>
        <w:t>; larger lips and steep transitions create hazards.</w:t>
      </w:r>
    </w:p>
    <w:p w14:paraId="78A52743" w14:textId="77777777" w:rsidR="00844C99" w:rsidRPr="00EB13BF" w:rsidRDefault="00844C99" w:rsidP="000F03A2">
      <w:pPr>
        <w:pStyle w:val="ListParagraph"/>
        <w:numPr>
          <w:ilvl w:val="0"/>
          <w:numId w:val="24"/>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lastRenderedPageBreak/>
        <w:t>Kerb ramp design should keep users set back from traffic and avoid catches at gutters and grates.</w:t>
      </w:r>
    </w:p>
    <w:p w14:paraId="72E03A69" w14:textId="77777777" w:rsidR="00844C99" w:rsidRPr="00EB13BF" w:rsidRDefault="00844C99" w:rsidP="000F03A2">
      <w:pPr>
        <w:pStyle w:val="ListParagraph"/>
        <w:numPr>
          <w:ilvl w:val="0"/>
          <w:numId w:val="24"/>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Road resurfacing and maintenance can degrade accessibility over time and needs to be managed.</w:t>
      </w:r>
    </w:p>
    <w:p w14:paraId="1F2DBEC4"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Alerts, alarms and egress</w:t>
      </w:r>
    </w:p>
    <w:p w14:paraId="38FC18FB" w14:textId="77777777" w:rsidR="00844C99" w:rsidRPr="00EB13BF" w:rsidRDefault="00844C99" w:rsidP="000F03A2">
      <w:pPr>
        <w:pStyle w:val="ListParagraph"/>
        <w:numPr>
          <w:ilvl w:val="0"/>
          <w:numId w:val="25"/>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Provide both audible and visual alarms in public spaces and bathrooms.</w:t>
      </w:r>
    </w:p>
    <w:p w14:paraId="3A571C5E" w14:textId="77777777" w:rsidR="00844C99" w:rsidRPr="00EB13BF" w:rsidRDefault="00844C99" w:rsidP="000F03A2">
      <w:pPr>
        <w:pStyle w:val="ListParagraph"/>
        <w:numPr>
          <w:ilvl w:val="0"/>
          <w:numId w:val="25"/>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Define places of refuge and consider evacuation equipment and staff training.</w:t>
      </w:r>
    </w:p>
    <w:p w14:paraId="3AE80B0E" w14:textId="77777777" w:rsidR="00844C99" w:rsidRPr="00EB13BF" w:rsidRDefault="00844C99" w:rsidP="000F03A2">
      <w:pPr>
        <w:pStyle w:val="ListParagraph"/>
        <w:numPr>
          <w:ilvl w:val="0"/>
          <w:numId w:val="25"/>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Encourage consideration of evacuation lifts as technology and guidance mature.</w:t>
      </w:r>
    </w:p>
    <w:p w14:paraId="72FCE7CF" w14:textId="77777777" w:rsidR="00844C99" w:rsidRPr="00EB13BF" w:rsidRDefault="00844C99" w:rsidP="000F03A2">
      <w:pPr>
        <w:pStyle w:val="ListParagraph"/>
        <w:numPr>
          <w:ilvl w:val="0"/>
          <w:numId w:val="25"/>
        </w:numPr>
        <w:spacing w:after="200" w:line="276" w:lineRule="auto"/>
        <w:rPr>
          <w:rFonts w:ascii="Calibri" w:eastAsia="MS Mincho" w:hAnsi="Calibri" w:cs="Calibri"/>
          <w:color w:val="auto"/>
          <w:sz w:val="22"/>
        </w:rPr>
      </w:pPr>
      <w:r w:rsidRPr="00EB13BF">
        <w:rPr>
          <w:rFonts w:ascii="Calibri" w:eastAsia="MS Mincho" w:hAnsi="Calibri" w:cs="Calibri"/>
          <w:color w:val="auto"/>
          <w:sz w:val="22"/>
        </w:rPr>
        <w:t>Assisted change and bathrooms</w:t>
      </w:r>
    </w:p>
    <w:p w14:paraId="6B55D43A" w14:textId="77777777" w:rsidR="00844C99" w:rsidRPr="00EB13BF" w:rsidRDefault="00844C99" w:rsidP="000F03A2">
      <w:pPr>
        <w:pStyle w:val="ListParagraph"/>
        <w:numPr>
          <w:ilvl w:val="0"/>
          <w:numId w:val="25"/>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Include adult assisted change facilities and distinguish them from baby change.</w:t>
      </w:r>
    </w:p>
    <w:p w14:paraId="56BBA1CA" w14:textId="77777777" w:rsidR="00844C99" w:rsidRPr="00EB13BF" w:rsidRDefault="00844C99" w:rsidP="000F03A2">
      <w:pPr>
        <w:pStyle w:val="ListParagraph"/>
        <w:numPr>
          <w:ilvl w:val="0"/>
          <w:numId w:val="25"/>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Provide left and right transfer options where multiple facilities exist and indicate transfer side on signage.</w:t>
      </w:r>
    </w:p>
    <w:p w14:paraId="773AB1CC" w14:textId="77777777" w:rsidR="00844C99" w:rsidRPr="00EB13BF" w:rsidRDefault="00844C99" w:rsidP="000F03A2">
      <w:pPr>
        <w:pStyle w:val="ListParagraph"/>
        <w:numPr>
          <w:ilvl w:val="0"/>
          <w:numId w:val="25"/>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Review placement and heights of grab rails, fixtures and controls; avoid clutter in transfer zones.</w:t>
      </w:r>
    </w:p>
    <w:p w14:paraId="21C3E323" w14:textId="2141765E"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 xml:space="preserve">Vehicle access, parking and </w:t>
      </w:r>
      <w:r w:rsidR="004B0768">
        <w:rPr>
          <w:rFonts w:ascii="Calibri" w:eastAsia="MS Mincho" w:hAnsi="Calibri" w:cs="Calibri"/>
          <w:color w:val="auto"/>
          <w:sz w:val="22"/>
          <w:u w:val="single"/>
        </w:rPr>
        <w:t>drop-off</w:t>
      </w:r>
    </w:p>
    <w:p w14:paraId="72ED6B49" w14:textId="77777777" w:rsidR="00844C99" w:rsidRPr="00EB13BF" w:rsidRDefault="00844C99" w:rsidP="000F03A2">
      <w:pPr>
        <w:pStyle w:val="ListParagraph"/>
        <w:numPr>
          <w:ilvl w:val="0"/>
          <w:numId w:val="26"/>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Define accessible parallel parking with step free, level access aligned to vehicle doors and ramps.</w:t>
      </w:r>
    </w:p>
    <w:p w14:paraId="1939CADB" w14:textId="77777777" w:rsidR="00844C99" w:rsidRPr="00EB13BF" w:rsidRDefault="00844C99" w:rsidP="000F03A2">
      <w:pPr>
        <w:pStyle w:val="ListParagraph"/>
        <w:numPr>
          <w:ilvl w:val="0"/>
          <w:numId w:val="26"/>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Provide space both sides of vehicles and allow rear clearance for ramps or hoists, with adequate headroom in structures.</w:t>
      </w:r>
    </w:p>
    <w:p w14:paraId="5927E66F" w14:textId="6766BD6D" w:rsidR="00844C99" w:rsidRPr="00EB13BF" w:rsidRDefault="00844C99" w:rsidP="000F03A2">
      <w:pPr>
        <w:pStyle w:val="ListParagraph"/>
        <w:numPr>
          <w:ilvl w:val="0"/>
          <w:numId w:val="26"/>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 xml:space="preserve">Where general parking is reduced, ensure accessible </w:t>
      </w:r>
      <w:r w:rsidR="004B0768">
        <w:rPr>
          <w:rFonts w:ascii="Calibri" w:eastAsia="MS Mincho" w:hAnsi="Calibri" w:cs="Calibri"/>
          <w:color w:val="auto"/>
          <w:sz w:val="22"/>
        </w:rPr>
        <w:t>drop-off</w:t>
      </w:r>
      <w:r w:rsidRPr="00EB13BF">
        <w:rPr>
          <w:rFonts w:ascii="Calibri" w:eastAsia="MS Mincho" w:hAnsi="Calibri" w:cs="Calibri"/>
          <w:color w:val="auto"/>
          <w:sz w:val="22"/>
        </w:rPr>
        <w:t xml:space="preserve"> points connect to accessible routes.</w:t>
      </w:r>
    </w:p>
    <w:p w14:paraId="6AC016F9"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Stairs, ramps and handrails</w:t>
      </w:r>
    </w:p>
    <w:p w14:paraId="663E48D0" w14:textId="77777777" w:rsidR="00844C99" w:rsidRPr="00EB13BF" w:rsidRDefault="00844C99" w:rsidP="000F03A2">
      <w:pPr>
        <w:pStyle w:val="ListParagraph"/>
        <w:numPr>
          <w:ilvl w:val="0"/>
          <w:numId w:val="27"/>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Stairs require consistent compliance even where ramps or lifts are provided.</w:t>
      </w:r>
    </w:p>
    <w:p w14:paraId="7E7C4526" w14:textId="77777777" w:rsidR="00844C99" w:rsidRPr="00EB13BF" w:rsidRDefault="00844C99" w:rsidP="000F03A2">
      <w:pPr>
        <w:pStyle w:val="ListParagraph"/>
        <w:numPr>
          <w:ilvl w:val="0"/>
          <w:numId w:val="27"/>
        </w:numPr>
        <w:tabs>
          <w:tab w:val="num" w:pos="360"/>
        </w:tabs>
        <w:spacing w:after="200" w:line="276" w:lineRule="auto"/>
        <w:rPr>
          <w:rFonts w:ascii="Calibri" w:eastAsia="MS Mincho" w:hAnsi="Calibri" w:cs="Calibri"/>
          <w:color w:val="auto"/>
          <w:sz w:val="22"/>
        </w:rPr>
      </w:pPr>
      <w:r w:rsidRPr="00EB13BF">
        <w:rPr>
          <w:rFonts w:ascii="Calibri" w:eastAsia="MS Mincho" w:hAnsi="Calibri" w:cs="Calibri"/>
          <w:color w:val="auto"/>
          <w:sz w:val="22"/>
        </w:rPr>
        <w:t>Provide continuous, dual height handrails with good contrast and lighting, and extend rails beyond top and bottom lands.</w:t>
      </w:r>
    </w:p>
    <w:p w14:paraId="0075D119"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Lifts design, controls and usability</w:t>
      </w:r>
    </w:p>
    <w:p w14:paraId="42E35D29" w14:textId="77777777" w:rsidR="00844C99" w:rsidRPr="006649E4" w:rsidRDefault="00844C99" w:rsidP="000F03A2">
      <w:pPr>
        <w:pStyle w:val="ListParagraph"/>
        <w:numPr>
          <w:ilvl w:val="0"/>
          <w:numId w:val="28"/>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Destination controlled touchscreens often lack accessible alternatives; provide numeric keypads, audio and clear indicators.</w:t>
      </w:r>
    </w:p>
    <w:p w14:paraId="2779C6C3" w14:textId="77777777" w:rsidR="00844C99" w:rsidRPr="006649E4" w:rsidRDefault="00844C99" w:rsidP="000F03A2">
      <w:pPr>
        <w:pStyle w:val="ListParagraph"/>
        <w:numPr>
          <w:ilvl w:val="0"/>
          <w:numId w:val="28"/>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Place secondary control panels with braille and tactile features at appropriate heights with clear spacing.</w:t>
      </w:r>
    </w:p>
    <w:p w14:paraId="05CAF61E" w14:textId="77777777" w:rsidR="00844C99" w:rsidRPr="006649E4" w:rsidRDefault="00844C99" w:rsidP="000F03A2">
      <w:pPr>
        <w:pStyle w:val="ListParagraph"/>
        <w:numPr>
          <w:ilvl w:val="0"/>
          <w:numId w:val="28"/>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Use mirrors and finishes that support orientation and visual comfort.</w:t>
      </w:r>
    </w:p>
    <w:p w14:paraId="5650971E"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Heritage and existing buildings</w:t>
      </w:r>
    </w:p>
    <w:p w14:paraId="6CC238E8" w14:textId="77777777" w:rsidR="00844C99" w:rsidRPr="006649E4" w:rsidRDefault="00844C99" w:rsidP="000F03A2">
      <w:pPr>
        <w:pStyle w:val="ListParagraph"/>
        <w:numPr>
          <w:ilvl w:val="0"/>
          <w:numId w:val="29"/>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Clarify practical expectations for accessibility improvements during consented works and balance heritage with access.</w:t>
      </w:r>
    </w:p>
    <w:p w14:paraId="720E0268"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lastRenderedPageBreak/>
        <w:t>Security and access control</w:t>
      </w:r>
    </w:p>
    <w:p w14:paraId="1E7F3FCD" w14:textId="77777777" w:rsidR="00844C99" w:rsidRPr="006649E4" w:rsidRDefault="00844C99" w:rsidP="000F03A2">
      <w:pPr>
        <w:pStyle w:val="ListParagraph"/>
        <w:numPr>
          <w:ilvl w:val="0"/>
          <w:numId w:val="29"/>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Security devices and timings must not undermine equitable access; rules should be consistent across users.</w:t>
      </w:r>
    </w:p>
    <w:p w14:paraId="12BF643B"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Lighting, contrast and visual comfort</w:t>
      </w:r>
    </w:p>
    <w:p w14:paraId="5374ED38" w14:textId="77777777" w:rsidR="00844C99" w:rsidRPr="006649E4" w:rsidRDefault="00844C99" w:rsidP="000F03A2">
      <w:pPr>
        <w:pStyle w:val="ListParagraph"/>
        <w:numPr>
          <w:ilvl w:val="0"/>
          <w:numId w:val="29"/>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Address gaps in illumination, glare control and contrast guidance across spaces; avoid finishes that create glare or visual confusion.</w:t>
      </w:r>
    </w:p>
    <w:p w14:paraId="47BD699D"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Glass, manifestations and visual safety</w:t>
      </w:r>
    </w:p>
    <w:p w14:paraId="488997EF" w14:textId="77777777" w:rsidR="00844C99" w:rsidRPr="006649E4" w:rsidRDefault="00844C99" w:rsidP="000F03A2">
      <w:pPr>
        <w:pStyle w:val="ListParagraph"/>
        <w:numPr>
          <w:ilvl w:val="0"/>
          <w:numId w:val="29"/>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Provide manifestations within viewing zones for seated and standing users and clearly mark automatic doors.</w:t>
      </w:r>
    </w:p>
    <w:p w14:paraId="619674E1"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Education, enforcement and acceptable solutions</w:t>
      </w:r>
    </w:p>
    <w:p w14:paraId="640EB966" w14:textId="77777777" w:rsidR="00844C99" w:rsidRPr="006649E4" w:rsidRDefault="00844C99" w:rsidP="000F03A2">
      <w:pPr>
        <w:pStyle w:val="ListParagraph"/>
        <w:numPr>
          <w:ilvl w:val="0"/>
          <w:numId w:val="29"/>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Awareness and interpretation gaps persist among designers and consent teams.</w:t>
      </w:r>
    </w:p>
    <w:p w14:paraId="23EB59D8" w14:textId="77777777" w:rsidR="00844C99" w:rsidRPr="006649E4" w:rsidRDefault="00844C99" w:rsidP="000F03A2">
      <w:pPr>
        <w:pStyle w:val="ListParagraph"/>
        <w:numPr>
          <w:ilvl w:val="0"/>
          <w:numId w:val="29"/>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Consider periodic accessibility reviews and keep circulation and transfer spaces free of obstructions.</w:t>
      </w:r>
    </w:p>
    <w:p w14:paraId="16E27A81"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Recreation and public spaces</w:t>
      </w:r>
    </w:p>
    <w:p w14:paraId="098261D6" w14:textId="77777777" w:rsidR="00844C99" w:rsidRPr="006649E4" w:rsidRDefault="00844C99" w:rsidP="000F03A2">
      <w:pPr>
        <w:pStyle w:val="ListParagraph"/>
        <w:numPr>
          <w:ilvl w:val="0"/>
          <w:numId w:val="30"/>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Explicitly include accessible playgrounds, shaded seating and accessible gates or perimeter controls.</w:t>
      </w:r>
    </w:p>
    <w:p w14:paraId="69F00058"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Hotels, rest homes and accommodation</w:t>
      </w:r>
    </w:p>
    <w:p w14:paraId="374A1340" w14:textId="77777777" w:rsidR="00844C99" w:rsidRPr="006649E4" w:rsidRDefault="00844C99" w:rsidP="000F03A2">
      <w:pPr>
        <w:pStyle w:val="ListParagraph"/>
        <w:numPr>
          <w:ilvl w:val="0"/>
          <w:numId w:val="30"/>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Increase accessible room numbers and distribute by type and price; ensure space around beds and accessible fixtures.</w:t>
      </w:r>
    </w:p>
    <w:p w14:paraId="2FD14B94" w14:textId="3F55D657" w:rsidR="00844C99" w:rsidRPr="006649E4" w:rsidRDefault="00844C99" w:rsidP="000F03A2">
      <w:pPr>
        <w:pStyle w:val="ListParagraph"/>
        <w:numPr>
          <w:ilvl w:val="0"/>
          <w:numId w:val="30"/>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Provide visual and vibration alerting in rooms for d</w:t>
      </w:r>
      <w:r w:rsidR="006C57F9">
        <w:rPr>
          <w:rFonts w:ascii="Calibri" w:eastAsia="MS Mincho" w:hAnsi="Calibri" w:cs="Calibri"/>
          <w:color w:val="auto"/>
          <w:sz w:val="22"/>
        </w:rPr>
        <w:t>/D</w:t>
      </w:r>
      <w:r w:rsidRPr="006649E4">
        <w:rPr>
          <w:rFonts w:ascii="Calibri" w:eastAsia="MS Mincho" w:hAnsi="Calibri" w:cs="Calibri"/>
          <w:color w:val="auto"/>
          <w:sz w:val="22"/>
        </w:rPr>
        <w:t>eaf and hard of hearing guests.</w:t>
      </w:r>
    </w:p>
    <w:p w14:paraId="0B4D31A1" w14:textId="77777777" w:rsidR="00844C99" w:rsidRPr="00844C99" w:rsidRDefault="00844C99" w:rsidP="00844C99">
      <w:pPr>
        <w:spacing w:after="200" w:line="276" w:lineRule="auto"/>
        <w:rPr>
          <w:rFonts w:ascii="Calibri" w:eastAsia="MS Mincho" w:hAnsi="Calibri" w:cs="Calibri"/>
          <w:color w:val="auto"/>
          <w:sz w:val="22"/>
          <w:u w:val="single"/>
        </w:rPr>
      </w:pPr>
      <w:r w:rsidRPr="00844C99">
        <w:rPr>
          <w:rFonts w:ascii="Calibri" w:eastAsia="MS Mincho" w:hAnsi="Calibri" w:cs="Calibri"/>
          <w:color w:val="auto"/>
          <w:sz w:val="22"/>
          <w:u w:val="single"/>
        </w:rPr>
        <w:t>Scope and inclusivity of standards</w:t>
      </w:r>
    </w:p>
    <w:p w14:paraId="2B759E31" w14:textId="77777777" w:rsidR="00844C99" w:rsidRPr="006649E4" w:rsidRDefault="00844C99" w:rsidP="000F03A2">
      <w:pPr>
        <w:pStyle w:val="ListParagraph"/>
        <w:numPr>
          <w:ilvl w:val="0"/>
          <w:numId w:val="31"/>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Broaden beyond wheelchair centric provisions to include neurodiversity, sensory needs and cognitive accessibility.</w:t>
      </w:r>
    </w:p>
    <w:p w14:paraId="5A429A30" w14:textId="77777777" w:rsidR="00844C99" w:rsidRPr="006649E4" w:rsidRDefault="00844C99" w:rsidP="000F03A2">
      <w:pPr>
        <w:pStyle w:val="ListParagraph"/>
        <w:numPr>
          <w:ilvl w:val="0"/>
          <w:numId w:val="31"/>
        </w:numPr>
        <w:tabs>
          <w:tab w:val="num" w:pos="360"/>
        </w:tabs>
        <w:spacing w:after="200" w:line="276" w:lineRule="auto"/>
        <w:rPr>
          <w:rFonts w:ascii="Calibri" w:eastAsia="MS Mincho" w:hAnsi="Calibri" w:cs="Calibri"/>
          <w:color w:val="auto"/>
          <w:sz w:val="22"/>
        </w:rPr>
      </w:pPr>
      <w:r w:rsidRPr="006649E4">
        <w:rPr>
          <w:rFonts w:ascii="Calibri" w:eastAsia="MS Mincho" w:hAnsi="Calibri" w:cs="Calibri"/>
          <w:color w:val="auto"/>
          <w:sz w:val="22"/>
        </w:rPr>
        <w:t>Reference relevant national and international guidance where appropriate.</w:t>
      </w:r>
    </w:p>
    <w:p w14:paraId="5EF524E1" w14:textId="77777777" w:rsidR="00F05335" w:rsidRDefault="00F05335">
      <w:pPr>
        <w:spacing w:after="160" w:line="259" w:lineRule="auto"/>
        <w:rPr>
          <w:rFonts w:asciiTheme="majorHAnsi" w:eastAsia="MS Gothic" w:hAnsiTheme="majorHAnsi" w:cstheme="majorBidi"/>
          <w:color w:val="005D7C" w:themeColor="accent1" w:themeShade="BF"/>
          <w:sz w:val="28"/>
          <w:szCs w:val="32"/>
        </w:rPr>
      </w:pPr>
      <w:r>
        <w:rPr>
          <w:rFonts w:eastAsia="MS Gothic"/>
        </w:rPr>
        <w:br w:type="page"/>
      </w:r>
    </w:p>
    <w:p w14:paraId="4821FBDA" w14:textId="58903896" w:rsidR="00844C99" w:rsidRPr="00844C99" w:rsidRDefault="00844C99" w:rsidP="00AC54F7">
      <w:pPr>
        <w:pStyle w:val="Heading2"/>
        <w:rPr>
          <w:rFonts w:eastAsia="MS Gothic"/>
        </w:rPr>
      </w:pPr>
      <w:bookmarkStart w:id="27" w:name="_Toc227156483"/>
      <w:r w:rsidRPr="00844C99">
        <w:rPr>
          <w:rFonts w:eastAsia="MS Gothic"/>
        </w:rPr>
        <w:lastRenderedPageBreak/>
        <w:t>Options for future revision of NZ</w:t>
      </w:r>
      <w:r w:rsidR="00557CC1">
        <w:rPr>
          <w:rFonts w:eastAsia="MS Gothic"/>
        </w:rPr>
        <w:t>S</w:t>
      </w:r>
      <w:r w:rsidRPr="00844C99">
        <w:rPr>
          <w:rFonts w:eastAsia="MS Gothic"/>
        </w:rPr>
        <w:t xml:space="preserve"> 4121</w:t>
      </w:r>
      <w:r w:rsidR="004E76AA">
        <w:rPr>
          <w:rFonts w:eastAsia="MS Gothic"/>
        </w:rPr>
        <w:t>:2001</w:t>
      </w:r>
      <w:bookmarkEnd w:id="27"/>
    </w:p>
    <w:p w14:paraId="5AC7C0EC" w14:textId="6A139563" w:rsidR="00844C99" w:rsidRPr="00844C99" w:rsidRDefault="007E3F14" w:rsidP="00844C99">
      <w:pPr>
        <w:spacing w:after="200" w:line="276" w:lineRule="auto"/>
        <w:rPr>
          <w:rFonts w:ascii="Calibri" w:eastAsia="MS Mincho" w:hAnsi="Calibri" w:cs="Calibri"/>
          <w:color w:val="auto"/>
          <w:sz w:val="22"/>
        </w:rPr>
      </w:pPr>
      <w:r>
        <w:rPr>
          <w:rFonts w:ascii="Calibri" w:eastAsia="MS Mincho" w:hAnsi="Calibri" w:cs="Calibri"/>
          <w:color w:val="auto"/>
          <w:sz w:val="22"/>
        </w:rPr>
        <w:t>As s</w:t>
      </w:r>
      <w:r w:rsidR="00844C99" w:rsidRPr="00844C99">
        <w:rPr>
          <w:rFonts w:ascii="Calibri" w:eastAsia="MS Mincho" w:hAnsi="Calibri" w:cs="Calibri"/>
          <w:color w:val="auto"/>
          <w:sz w:val="22"/>
        </w:rPr>
        <w:t xml:space="preserve">coping </w:t>
      </w:r>
      <w:r>
        <w:rPr>
          <w:rFonts w:ascii="Calibri" w:eastAsia="MS Mincho" w:hAnsi="Calibri" w:cs="Calibri"/>
          <w:color w:val="auto"/>
          <w:sz w:val="22"/>
        </w:rPr>
        <w:t>workshops</w:t>
      </w:r>
      <w:r w:rsidR="00844C99" w:rsidRPr="00844C99">
        <w:rPr>
          <w:rFonts w:ascii="Calibri" w:eastAsia="MS Mincho" w:hAnsi="Calibri" w:cs="Calibri"/>
          <w:color w:val="auto"/>
          <w:sz w:val="22"/>
        </w:rPr>
        <w:t xml:space="preserve"> </w:t>
      </w:r>
      <w:r>
        <w:rPr>
          <w:rFonts w:ascii="Calibri" w:eastAsia="MS Mincho" w:hAnsi="Calibri" w:cs="Calibri"/>
          <w:color w:val="auto"/>
          <w:sz w:val="22"/>
        </w:rPr>
        <w:t>resulted in</w:t>
      </w:r>
      <w:r w:rsidR="00844C99" w:rsidRPr="00844C99">
        <w:rPr>
          <w:rFonts w:ascii="Calibri" w:eastAsia="MS Mincho" w:hAnsi="Calibri" w:cs="Calibri"/>
          <w:color w:val="auto"/>
          <w:sz w:val="22"/>
        </w:rPr>
        <w:t xml:space="preserve"> a substantial list of issues </w:t>
      </w:r>
      <w:r w:rsidR="006A4CCE">
        <w:rPr>
          <w:rFonts w:ascii="Calibri" w:eastAsia="MS Mincho" w:hAnsi="Calibri" w:cs="Calibri"/>
          <w:color w:val="auto"/>
          <w:sz w:val="22"/>
        </w:rPr>
        <w:t xml:space="preserve">(summarised in Appendix A) </w:t>
      </w:r>
      <w:r w:rsidR="00844C99" w:rsidRPr="00844C99">
        <w:rPr>
          <w:rFonts w:ascii="Calibri" w:eastAsia="MS Mincho" w:hAnsi="Calibri" w:cs="Calibri"/>
          <w:color w:val="auto"/>
          <w:sz w:val="22"/>
        </w:rPr>
        <w:t xml:space="preserve">with the existing 2001 standard, in </w:t>
      </w:r>
      <w:r w:rsidR="006A4CCE">
        <w:rPr>
          <w:rFonts w:ascii="Calibri" w:eastAsia="MS Mincho" w:hAnsi="Calibri" w:cs="Calibri"/>
          <w:color w:val="auto"/>
          <w:sz w:val="22"/>
        </w:rPr>
        <w:t>Standards New Zealand</w:t>
      </w:r>
      <w:r w:rsidR="0055139A">
        <w:rPr>
          <w:rFonts w:ascii="Calibri" w:eastAsia="MS Mincho" w:hAnsi="Calibri" w:cs="Calibri"/>
          <w:color w:val="auto"/>
          <w:sz w:val="22"/>
        </w:rPr>
        <w:t>’s</w:t>
      </w:r>
      <w:r w:rsidR="00844C99" w:rsidRPr="00844C99">
        <w:rPr>
          <w:rFonts w:ascii="Calibri" w:eastAsia="MS Mincho" w:hAnsi="Calibri" w:cs="Calibri"/>
          <w:color w:val="auto"/>
          <w:sz w:val="22"/>
        </w:rPr>
        <w:t xml:space="preserve"> opinion, </w:t>
      </w:r>
      <w:r w:rsidR="006A4CCE">
        <w:rPr>
          <w:rFonts w:ascii="Calibri" w:eastAsia="MS Mincho" w:hAnsi="Calibri" w:cs="Calibri"/>
          <w:color w:val="auto"/>
          <w:sz w:val="22"/>
        </w:rPr>
        <w:t>main</w:t>
      </w:r>
      <w:r w:rsidR="00844C99" w:rsidRPr="00844C99">
        <w:rPr>
          <w:rFonts w:ascii="Calibri" w:eastAsia="MS Mincho" w:hAnsi="Calibri" w:cs="Calibri"/>
          <w:color w:val="auto"/>
          <w:sz w:val="22"/>
        </w:rPr>
        <w:t>taining the status quo (</w:t>
      </w:r>
      <w:r w:rsidR="00557CC1">
        <w:rPr>
          <w:rFonts w:ascii="Calibri" w:eastAsia="MS Mincho" w:hAnsi="Calibri" w:cs="Calibri"/>
          <w:color w:val="auto"/>
          <w:sz w:val="22"/>
        </w:rPr>
        <w:t>in other words,</w:t>
      </w:r>
      <w:r w:rsidR="00844C99" w:rsidRPr="00844C99">
        <w:rPr>
          <w:rFonts w:ascii="Calibri" w:eastAsia="MS Mincho" w:hAnsi="Calibri" w:cs="Calibri"/>
          <w:color w:val="auto"/>
          <w:sz w:val="22"/>
        </w:rPr>
        <w:t xml:space="preserve"> not changing the existing standard) does not represent a viable option. </w:t>
      </w:r>
    </w:p>
    <w:p w14:paraId="475DBEBF" w14:textId="02ED8980" w:rsidR="00CC06A6" w:rsidRPr="00CC06A6" w:rsidRDefault="00844C99" w:rsidP="00AC1C4D">
      <w:pPr>
        <w:spacing w:after="200" w:line="276" w:lineRule="auto"/>
        <w:rPr>
          <w:rFonts w:ascii="Calibri" w:eastAsia="MS Mincho" w:hAnsi="Calibri" w:cs="Calibri"/>
          <w:color w:val="auto"/>
          <w:sz w:val="22"/>
        </w:rPr>
      </w:pPr>
      <w:r w:rsidRPr="00844C99">
        <w:rPr>
          <w:rFonts w:ascii="Calibri" w:eastAsia="MS Mincho" w:hAnsi="Calibri" w:cs="Calibri"/>
          <w:color w:val="auto"/>
          <w:sz w:val="22"/>
        </w:rPr>
        <w:t xml:space="preserve">Based on feedback from </w:t>
      </w:r>
      <w:r w:rsidR="006A4CCE">
        <w:rPr>
          <w:rFonts w:ascii="Calibri" w:eastAsia="MS Mincho" w:hAnsi="Calibri" w:cs="Calibri"/>
          <w:color w:val="auto"/>
          <w:sz w:val="22"/>
        </w:rPr>
        <w:t xml:space="preserve">the </w:t>
      </w:r>
      <w:r w:rsidRPr="00844C99">
        <w:rPr>
          <w:rFonts w:ascii="Calibri" w:eastAsia="MS Mincho" w:hAnsi="Calibri" w:cs="Calibri"/>
          <w:color w:val="auto"/>
          <w:sz w:val="22"/>
        </w:rPr>
        <w:t>scoping workshops</w:t>
      </w:r>
      <w:r w:rsidR="004E17E6">
        <w:rPr>
          <w:rFonts w:ascii="Calibri" w:eastAsia="MS Mincho" w:hAnsi="Calibri" w:cs="Calibri"/>
          <w:color w:val="auto"/>
          <w:sz w:val="22"/>
        </w:rPr>
        <w:t xml:space="preserve">, </w:t>
      </w:r>
      <w:r w:rsidRPr="00844C99">
        <w:rPr>
          <w:rFonts w:ascii="Calibri" w:eastAsia="MS Mincho" w:hAnsi="Calibri" w:cs="Calibri"/>
          <w:color w:val="auto"/>
          <w:sz w:val="22"/>
        </w:rPr>
        <w:t>findings of the Environmental Scan by Global Research Ltd</w:t>
      </w:r>
      <w:r w:rsidR="004E17E6">
        <w:rPr>
          <w:rFonts w:ascii="Calibri" w:eastAsia="MS Mincho" w:hAnsi="Calibri" w:cs="Calibri"/>
          <w:color w:val="auto"/>
          <w:sz w:val="22"/>
        </w:rPr>
        <w:t xml:space="preserve"> and consultations with MBIE BSP, </w:t>
      </w:r>
      <w:r w:rsidRPr="00844C99">
        <w:rPr>
          <w:rFonts w:ascii="Calibri" w:eastAsia="MS Mincho" w:hAnsi="Calibri" w:cs="Calibri"/>
          <w:color w:val="auto"/>
          <w:sz w:val="22"/>
        </w:rPr>
        <w:t xml:space="preserve">Standards New Zealand identified the following </w:t>
      </w:r>
      <w:r w:rsidR="00CA5EFB" w:rsidRPr="00E238F9">
        <w:rPr>
          <w:rFonts w:ascii="Calibri" w:eastAsia="MS Mincho" w:hAnsi="Calibri" w:cs="Calibri"/>
          <w:color w:val="auto"/>
          <w:sz w:val="22"/>
        </w:rPr>
        <w:t xml:space="preserve">feasible </w:t>
      </w:r>
      <w:r w:rsidRPr="00E238F9">
        <w:rPr>
          <w:rFonts w:ascii="Calibri" w:eastAsia="MS Mincho" w:hAnsi="Calibri" w:cs="Calibri"/>
          <w:color w:val="auto"/>
          <w:sz w:val="22"/>
        </w:rPr>
        <w:t xml:space="preserve">options for </w:t>
      </w:r>
      <w:r w:rsidR="00CA5EFB" w:rsidRPr="00E238F9">
        <w:rPr>
          <w:rFonts w:ascii="Calibri" w:eastAsia="MS Mincho" w:hAnsi="Calibri" w:cs="Calibri"/>
          <w:color w:val="auto"/>
          <w:sz w:val="22"/>
        </w:rPr>
        <w:t>consideration</w:t>
      </w:r>
      <w:r w:rsidR="00AC1C4D" w:rsidRPr="00E238F9">
        <w:rPr>
          <w:rFonts w:ascii="Calibri" w:eastAsia="MS Mincho" w:hAnsi="Calibri" w:cs="Calibri"/>
          <w:color w:val="auto"/>
          <w:sz w:val="22"/>
        </w:rPr>
        <w:t>:</w:t>
      </w:r>
    </w:p>
    <w:p w14:paraId="4396A8F8" w14:textId="0C56D5AD" w:rsidR="001C7125" w:rsidRPr="00E238F9" w:rsidRDefault="00557CC1" w:rsidP="000F03A2">
      <w:pPr>
        <w:pStyle w:val="Heading3"/>
        <w:numPr>
          <w:ilvl w:val="0"/>
          <w:numId w:val="64"/>
        </w:numPr>
        <w:spacing w:before="0" w:line="276" w:lineRule="auto"/>
        <w:rPr>
          <w:rFonts w:ascii="Calibri" w:eastAsia="MS Mincho" w:hAnsi="Calibri" w:cs="Calibri"/>
          <w:color w:val="auto"/>
          <w:sz w:val="22"/>
          <w:szCs w:val="22"/>
        </w:rPr>
      </w:pPr>
      <w:r w:rsidRPr="00E238F9">
        <w:rPr>
          <w:rFonts w:ascii="Calibri" w:eastAsia="MS Mincho" w:hAnsi="Calibri" w:cs="Calibri"/>
          <w:color w:val="auto"/>
          <w:sz w:val="22"/>
          <w:szCs w:val="22"/>
        </w:rPr>
        <w:t xml:space="preserve">revise </w:t>
      </w:r>
      <w:r w:rsidR="001C7125" w:rsidRPr="00E238F9">
        <w:rPr>
          <w:rFonts w:ascii="Calibri" w:eastAsia="MS Mincho" w:hAnsi="Calibri" w:cs="Calibri"/>
          <w:color w:val="auto"/>
          <w:sz w:val="22"/>
          <w:szCs w:val="22"/>
        </w:rPr>
        <w:t>NZS 4121:2001 using the present standard as the foundation</w:t>
      </w:r>
      <w:r w:rsidR="00CA5EFB" w:rsidRPr="00E238F9">
        <w:rPr>
          <w:rFonts w:ascii="Calibri" w:eastAsia="MS Mincho" w:hAnsi="Calibri" w:cs="Calibri"/>
          <w:color w:val="auto"/>
          <w:sz w:val="22"/>
          <w:szCs w:val="22"/>
        </w:rPr>
        <w:t xml:space="preserve"> – </w:t>
      </w:r>
      <w:r w:rsidR="005530F8" w:rsidRPr="00E238F9">
        <w:rPr>
          <w:rFonts w:ascii="Calibri" w:eastAsia="MS Mincho" w:hAnsi="Calibri" w:cs="Calibri"/>
          <w:color w:val="auto"/>
          <w:sz w:val="22"/>
          <w:szCs w:val="22"/>
        </w:rPr>
        <w:t>utilising</w:t>
      </w:r>
      <w:r w:rsidR="00CA5EFB" w:rsidRPr="00E238F9">
        <w:rPr>
          <w:rFonts w:ascii="Calibri" w:eastAsia="MS Mincho" w:hAnsi="Calibri" w:cs="Calibri"/>
          <w:color w:val="auto"/>
          <w:sz w:val="22"/>
          <w:szCs w:val="22"/>
        </w:rPr>
        <w:t xml:space="preserve"> the best of </w:t>
      </w:r>
      <w:r w:rsidR="005530F8" w:rsidRPr="00E238F9">
        <w:rPr>
          <w:rFonts w:ascii="Calibri" w:eastAsia="MS Mincho" w:hAnsi="Calibri" w:cs="Calibri"/>
          <w:color w:val="auto"/>
          <w:sz w:val="22"/>
          <w:szCs w:val="22"/>
        </w:rPr>
        <w:t>a range of national and international standards content and material where appropriate</w:t>
      </w:r>
    </w:p>
    <w:p w14:paraId="5D55FA74" w14:textId="087B36BB" w:rsidR="001C7125" w:rsidRPr="00CC06A6" w:rsidRDefault="00D2292C" w:rsidP="000F03A2">
      <w:pPr>
        <w:pStyle w:val="Heading3"/>
        <w:numPr>
          <w:ilvl w:val="0"/>
          <w:numId w:val="64"/>
        </w:numPr>
        <w:spacing w:before="0" w:line="276" w:lineRule="auto"/>
        <w:rPr>
          <w:rFonts w:ascii="Calibri" w:eastAsia="MS Mincho" w:hAnsi="Calibri" w:cs="Calibri"/>
          <w:color w:val="auto"/>
          <w:sz w:val="22"/>
          <w:szCs w:val="22"/>
        </w:rPr>
      </w:pPr>
      <w:r w:rsidRPr="00CC06A6">
        <w:rPr>
          <w:rFonts w:ascii="Calibri" w:eastAsia="MS Mincho" w:hAnsi="Calibri" w:cs="Calibri"/>
          <w:color w:val="auto"/>
          <w:sz w:val="22"/>
          <w:szCs w:val="22"/>
        </w:rPr>
        <w:t xml:space="preserve">replace </w:t>
      </w:r>
      <w:r w:rsidR="001C7125" w:rsidRPr="00CC06A6">
        <w:rPr>
          <w:rFonts w:ascii="Calibri" w:eastAsia="MS Mincho" w:hAnsi="Calibri" w:cs="Calibri"/>
          <w:color w:val="auto"/>
          <w:sz w:val="22"/>
          <w:szCs w:val="22"/>
        </w:rPr>
        <w:t>NZS 4121:2001 with a modern overseas standard</w:t>
      </w:r>
    </w:p>
    <w:p w14:paraId="56EB409A" w14:textId="7A501819" w:rsidR="00CC06A6" w:rsidRPr="00E238F9" w:rsidRDefault="00D2292C" w:rsidP="000F03A2">
      <w:pPr>
        <w:pStyle w:val="ListParagraph"/>
        <w:numPr>
          <w:ilvl w:val="0"/>
          <w:numId w:val="64"/>
        </w:numPr>
        <w:spacing w:line="276" w:lineRule="auto"/>
        <w:rPr>
          <w:color w:val="auto"/>
          <w:sz w:val="22"/>
          <w:szCs w:val="24"/>
        </w:rPr>
      </w:pPr>
      <w:r w:rsidRPr="00E238F9">
        <w:rPr>
          <w:color w:val="auto"/>
          <w:sz w:val="22"/>
          <w:szCs w:val="24"/>
        </w:rPr>
        <w:t xml:space="preserve">join </w:t>
      </w:r>
      <w:r w:rsidR="005530F8" w:rsidRPr="00E238F9">
        <w:rPr>
          <w:color w:val="auto"/>
          <w:sz w:val="22"/>
          <w:szCs w:val="24"/>
        </w:rPr>
        <w:t xml:space="preserve">the Australian Standard </w:t>
      </w:r>
      <w:r w:rsidR="001C7125" w:rsidRPr="00E238F9">
        <w:rPr>
          <w:color w:val="auto"/>
          <w:sz w:val="22"/>
          <w:szCs w:val="24"/>
        </w:rPr>
        <w:t>AS 1428.1</w:t>
      </w:r>
      <w:r w:rsidR="001050BA" w:rsidRPr="00E238F9">
        <w:rPr>
          <w:color w:val="auto"/>
          <w:sz w:val="22"/>
          <w:szCs w:val="24"/>
        </w:rPr>
        <w:t>:2021 with New Zealand</w:t>
      </w:r>
      <w:r w:rsidR="005530F8" w:rsidRPr="00E238F9">
        <w:rPr>
          <w:color w:val="auto"/>
          <w:sz w:val="22"/>
          <w:szCs w:val="24"/>
        </w:rPr>
        <w:t xml:space="preserve">, making it a joint AS/NZS </w:t>
      </w:r>
      <w:r w:rsidR="00557CC1">
        <w:rPr>
          <w:color w:val="auto"/>
          <w:sz w:val="22"/>
          <w:szCs w:val="24"/>
        </w:rPr>
        <w:t>s</w:t>
      </w:r>
      <w:r w:rsidR="005530F8" w:rsidRPr="00E238F9">
        <w:rPr>
          <w:color w:val="auto"/>
          <w:sz w:val="22"/>
          <w:szCs w:val="24"/>
        </w:rPr>
        <w:t>tandard</w:t>
      </w:r>
    </w:p>
    <w:p w14:paraId="2BD1BD0C" w14:textId="148829F8" w:rsidR="00CC06A6" w:rsidRPr="00CC06A6" w:rsidRDefault="00D2292C" w:rsidP="000F03A2">
      <w:pPr>
        <w:pStyle w:val="ListParagraph"/>
        <w:numPr>
          <w:ilvl w:val="0"/>
          <w:numId w:val="64"/>
        </w:numPr>
        <w:spacing w:line="276" w:lineRule="auto"/>
        <w:rPr>
          <w:rFonts w:cstheme="minorHAnsi"/>
          <w:sz w:val="24"/>
          <w:szCs w:val="28"/>
        </w:rPr>
      </w:pPr>
      <w:r w:rsidRPr="00E238F9">
        <w:rPr>
          <w:rFonts w:eastAsia="MS Gothic" w:cstheme="minorHAnsi"/>
          <w:color w:val="auto"/>
          <w:sz w:val="22"/>
          <w:szCs w:val="24"/>
        </w:rPr>
        <w:t xml:space="preserve">adopt </w:t>
      </w:r>
      <w:r w:rsidR="005530F8" w:rsidRPr="00E238F9">
        <w:rPr>
          <w:rFonts w:eastAsia="MS Gothic" w:cstheme="minorHAnsi"/>
          <w:color w:val="auto"/>
          <w:sz w:val="22"/>
          <w:szCs w:val="24"/>
        </w:rPr>
        <w:t xml:space="preserve">the international standard </w:t>
      </w:r>
      <w:r w:rsidR="00CC06A6" w:rsidRPr="00CC06A6">
        <w:rPr>
          <w:rFonts w:eastAsia="MS Gothic" w:cstheme="minorHAnsi"/>
          <w:sz w:val="22"/>
          <w:szCs w:val="24"/>
        </w:rPr>
        <w:t>ISO 21542:2021 in New Zealand</w:t>
      </w:r>
      <w:r>
        <w:rPr>
          <w:rFonts w:eastAsia="MS Gothic" w:cstheme="minorHAnsi"/>
          <w:sz w:val="22"/>
          <w:szCs w:val="24"/>
        </w:rPr>
        <w:t>.</w:t>
      </w:r>
      <w:r w:rsidR="00CC06A6" w:rsidRPr="00CC06A6">
        <w:rPr>
          <w:rFonts w:eastAsia="MS Gothic" w:cstheme="minorHAnsi"/>
          <w:i/>
          <w:iCs/>
          <w:sz w:val="22"/>
          <w:szCs w:val="24"/>
        </w:rPr>
        <w:t xml:space="preserve"> </w:t>
      </w:r>
    </w:p>
    <w:p w14:paraId="3D86DF60" w14:textId="77777777" w:rsidR="001C7125" w:rsidRDefault="001C7125" w:rsidP="00AC54F7">
      <w:pPr>
        <w:pStyle w:val="Heading3"/>
        <w:rPr>
          <w:rFonts w:ascii="Calibri" w:eastAsia="MS Mincho" w:hAnsi="Calibri" w:cs="Calibri"/>
          <w:color w:val="auto"/>
          <w:sz w:val="22"/>
          <w:szCs w:val="22"/>
        </w:rPr>
      </w:pPr>
    </w:p>
    <w:p w14:paraId="2391B223" w14:textId="6DB97782" w:rsidR="00844C99" w:rsidRPr="00844C99" w:rsidRDefault="00844C99" w:rsidP="00AC54F7">
      <w:pPr>
        <w:pStyle w:val="Heading3"/>
        <w:rPr>
          <w:rFonts w:eastAsia="MS Gothic"/>
        </w:rPr>
      </w:pPr>
      <w:bookmarkStart w:id="28" w:name="_Hlk224823433"/>
      <w:r w:rsidRPr="00844C99">
        <w:rPr>
          <w:rFonts w:eastAsia="MS Gothic"/>
        </w:rPr>
        <w:t>Option 1 Revise NZS 4121:2001 using the present standard as the foundation</w:t>
      </w:r>
      <w:r w:rsidR="00E0726F">
        <w:rPr>
          <w:rFonts w:eastAsia="MS Gothic"/>
        </w:rPr>
        <w:t xml:space="preserve"> (</w:t>
      </w:r>
      <w:r w:rsidR="002C25C0">
        <w:rPr>
          <w:rFonts w:eastAsia="MS Gothic"/>
        </w:rPr>
        <w:t>Standards New Zealand</w:t>
      </w:r>
      <w:r w:rsidR="00D2292C">
        <w:rPr>
          <w:rFonts w:eastAsia="MS Gothic"/>
        </w:rPr>
        <w:t>’s</w:t>
      </w:r>
      <w:r w:rsidR="00E0726F">
        <w:rPr>
          <w:rFonts w:eastAsia="MS Gothic"/>
        </w:rPr>
        <w:t xml:space="preserve"> recommended option)</w:t>
      </w:r>
    </w:p>
    <w:bookmarkEnd w:id="28"/>
    <w:p w14:paraId="276BAAA7" w14:textId="7D94AE44" w:rsidR="00844C99" w:rsidRPr="00844C99" w:rsidRDefault="00844C99" w:rsidP="00F05335">
      <w:pPr>
        <w:spacing w:before="240" w:after="200" w:line="276" w:lineRule="auto"/>
        <w:rPr>
          <w:rFonts w:ascii="Calibri" w:eastAsia="MS Mincho" w:hAnsi="Calibri" w:cs="Calibri"/>
          <w:b/>
          <w:bCs/>
          <w:color w:val="auto"/>
          <w:sz w:val="22"/>
        </w:rPr>
      </w:pPr>
      <w:r w:rsidRPr="00844C99">
        <w:rPr>
          <w:rFonts w:ascii="Calibri" w:eastAsia="MS Mincho" w:hAnsi="Calibri" w:cs="Calibri"/>
          <w:b/>
          <w:bCs/>
          <w:color w:val="auto"/>
          <w:sz w:val="22"/>
        </w:rPr>
        <w:t>Pros</w:t>
      </w:r>
    </w:p>
    <w:p w14:paraId="08B71FA3" w14:textId="1AD5896C" w:rsidR="00927327" w:rsidRPr="00F14B30" w:rsidRDefault="00844C99" w:rsidP="000F03A2">
      <w:pPr>
        <w:pStyle w:val="ListParagraph"/>
        <w:numPr>
          <w:ilvl w:val="0"/>
          <w:numId w:val="17"/>
        </w:numPr>
        <w:spacing w:after="200" w:line="276" w:lineRule="auto"/>
        <w:rPr>
          <w:rFonts w:ascii="Calibri" w:eastAsia="MS Mincho" w:hAnsi="Calibri" w:cs="Calibri"/>
          <w:color w:val="auto"/>
          <w:sz w:val="22"/>
        </w:rPr>
      </w:pPr>
      <w:r w:rsidRPr="00F14B30">
        <w:rPr>
          <w:rFonts w:ascii="Calibri" w:eastAsia="MS Mincho" w:hAnsi="Calibri" w:cs="Calibri"/>
          <w:color w:val="auto"/>
          <w:sz w:val="22"/>
        </w:rPr>
        <w:t xml:space="preserve">The copyright of NZS 4121:2001 is the property of Standards New Zealand </w:t>
      </w:r>
      <w:r w:rsidR="005530F8" w:rsidRPr="00F14B30">
        <w:rPr>
          <w:rFonts w:ascii="Calibri" w:eastAsia="MS Mincho" w:hAnsi="Calibri" w:cs="Calibri"/>
          <w:color w:val="auto"/>
          <w:sz w:val="22"/>
        </w:rPr>
        <w:t>(N</w:t>
      </w:r>
      <w:r w:rsidR="00D2292C">
        <w:rPr>
          <w:rFonts w:ascii="Calibri" w:eastAsia="MS Mincho" w:hAnsi="Calibri" w:cs="Calibri"/>
          <w:color w:val="auto"/>
          <w:sz w:val="22"/>
        </w:rPr>
        <w:t xml:space="preserve">ew </w:t>
      </w:r>
      <w:r w:rsidR="005530F8" w:rsidRPr="00F14B30">
        <w:rPr>
          <w:rFonts w:ascii="Calibri" w:eastAsia="MS Mincho" w:hAnsi="Calibri" w:cs="Calibri"/>
          <w:color w:val="auto"/>
          <w:sz w:val="22"/>
        </w:rPr>
        <w:t>Z</w:t>
      </w:r>
      <w:r w:rsidR="00D2292C">
        <w:rPr>
          <w:rFonts w:ascii="Calibri" w:eastAsia="MS Mincho" w:hAnsi="Calibri" w:cs="Calibri"/>
          <w:color w:val="auto"/>
          <w:sz w:val="22"/>
        </w:rPr>
        <w:t>ealand</w:t>
      </w:r>
      <w:r w:rsidR="005530F8" w:rsidRPr="00F14B30">
        <w:rPr>
          <w:rFonts w:ascii="Calibri" w:eastAsia="MS Mincho" w:hAnsi="Calibri" w:cs="Calibri"/>
          <w:color w:val="auto"/>
          <w:sz w:val="22"/>
        </w:rPr>
        <w:t xml:space="preserve"> Gov</w:t>
      </w:r>
      <w:r w:rsidR="00E238F9" w:rsidRPr="00F14B30">
        <w:rPr>
          <w:rFonts w:ascii="Calibri" w:eastAsia="MS Mincho" w:hAnsi="Calibri" w:cs="Calibri"/>
          <w:color w:val="auto"/>
          <w:sz w:val="22"/>
        </w:rPr>
        <w:t>ernmen</w:t>
      </w:r>
      <w:r w:rsidR="005530F8" w:rsidRPr="00F14B30">
        <w:rPr>
          <w:rFonts w:ascii="Calibri" w:eastAsia="MS Mincho" w:hAnsi="Calibri" w:cs="Calibri"/>
          <w:color w:val="auto"/>
          <w:sz w:val="22"/>
        </w:rPr>
        <w:t>t)</w:t>
      </w:r>
      <w:r w:rsidRPr="00F14B30">
        <w:rPr>
          <w:rFonts w:ascii="Calibri" w:eastAsia="MS Mincho" w:hAnsi="Calibri" w:cs="Calibri"/>
          <w:color w:val="auto"/>
          <w:sz w:val="22"/>
        </w:rPr>
        <w:t>, therefore</w:t>
      </w:r>
      <w:r w:rsidR="00D2292C">
        <w:rPr>
          <w:rFonts w:ascii="Calibri" w:eastAsia="MS Mincho" w:hAnsi="Calibri" w:cs="Calibri"/>
          <w:color w:val="auto"/>
          <w:sz w:val="22"/>
        </w:rPr>
        <w:t xml:space="preserve"> </w:t>
      </w:r>
      <w:r w:rsidR="00E664C4" w:rsidRPr="00F14B30">
        <w:rPr>
          <w:rFonts w:ascii="Calibri" w:eastAsia="MS Mincho" w:hAnsi="Calibri" w:cs="Calibri"/>
          <w:color w:val="auto"/>
          <w:sz w:val="22"/>
        </w:rPr>
        <w:t xml:space="preserve">the standard is </w:t>
      </w:r>
      <w:r w:rsidRPr="00F14B30">
        <w:rPr>
          <w:rFonts w:ascii="Calibri" w:eastAsia="MS Mincho" w:hAnsi="Calibri" w:cs="Calibri"/>
          <w:color w:val="auto"/>
          <w:sz w:val="22"/>
        </w:rPr>
        <w:t>readily available for revision</w:t>
      </w:r>
      <w:r w:rsidR="005530F8" w:rsidRPr="00F14B30">
        <w:rPr>
          <w:rFonts w:ascii="Calibri" w:eastAsia="MS Mincho" w:hAnsi="Calibri" w:cs="Calibri"/>
          <w:color w:val="auto"/>
          <w:sz w:val="22"/>
        </w:rPr>
        <w:t xml:space="preserve">, can continue (have updated) regulatory citation, and carries recognition, familiarity and authority. </w:t>
      </w:r>
    </w:p>
    <w:p w14:paraId="662633EE" w14:textId="28DAA5ED" w:rsidR="00E84E66" w:rsidRPr="00F14B30" w:rsidRDefault="00E84E66" w:rsidP="000F03A2">
      <w:pPr>
        <w:pStyle w:val="ListParagraph"/>
        <w:numPr>
          <w:ilvl w:val="0"/>
          <w:numId w:val="17"/>
        </w:numPr>
        <w:spacing w:after="200" w:line="276" w:lineRule="auto"/>
        <w:rPr>
          <w:rFonts w:ascii="Calibri" w:eastAsia="MS Mincho" w:hAnsi="Calibri" w:cs="Calibri"/>
          <w:color w:val="auto"/>
          <w:sz w:val="22"/>
        </w:rPr>
      </w:pPr>
      <w:r w:rsidRPr="00F14B30">
        <w:rPr>
          <w:rFonts w:ascii="Calibri" w:eastAsia="MS Mincho" w:hAnsi="Calibri" w:cs="Calibri"/>
          <w:color w:val="auto"/>
          <w:sz w:val="22"/>
        </w:rPr>
        <w:t>The revision can</w:t>
      </w:r>
      <w:r w:rsidR="00726148" w:rsidRPr="00F14B30">
        <w:rPr>
          <w:rFonts w:ascii="Calibri" w:eastAsia="MS Mincho" w:hAnsi="Calibri" w:cs="Calibri"/>
          <w:color w:val="auto"/>
          <w:sz w:val="22"/>
        </w:rPr>
        <w:t xml:space="preserve"> utilise, within</w:t>
      </w:r>
      <w:r w:rsidR="004517A1">
        <w:rPr>
          <w:rFonts w:ascii="Calibri" w:eastAsia="MS Mincho" w:hAnsi="Calibri" w:cs="Calibri"/>
          <w:color w:val="auto"/>
          <w:sz w:val="22"/>
        </w:rPr>
        <w:t xml:space="preserve"> </w:t>
      </w:r>
      <w:r w:rsidR="00726148" w:rsidRPr="00F14B30">
        <w:rPr>
          <w:rFonts w:ascii="Calibri" w:eastAsia="MS Mincho" w:hAnsi="Calibri" w:cs="Calibri"/>
          <w:color w:val="auto"/>
          <w:sz w:val="22"/>
        </w:rPr>
        <w:t xml:space="preserve">reason and subject to copyright restrictions, modern content from </w:t>
      </w:r>
      <w:r w:rsidR="005530F8" w:rsidRPr="00F14B30">
        <w:rPr>
          <w:rFonts w:ascii="Calibri" w:eastAsia="MS Mincho" w:hAnsi="Calibri" w:cs="Calibri"/>
          <w:color w:val="auto"/>
          <w:sz w:val="22"/>
        </w:rPr>
        <w:t xml:space="preserve">other </w:t>
      </w:r>
      <w:r w:rsidR="00726148" w:rsidRPr="00F14B30">
        <w:rPr>
          <w:rFonts w:ascii="Calibri" w:eastAsia="MS Mincho" w:hAnsi="Calibri" w:cs="Calibri"/>
          <w:color w:val="auto"/>
          <w:sz w:val="22"/>
        </w:rPr>
        <w:t xml:space="preserve">international and overseas </w:t>
      </w:r>
      <w:r w:rsidR="005530F8" w:rsidRPr="00F14B30">
        <w:rPr>
          <w:rFonts w:ascii="Calibri" w:eastAsia="MS Mincho" w:hAnsi="Calibri" w:cs="Calibri"/>
          <w:color w:val="auto"/>
          <w:sz w:val="22"/>
        </w:rPr>
        <w:t xml:space="preserve">national </w:t>
      </w:r>
      <w:r w:rsidR="00726148" w:rsidRPr="00F14B30">
        <w:rPr>
          <w:rFonts w:ascii="Calibri" w:eastAsia="MS Mincho" w:hAnsi="Calibri" w:cs="Calibri"/>
          <w:color w:val="auto"/>
          <w:sz w:val="22"/>
        </w:rPr>
        <w:t>standards, thus making NZS</w:t>
      </w:r>
      <w:r w:rsidR="004517A1">
        <w:rPr>
          <w:rFonts w:ascii="Calibri" w:eastAsia="MS Mincho" w:hAnsi="Calibri" w:cs="Calibri"/>
          <w:color w:val="auto"/>
          <w:sz w:val="22"/>
        </w:rPr>
        <w:t> </w:t>
      </w:r>
      <w:r w:rsidR="00726148" w:rsidRPr="00F14B30">
        <w:rPr>
          <w:rFonts w:ascii="Calibri" w:eastAsia="MS Mincho" w:hAnsi="Calibri" w:cs="Calibri"/>
          <w:color w:val="auto"/>
          <w:sz w:val="22"/>
        </w:rPr>
        <w:t xml:space="preserve">4121 </w:t>
      </w:r>
      <w:r w:rsidR="005530F8" w:rsidRPr="00F14B30">
        <w:rPr>
          <w:rFonts w:ascii="Calibri" w:eastAsia="MS Mincho" w:hAnsi="Calibri" w:cs="Calibri"/>
          <w:color w:val="auto"/>
          <w:sz w:val="22"/>
        </w:rPr>
        <w:t xml:space="preserve">a </w:t>
      </w:r>
      <w:r w:rsidR="00726148" w:rsidRPr="00F14B30">
        <w:rPr>
          <w:rFonts w:ascii="Calibri" w:eastAsia="MS Mincho" w:hAnsi="Calibri" w:cs="Calibri"/>
          <w:color w:val="auto"/>
          <w:sz w:val="22"/>
        </w:rPr>
        <w:t xml:space="preserve">modern </w:t>
      </w:r>
      <w:r w:rsidR="004517A1" w:rsidRPr="00F14B30">
        <w:rPr>
          <w:rFonts w:ascii="Calibri" w:eastAsia="MS Mincho" w:hAnsi="Calibri" w:cs="Calibri"/>
          <w:color w:val="auto"/>
          <w:sz w:val="22"/>
        </w:rPr>
        <w:t xml:space="preserve">standard for New Zealand </w:t>
      </w:r>
      <w:r w:rsidR="004517A1">
        <w:rPr>
          <w:rFonts w:ascii="Calibri" w:eastAsia="MS Mincho" w:hAnsi="Calibri" w:cs="Calibri"/>
          <w:color w:val="auto"/>
          <w:sz w:val="22"/>
        </w:rPr>
        <w:t xml:space="preserve">that is </w:t>
      </w:r>
      <w:r w:rsidR="00726148" w:rsidRPr="00F14B30">
        <w:rPr>
          <w:rFonts w:ascii="Calibri" w:eastAsia="MS Mincho" w:hAnsi="Calibri" w:cs="Calibri"/>
          <w:color w:val="auto"/>
          <w:sz w:val="22"/>
        </w:rPr>
        <w:t xml:space="preserve">fully aligned with good international practice. </w:t>
      </w:r>
    </w:p>
    <w:p w14:paraId="7D4DA03E" w14:textId="30A7D9A3" w:rsidR="00726148" w:rsidRPr="00F14B30" w:rsidRDefault="00726148" w:rsidP="000F03A2">
      <w:pPr>
        <w:pStyle w:val="ListParagraph"/>
        <w:numPr>
          <w:ilvl w:val="0"/>
          <w:numId w:val="17"/>
        </w:numPr>
        <w:spacing w:after="200" w:line="276" w:lineRule="auto"/>
        <w:rPr>
          <w:rFonts w:ascii="Calibri" w:eastAsia="MS Mincho" w:hAnsi="Calibri" w:cs="Calibri"/>
          <w:color w:val="auto"/>
          <w:sz w:val="22"/>
        </w:rPr>
      </w:pPr>
      <w:r w:rsidRPr="00F14B30">
        <w:rPr>
          <w:rFonts w:ascii="Calibri" w:eastAsia="MS Mincho" w:hAnsi="Calibri" w:cs="Calibri"/>
          <w:color w:val="auto"/>
          <w:sz w:val="22"/>
        </w:rPr>
        <w:t xml:space="preserve">The regulatory philosophy and prescriptive nature of NZS 4121:2001 will be retained and, if necessary, modified to suit </w:t>
      </w:r>
      <w:r w:rsidR="00DB4371" w:rsidRPr="00F14B30">
        <w:rPr>
          <w:rFonts w:ascii="Calibri" w:eastAsia="MS Mincho" w:hAnsi="Calibri" w:cs="Calibri"/>
          <w:color w:val="auto"/>
          <w:sz w:val="22"/>
        </w:rPr>
        <w:t>specific requirements of the New Zealand regulator</w:t>
      </w:r>
      <w:r w:rsidR="005530F8" w:rsidRPr="00F14B30">
        <w:rPr>
          <w:rFonts w:ascii="Calibri" w:eastAsia="MS Mincho" w:hAnsi="Calibri" w:cs="Calibri"/>
          <w:color w:val="auto"/>
          <w:sz w:val="22"/>
        </w:rPr>
        <w:t>s</w:t>
      </w:r>
      <w:r w:rsidR="00DB4371" w:rsidRPr="00F14B30">
        <w:rPr>
          <w:rFonts w:ascii="Calibri" w:eastAsia="MS Mincho" w:hAnsi="Calibri" w:cs="Calibri"/>
          <w:color w:val="auto"/>
          <w:sz w:val="22"/>
        </w:rPr>
        <w:t>.</w:t>
      </w:r>
    </w:p>
    <w:p w14:paraId="26B36C07" w14:textId="1BD7F95E" w:rsidR="00927327" w:rsidRPr="00F14B30" w:rsidRDefault="00927327" w:rsidP="000F03A2">
      <w:pPr>
        <w:pStyle w:val="ListParagraph"/>
        <w:numPr>
          <w:ilvl w:val="0"/>
          <w:numId w:val="17"/>
        </w:numPr>
        <w:spacing w:after="200" w:line="276" w:lineRule="auto"/>
        <w:rPr>
          <w:rFonts w:ascii="Calibri" w:eastAsia="MS Mincho" w:hAnsi="Calibri" w:cs="Calibri"/>
          <w:color w:val="auto"/>
          <w:sz w:val="22"/>
        </w:rPr>
      </w:pPr>
      <w:r w:rsidRPr="00F14B30">
        <w:rPr>
          <w:rFonts w:ascii="Calibri" w:eastAsia="MS Mincho" w:hAnsi="Calibri" w:cs="Calibri"/>
          <w:color w:val="auto"/>
          <w:sz w:val="22"/>
        </w:rPr>
        <w:t xml:space="preserve">The existing sponsorship </w:t>
      </w:r>
      <w:r w:rsidR="00960C90" w:rsidRPr="00F14B30">
        <w:rPr>
          <w:rFonts w:ascii="Calibri" w:eastAsia="MS Mincho" w:hAnsi="Calibri" w:cs="Calibri"/>
          <w:color w:val="auto"/>
          <w:sz w:val="22"/>
        </w:rPr>
        <w:t>(pre-funded access) a</w:t>
      </w:r>
      <w:r w:rsidRPr="00F14B30">
        <w:rPr>
          <w:rFonts w:ascii="Calibri" w:eastAsia="MS Mincho" w:hAnsi="Calibri" w:cs="Calibri"/>
          <w:color w:val="auto"/>
          <w:sz w:val="22"/>
        </w:rPr>
        <w:t xml:space="preserve">rrangements with MBIE BSP </w:t>
      </w:r>
      <w:proofErr w:type="gramStart"/>
      <w:r w:rsidR="00BD4AE6" w:rsidRPr="00F14B30">
        <w:rPr>
          <w:rFonts w:ascii="Calibri" w:eastAsia="MS Mincho" w:hAnsi="Calibri" w:cs="Calibri"/>
          <w:color w:val="auto"/>
          <w:sz w:val="22"/>
        </w:rPr>
        <w:t>are able to</w:t>
      </w:r>
      <w:proofErr w:type="gramEnd"/>
      <w:r w:rsidR="00BD4AE6" w:rsidRPr="00F14B30">
        <w:rPr>
          <w:rFonts w:ascii="Calibri" w:eastAsia="MS Mincho" w:hAnsi="Calibri" w:cs="Calibri"/>
          <w:color w:val="auto"/>
          <w:sz w:val="22"/>
        </w:rPr>
        <w:t xml:space="preserve"> </w:t>
      </w:r>
      <w:r w:rsidRPr="00F14B30">
        <w:rPr>
          <w:rFonts w:ascii="Calibri" w:eastAsia="MS Mincho" w:hAnsi="Calibri" w:cs="Calibri"/>
          <w:color w:val="auto"/>
          <w:sz w:val="22"/>
        </w:rPr>
        <w:t>remain in place when the standard is revised, meaning the new NZS 4121</w:t>
      </w:r>
      <w:r w:rsidR="00E664C4" w:rsidRPr="00F14B30">
        <w:rPr>
          <w:rFonts w:ascii="Calibri" w:eastAsia="MS Mincho" w:hAnsi="Calibri" w:cs="Calibri"/>
          <w:color w:val="auto"/>
          <w:sz w:val="22"/>
        </w:rPr>
        <w:t>:20XX</w:t>
      </w:r>
      <w:r w:rsidRPr="00F14B30">
        <w:rPr>
          <w:rFonts w:ascii="Calibri" w:eastAsia="MS Mincho" w:hAnsi="Calibri" w:cs="Calibri"/>
          <w:color w:val="auto"/>
          <w:sz w:val="22"/>
        </w:rPr>
        <w:t xml:space="preserve"> will continue to be available as a free download from the Standards New Zealand website.</w:t>
      </w:r>
    </w:p>
    <w:p w14:paraId="568C8676" w14:textId="671C2C8B" w:rsidR="00553834" w:rsidRPr="00F14B30" w:rsidRDefault="00553834" w:rsidP="000F03A2">
      <w:pPr>
        <w:pStyle w:val="ListParagraph"/>
        <w:numPr>
          <w:ilvl w:val="0"/>
          <w:numId w:val="17"/>
        </w:numPr>
        <w:spacing w:after="200" w:line="276" w:lineRule="auto"/>
        <w:rPr>
          <w:rFonts w:ascii="Calibri" w:eastAsia="MS Mincho" w:hAnsi="Calibri" w:cs="Calibri"/>
          <w:b/>
          <w:bCs/>
          <w:color w:val="auto"/>
          <w:sz w:val="22"/>
        </w:rPr>
      </w:pPr>
      <w:r w:rsidRPr="00F14B30">
        <w:rPr>
          <w:rFonts w:ascii="Calibri" w:eastAsia="MS Mincho" w:hAnsi="Calibri" w:cs="Calibri"/>
          <w:color w:val="auto"/>
          <w:sz w:val="22"/>
        </w:rPr>
        <w:t xml:space="preserve">The scope of a revision could ensure a </w:t>
      </w:r>
      <w:r w:rsidR="004517A1" w:rsidRPr="00F14B30">
        <w:rPr>
          <w:rFonts w:ascii="Calibri" w:eastAsia="MS Mincho" w:hAnsi="Calibri" w:cs="Calibri"/>
          <w:color w:val="auto"/>
          <w:sz w:val="22"/>
        </w:rPr>
        <w:t xml:space="preserve">one-stop-shop </w:t>
      </w:r>
      <w:r w:rsidRPr="00F14B30">
        <w:rPr>
          <w:rFonts w:ascii="Calibri" w:eastAsia="MS Mincho" w:hAnsi="Calibri" w:cs="Calibri"/>
          <w:color w:val="auto"/>
          <w:sz w:val="22"/>
        </w:rPr>
        <w:t>approach for all accessibility requirements necessary, avoiding the need for multiple standards as sometimes happens in other jurisdictions</w:t>
      </w:r>
      <w:r w:rsidR="004517A1">
        <w:rPr>
          <w:rFonts w:ascii="Calibri" w:eastAsia="MS Mincho" w:hAnsi="Calibri" w:cs="Calibri"/>
          <w:color w:val="auto"/>
          <w:sz w:val="22"/>
        </w:rPr>
        <w:t xml:space="preserve"> (for example,</w:t>
      </w:r>
      <w:r w:rsidRPr="00F14B30">
        <w:rPr>
          <w:rFonts w:ascii="Calibri" w:eastAsia="MS Mincho" w:hAnsi="Calibri" w:cs="Calibri"/>
          <w:color w:val="auto"/>
          <w:sz w:val="22"/>
        </w:rPr>
        <w:t xml:space="preserve"> Australia</w:t>
      </w:r>
      <w:r w:rsidR="004517A1">
        <w:rPr>
          <w:rFonts w:ascii="Calibri" w:eastAsia="MS Mincho" w:hAnsi="Calibri" w:cs="Calibri"/>
          <w:color w:val="auto"/>
          <w:sz w:val="22"/>
        </w:rPr>
        <w:t>)</w:t>
      </w:r>
      <w:r w:rsidRPr="00F14B30">
        <w:rPr>
          <w:rFonts w:ascii="Calibri" w:eastAsia="MS Mincho" w:hAnsi="Calibri" w:cs="Calibri"/>
          <w:b/>
          <w:bCs/>
          <w:color w:val="auto"/>
          <w:sz w:val="22"/>
        </w:rPr>
        <w:t xml:space="preserve">. </w:t>
      </w:r>
    </w:p>
    <w:p w14:paraId="323907B1" w14:textId="74456EAA" w:rsidR="00844C99" w:rsidRPr="00927327" w:rsidRDefault="00844C99" w:rsidP="00927327">
      <w:pPr>
        <w:spacing w:after="200" w:line="276" w:lineRule="auto"/>
        <w:rPr>
          <w:rFonts w:ascii="Calibri" w:eastAsia="MS Mincho" w:hAnsi="Calibri" w:cs="Calibri"/>
          <w:color w:val="auto"/>
          <w:sz w:val="22"/>
        </w:rPr>
      </w:pPr>
      <w:r w:rsidRPr="00927327">
        <w:rPr>
          <w:rFonts w:ascii="Calibri" w:eastAsia="MS Mincho" w:hAnsi="Calibri" w:cs="Calibri"/>
          <w:b/>
          <w:bCs/>
          <w:color w:val="auto"/>
          <w:sz w:val="22"/>
        </w:rPr>
        <w:t>Cons</w:t>
      </w:r>
    </w:p>
    <w:p w14:paraId="798E9F8C" w14:textId="3D1E5F48" w:rsidR="00CB22B3" w:rsidRDefault="00CB22B3" w:rsidP="000F03A2">
      <w:pPr>
        <w:pStyle w:val="ListParagraph"/>
        <w:numPr>
          <w:ilvl w:val="0"/>
          <w:numId w:val="18"/>
        </w:numPr>
        <w:spacing w:after="200" w:line="276" w:lineRule="auto"/>
        <w:rPr>
          <w:rFonts w:ascii="Calibri" w:eastAsia="MS Mincho" w:hAnsi="Calibri" w:cs="Calibri"/>
          <w:color w:val="auto"/>
          <w:sz w:val="22"/>
        </w:rPr>
      </w:pPr>
      <w:r w:rsidRPr="00CB22B3">
        <w:rPr>
          <w:rFonts w:ascii="Calibri" w:eastAsia="MS Mincho" w:hAnsi="Calibri" w:cs="Calibri"/>
          <w:color w:val="auto"/>
          <w:sz w:val="22"/>
        </w:rPr>
        <w:t xml:space="preserve">Revising NZS 4121 using the existing standard as the starting point would </w:t>
      </w:r>
      <w:r w:rsidRPr="00F14B30">
        <w:rPr>
          <w:rFonts w:ascii="Calibri" w:eastAsia="MS Mincho" w:hAnsi="Calibri" w:cs="Calibri"/>
          <w:color w:val="auto"/>
          <w:sz w:val="22"/>
        </w:rPr>
        <w:t xml:space="preserve">require </w:t>
      </w:r>
      <w:r w:rsidR="00BD4AE6" w:rsidRPr="00F14B30">
        <w:rPr>
          <w:rFonts w:ascii="Calibri" w:eastAsia="MS Mincho" w:hAnsi="Calibri" w:cs="Calibri"/>
          <w:color w:val="auto"/>
          <w:sz w:val="22"/>
        </w:rPr>
        <w:t>substantial work</w:t>
      </w:r>
      <w:r w:rsidR="00A63CF7">
        <w:rPr>
          <w:rFonts w:ascii="Calibri" w:eastAsia="MS Mincho" w:hAnsi="Calibri" w:cs="Calibri"/>
          <w:color w:val="auto"/>
          <w:sz w:val="22"/>
        </w:rPr>
        <w:t xml:space="preserve"> because</w:t>
      </w:r>
      <w:r w:rsidR="00BD4AE6" w:rsidRPr="00F14B30">
        <w:rPr>
          <w:rFonts w:ascii="Calibri" w:eastAsia="MS Mincho" w:hAnsi="Calibri" w:cs="Calibri"/>
          <w:color w:val="auto"/>
          <w:sz w:val="22"/>
        </w:rPr>
        <w:t xml:space="preserve"> </w:t>
      </w:r>
      <w:r w:rsidR="00A63CF7">
        <w:rPr>
          <w:rFonts w:ascii="Calibri" w:eastAsia="MS Mincho" w:hAnsi="Calibri" w:cs="Calibri"/>
          <w:color w:val="auto"/>
          <w:sz w:val="22"/>
        </w:rPr>
        <w:t>it is based on a</w:t>
      </w:r>
      <w:r w:rsidR="00BD4AE6" w:rsidRPr="00F14B30">
        <w:rPr>
          <w:rFonts w:ascii="Calibri" w:eastAsia="MS Mincho" w:hAnsi="Calibri" w:cs="Calibri"/>
          <w:color w:val="auto"/>
          <w:sz w:val="22"/>
        </w:rPr>
        <w:t xml:space="preserve"> very low and outdated </w:t>
      </w:r>
      <w:r w:rsidR="00A63CF7">
        <w:rPr>
          <w:rFonts w:ascii="Calibri" w:eastAsia="MS Mincho" w:hAnsi="Calibri" w:cs="Calibri"/>
          <w:color w:val="auto"/>
          <w:sz w:val="22"/>
        </w:rPr>
        <w:t>foundation, and</w:t>
      </w:r>
      <w:r w:rsidR="00A63CF7" w:rsidRPr="00CB22B3">
        <w:rPr>
          <w:rFonts w:ascii="Calibri" w:eastAsia="MS Mincho" w:hAnsi="Calibri" w:cs="Calibri"/>
          <w:color w:val="auto"/>
          <w:sz w:val="22"/>
        </w:rPr>
        <w:t xml:space="preserve"> </w:t>
      </w:r>
      <w:r w:rsidRPr="00CB22B3">
        <w:rPr>
          <w:rFonts w:ascii="Calibri" w:eastAsia="MS Mincho" w:hAnsi="Calibri" w:cs="Calibri"/>
          <w:color w:val="auto"/>
          <w:sz w:val="22"/>
        </w:rPr>
        <w:t xml:space="preserve">the </w:t>
      </w:r>
      <w:r w:rsidRPr="00CB22B3">
        <w:rPr>
          <w:rFonts w:ascii="Calibri" w:eastAsia="MS Mincho" w:hAnsi="Calibri" w:cs="Calibri"/>
          <w:color w:val="auto"/>
          <w:sz w:val="22"/>
        </w:rPr>
        <w:lastRenderedPageBreak/>
        <w:t>25</w:t>
      </w:r>
      <w:r w:rsidRPr="00CB22B3">
        <w:rPr>
          <w:rFonts w:ascii="Cambria Math" w:eastAsia="MS Mincho" w:hAnsi="Cambria Math" w:cs="Cambria Math"/>
          <w:color w:val="auto"/>
          <w:sz w:val="22"/>
        </w:rPr>
        <w:t>‑</w:t>
      </w:r>
      <w:r w:rsidRPr="00CB22B3">
        <w:rPr>
          <w:rFonts w:ascii="Calibri" w:eastAsia="MS Mincho" w:hAnsi="Calibri" w:cs="Calibri"/>
          <w:color w:val="auto"/>
          <w:sz w:val="22"/>
        </w:rPr>
        <w:t>year</w:t>
      </w:r>
      <w:r w:rsidRPr="00CB22B3">
        <w:rPr>
          <w:rFonts w:ascii="Cambria Math" w:eastAsia="MS Mincho" w:hAnsi="Cambria Math" w:cs="Cambria Math"/>
          <w:color w:val="auto"/>
          <w:sz w:val="22"/>
        </w:rPr>
        <w:t>‑</w:t>
      </w:r>
      <w:r w:rsidRPr="00CB22B3">
        <w:rPr>
          <w:rFonts w:ascii="Calibri" w:eastAsia="MS Mincho" w:hAnsi="Calibri" w:cs="Calibri"/>
          <w:color w:val="auto"/>
          <w:sz w:val="22"/>
        </w:rPr>
        <w:t xml:space="preserve">old </w:t>
      </w:r>
      <w:r w:rsidR="00BD4AE6">
        <w:rPr>
          <w:rFonts w:ascii="Calibri" w:eastAsia="MS Mincho" w:hAnsi="Calibri" w:cs="Calibri"/>
          <w:color w:val="auto"/>
          <w:sz w:val="22"/>
        </w:rPr>
        <w:t xml:space="preserve">publication </w:t>
      </w:r>
      <w:r w:rsidRPr="00CB22B3">
        <w:rPr>
          <w:rFonts w:ascii="Calibri" w:eastAsia="MS Mincho" w:hAnsi="Calibri" w:cs="Calibri"/>
          <w:color w:val="auto"/>
          <w:sz w:val="22"/>
        </w:rPr>
        <w:t xml:space="preserve">does not include </w:t>
      </w:r>
      <w:r w:rsidR="00BD4AE6">
        <w:rPr>
          <w:rFonts w:ascii="Calibri" w:eastAsia="MS Mincho" w:hAnsi="Calibri" w:cs="Calibri"/>
          <w:color w:val="auto"/>
          <w:sz w:val="22"/>
        </w:rPr>
        <w:t xml:space="preserve">many </w:t>
      </w:r>
      <w:r w:rsidRPr="00CB22B3">
        <w:rPr>
          <w:rFonts w:ascii="Calibri" w:eastAsia="MS Mincho" w:hAnsi="Calibri" w:cs="Calibri"/>
          <w:color w:val="auto"/>
          <w:sz w:val="22"/>
        </w:rPr>
        <w:t>modern provisions for disability access</w:t>
      </w:r>
      <w:r w:rsidR="00BD4AE6">
        <w:rPr>
          <w:rFonts w:ascii="Calibri" w:eastAsia="MS Mincho" w:hAnsi="Calibri" w:cs="Calibri"/>
          <w:color w:val="auto"/>
          <w:sz w:val="22"/>
        </w:rPr>
        <w:t xml:space="preserve"> and facilities</w:t>
      </w:r>
      <w:r w:rsidRPr="00CB22B3">
        <w:rPr>
          <w:rFonts w:ascii="Calibri" w:eastAsia="MS Mincho" w:hAnsi="Calibri" w:cs="Calibri"/>
          <w:color w:val="auto"/>
          <w:sz w:val="22"/>
        </w:rPr>
        <w:t>.</w:t>
      </w:r>
      <w:r>
        <w:rPr>
          <w:rFonts w:ascii="Calibri" w:eastAsia="MS Mincho" w:hAnsi="Calibri" w:cs="Calibri"/>
          <w:color w:val="auto"/>
          <w:sz w:val="22"/>
        </w:rPr>
        <w:t xml:space="preserve"> </w:t>
      </w:r>
    </w:p>
    <w:p w14:paraId="0A92F2A9" w14:textId="2A145FFC" w:rsidR="001B0B22" w:rsidRPr="003B64BB" w:rsidRDefault="00CB22B3" w:rsidP="001B0B22">
      <w:pPr>
        <w:pStyle w:val="ListParagraph"/>
        <w:numPr>
          <w:ilvl w:val="0"/>
          <w:numId w:val="18"/>
        </w:numPr>
        <w:spacing w:after="200" w:line="276" w:lineRule="auto"/>
        <w:rPr>
          <w:rFonts w:ascii="Calibri" w:eastAsia="MS Mincho" w:hAnsi="Calibri" w:cs="Calibri"/>
          <w:color w:val="auto"/>
          <w:sz w:val="22"/>
        </w:rPr>
      </w:pPr>
      <w:r>
        <w:rPr>
          <w:rFonts w:ascii="Calibri" w:eastAsia="MS Mincho" w:hAnsi="Calibri" w:cs="Calibri"/>
          <w:color w:val="auto"/>
          <w:sz w:val="22"/>
        </w:rPr>
        <w:t>R</w:t>
      </w:r>
      <w:r w:rsidR="008A4734">
        <w:rPr>
          <w:rFonts w:ascii="Calibri" w:eastAsia="MS Mincho" w:hAnsi="Calibri" w:cs="Calibri"/>
          <w:color w:val="auto"/>
          <w:sz w:val="22"/>
        </w:rPr>
        <w:t xml:space="preserve">evising </w:t>
      </w:r>
      <w:r w:rsidR="00844C99" w:rsidRPr="006A4CCE">
        <w:rPr>
          <w:rFonts w:ascii="Calibri" w:eastAsia="MS Mincho" w:hAnsi="Calibri" w:cs="Calibri"/>
          <w:color w:val="auto"/>
          <w:sz w:val="22"/>
        </w:rPr>
        <w:t xml:space="preserve">NZS 4121:2001 is likely to require </w:t>
      </w:r>
      <w:r w:rsidR="008A4734">
        <w:rPr>
          <w:rFonts w:ascii="Calibri" w:eastAsia="MS Mincho" w:hAnsi="Calibri" w:cs="Calibri"/>
          <w:color w:val="auto"/>
          <w:sz w:val="22"/>
        </w:rPr>
        <w:t>greater</w:t>
      </w:r>
      <w:r w:rsidR="00844C99" w:rsidRPr="006A4CCE">
        <w:rPr>
          <w:rFonts w:ascii="Calibri" w:eastAsia="MS Mincho" w:hAnsi="Calibri" w:cs="Calibri"/>
          <w:color w:val="auto"/>
          <w:sz w:val="22"/>
        </w:rPr>
        <w:t xml:space="preserve"> financial and human </w:t>
      </w:r>
      <w:proofErr w:type="gramStart"/>
      <w:r w:rsidR="00844C99" w:rsidRPr="006A4CCE">
        <w:rPr>
          <w:rFonts w:ascii="Calibri" w:eastAsia="MS Mincho" w:hAnsi="Calibri" w:cs="Calibri"/>
          <w:color w:val="auto"/>
          <w:sz w:val="22"/>
        </w:rPr>
        <w:t>resources, and</w:t>
      </w:r>
      <w:proofErr w:type="gramEnd"/>
      <w:r w:rsidR="00844C99" w:rsidRPr="006A4CCE">
        <w:rPr>
          <w:rFonts w:ascii="Calibri" w:eastAsia="MS Mincho" w:hAnsi="Calibri" w:cs="Calibri"/>
          <w:color w:val="auto"/>
          <w:sz w:val="22"/>
        </w:rPr>
        <w:t xml:space="preserve"> </w:t>
      </w:r>
      <w:r w:rsidR="008A4734">
        <w:rPr>
          <w:rFonts w:ascii="Calibri" w:eastAsia="MS Mincho" w:hAnsi="Calibri" w:cs="Calibri"/>
          <w:color w:val="auto"/>
          <w:sz w:val="22"/>
        </w:rPr>
        <w:t>would</w:t>
      </w:r>
      <w:r w:rsidR="00844C99" w:rsidRPr="006A4CCE">
        <w:rPr>
          <w:rFonts w:ascii="Calibri" w:eastAsia="MS Mincho" w:hAnsi="Calibri" w:cs="Calibri"/>
          <w:color w:val="auto"/>
          <w:sz w:val="22"/>
        </w:rPr>
        <w:t xml:space="preserve"> take longer to complete than </w:t>
      </w:r>
      <w:r w:rsidR="008A4734">
        <w:rPr>
          <w:rFonts w:ascii="Calibri" w:eastAsia="MS Mincho" w:hAnsi="Calibri" w:cs="Calibri"/>
          <w:color w:val="auto"/>
          <w:sz w:val="22"/>
        </w:rPr>
        <w:t xml:space="preserve">undertaking </w:t>
      </w:r>
      <w:r w:rsidR="00844C99" w:rsidRPr="006A4CCE">
        <w:rPr>
          <w:rFonts w:ascii="Calibri" w:eastAsia="MS Mincho" w:hAnsi="Calibri" w:cs="Calibri"/>
          <w:color w:val="auto"/>
          <w:sz w:val="22"/>
        </w:rPr>
        <w:t xml:space="preserve">a modified adoption of an </w:t>
      </w:r>
      <w:r w:rsidR="00AC1C4D">
        <w:rPr>
          <w:rFonts w:ascii="Calibri" w:eastAsia="MS Mincho" w:hAnsi="Calibri" w:cs="Calibri"/>
          <w:color w:val="auto"/>
          <w:sz w:val="22"/>
        </w:rPr>
        <w:t xml:space="preserve">international </w:t>
      </w:r>
      <w:r w:rsidR="00176AE4">
        <w:rPr>
          <w:rFonts w:ascii="Calibri" w:eastAsia="MS Mincho" w:hAnsi="Calibri" w:cs="Calibri"/>
          <w:color w:val="auto"/>
          <w:sz w:val="22"/>
        </w:rPr>
        <w:t xml:space="preserve">or </w:t>
      </w:r>
      <w:r w:rsidR="00844C99" w:rsidRPr="006A4CCE">
        <w:rPr>
          <w:rFonts w:ascii="Calibri" w:eastAsia="MS Mincho" w:hAnsi="Calibri" w:cs="Calibri"/>
          <w:color w:val="auto"/>
          <w:sz w:val="22"/>
        </w:rPr>
        <w:t>overseas</w:t>
      </w:r>
      <w:r w:rsidR="00BD4AE6">
        <w:rPr>
          <w:rFonts w:ascii="Calibri" w:eastAsia="MS Mincho" w:hAnsi="Calibri" w:cs="Calibri"/>
          <w:color w:val="auto"/>
          <w:sz w:val="22"/>
        </w:rPr>
        <w:t xml:space="preserve"> national</w:t>
      </w:r>
      <w:r w:rsidR="00844C99" w:rsidRPr="006A4CCE">
        <w:rPr>
          <w:rFonts w:ascii="Calibri" w:eastAsia="MS Mincho" w:hAnsi="Calibri" w:cs="Calibri"/>
          <w:color w:val="auto"/>
          <w:sz w:val="22"/>
        </w:rPr>
        <w:t xml:space="preserve"> standard.</w:t>
      </w:r>
    </w:p>
    <w:tbl>
      <w:tblPr>
        <w:tblStyle w:val="TableGrid"/>
        <w:tblW w:w="0" w:type="auto"/>
        <w:tblBorders>
          <w:top w:val="single" w:sz="12" w:space="0" w:color="007DA6" w:themeColor="accent1"/>
          <w:left w:val="single" w:sz="12" w:space="0" w:color="007DA6" w:themeColor="accent1"/>
          <w:bottom w:val="single" w:sz="12" w:space="0" w:color="007DA6" w:themeColor="accent1"/>
          <w:right w:val="single" w:sz="12" w:space="0" w:color="007DA6" w:themeColor="accent1"/>
          <w:insideH w:val="single" w:sz="12" w:space="0" w:color="007DA6" w:themeColor="accent1"/>
          <w:insideV w:val="single" w:sz="12" w:space="0" w:color="007DA6" w:themeColor="accent1"/>
        </w:tblBorders>
        <w:shd w:val="clear" w:color="auto" w:fill="D9F2F6" w:themeFill="accent2" w:themeFillTint="33"/>
        <w:tblLook w:val="04A0" w:firstRow="1" w:lastRow="0" w:firstColumn="1" w:lastColumn="0" w:noHBand="0" w:noVBand="1"/>
      </w:tblPr>
      <w:tblGrid>
        <w:gridCol w:w="8610"/>
      </w:tblGrid>
      <w:tr w:rsidR="00386FD8" w14:paraId="0DB6E34C" w14:textId="77777777" w:rsidTr="00AD2D14">
        <w:tc>
          <w:tcPr>
            <w:tcW w:w="8630" w:type="dxa"/>
            <w:shd w:val="clear" w:color="auto" w:fill="D9F2F6" w:themeFill="accent2" w:themeFillTint="33"/>
          </w:tcPr>
          <w:p w14:paraId="1833C684" w14:textId="77777777" w:rsidR="00386FD8" w:rsidRDefault="00386FD8" w:rsidP="00386FD8">
            <w:pPr>
              <w:rPr>
                <w:rFonts w:ascii="Calibri" w:eastAsia="MS Mincho" w:hAnsi="Calibri" w:cs="Calibri"/>
                <w:color w:val="auto"/>
                <w:sz w:val="22"/>
              </w:rPr>
            </w:pPr>
            <w:r w:rsidRPr="003D577B">
              <w:rPr>
                <w:rFonts w:ascii="Calibri" w:eastAsia="MS Mincho" w:hAnsi="Calibri" w:cs="Calibri"/>
                <w:color w:val="auto"/>
                <w:sz w:val="22"/>
              </w:rPr>
              <w:t>While this option is likely to require greater financial and human resources, and take longer to complete, for the reasons outlined in the pros above it is likely to be the most practicable option for the New Zealand disability sector, the building industry and building regulator. It will be the easiest way to</w:t>
            </w:r>
            <w:r>
              <w:rPr>
                <w:rFonts w:ascii="Calibri" w:eastAsia="MS Mincho" w:hAnsi="Calibri" w:cs="Calibri"/>
                <w:color w:val="auto"/>
                <w:sz w:val="22"/>
              </w:rPr>
              <w:t>:</w:t>
            </w:r>
          </w:p>
          <w:p w14:paraId="155372CC" w14:textId="513A34EE" w:rsidR="00386FD8" w:rsidRPr="00F67089" w:rsidRDefault="00386FD8" w:rsidP="000F03A2">
            <w:pPr>
              <w:pStyle w:val="ListParagraph"/>
              <w:numPr>
                <w:ilvl w:val="0"/>
                <w:numId w:val="68"/>
              </w:numPr>
              <w:rPr>
                <w:color w:val="auto"/>
              </w:rPr>
            </w:pPr>
            <w:r w:rsidRPr="00F67089">
              <w:rPr>
                <w:rFonts w:ascii="Calibri" w:eastAsia="MS Mincho" w:hAnsi="Calibri" w:cs="Calibri"/>
                <w:color w:val="auto"/>
                <w:sz w:val="22"/>
              </w:rPr>
              <w:t>maintain citation status</w:t>
            </w:r>
          </w:p>
          <w:p w14:paraId="3D67C278" w14:textId="410D7E41" w:rsidR="00386FD8" w:rsidRPr="00F67089" w:rsidRDefault="00386FD8" w:rsidP="000F03A2">
            <w:pPr>
              <w:pStyle w:val="ListParagraph"/>
              <w:numPr>
                <w:ilvl w:val="0"/>
                <w:numId w:val="68"/>
              </w:numPr>
              <w:rPr>
                <w:color w:val="auto"/>
              </w:rPr>
            </w:pPr>
            <w:r w:rsidRPr="00F67089">
              <w:rPr>
                <w:rFonts w:ascii="Calibri" w:eastAsia="MS Mincho" w:hAnsi="Calibri" w:cs="Calibri"/>
                <w:color w:val="auto"/>
                <w:sz w:val="22"/>
              </w:rPr>
              <w:t>ensure future uptake and consumption</w:t>
            </w:r>
          </w:p>
          <w:p w14:paraId="509C3E93" w14:textId="58667C4B" w:rsidR="00386FD8" w:rsidRPr="00F67089" w:rsidRDefault="00386FD8" w:rsidP="000F03A2">
            <w:pPr>
              <w:pStyle w:val="ListParagraph"/>
              <w:numPr>
                <w:ilvl w:val="0"/>
                <w:numId w:val="68"/>
              </w:numPr>
              <w:rPr>
                <w:color w:val="auto"/>
              </w:rPr>
            </w:pPr>
            <w:r w:rsidRPr="00F67089">
              <w:rPr>
                <w:rFonts w:ascii="Calibri" w:eastAsia="MS Mincho" w:hAnsi="Calibri" w:cs="Calibri"/>
                <w:color w:val="auto"/>
                <w:sz w:val="22"/>
              </w:rPr>
              <w:t xml:space="preserve">still enable a degree of utilisation of internationally recognised </w:t>
            </w:r>
            <w:r w:rsidR="004B0768">
              <w:rPr>
                <w:rFonts w:ascii="Calibri" w:eastAsia="MS Mincho" w:hAnsi="Calibri" w:cs="Calibri"/>
                <w:color w:val="auto"/>
                <w:sz w:val="22"/>
              </w:rPr>
              <w:t>good</w:t>
            </w:r>
            <w:r w:rsidR="004B0768" w:rsidRPr="00F67089">
              <w:rPr>
                <w:rFonts w:ascii="Calibri" w:eastAsia="MS Mincho" w:hAnsi="Calibri" w:cs="Calibri"/>
                <w:color w:val="auto"/>
                <w:sz w:val="22"/>
              </w:rPr>
              <w:t xml:space="preserve"> </w:t>
            </w:r>
            <w:r w:rsidRPr="00F67089">
              <w:rPr>
                <w:rFonts w:ascii="Calibri" w:eastAsia="MS Mincho" w:hAnsi="Calibri" w:cs="Calibri"/>
                <w:color w:val="auto"/>
                <w:sz w:val="22"/>
              </w:rPr>
              <w:t>practice</w:t>
            </w:r>
          </w:p>
          <w:p w14:paraId="662DFFB0" w14:textId="3DBEA3E1" w:rsidR="00386FD8" w:rsidRDefault="00386FD8" w:rsidP="00FB5A8B">
            <w:pPr>
              <w:pStyle w:val="ListParagraph"/>
              <w:numPr>
                <w:ilvl w:val="0"/>
                <w:numId w:val="68"/>
              </w:numPr>
            </w:pPr>
            <w:r w:rsidRPr="00F67089">
              <w:rPr>
                <w:rFonts w:ascii="Calibri" w:eastAsia="MS Mincho" w:hAnsi="Calibri" w:cs="Calibri"/>
                <w:color w:val="auto"/>
                <w:sz w:val="22"/>
              </w:rPr>
              <w:t xml:space="preserve">enable the greatest New Zealand control and utilisation of the content. </w:t>
            </w:r>
          </w:p>
        </w:tc>
      </w:tr>
    </w:tbl>
    <w:p w14:paraId="7F8B1DC5" w14:textId="77777777" w:rsidR="009A5E76" w:rsidRPr="009A5E76" w:rsidRDefault="009A5E76" w:rsidP="009A5E76"/>
    <w:p w14:paraId="1EF9B83B" w14:textId="6F7EDA19" w:rsidR="00844C99" w:rsidRPr="00844C99" w:rsidRDefault="00844C99" w:rsidP="00AC54F7">
      <w:pPr>
        <w:pStyle w:val="Heading3"/>
        <w:rPr>
          <w:rFonts w:eastAsia="MS Gothic"/>
        </w:rPr>
      </w:pPr>
      <w:bookmarkStart w:id="29" w:name="_Hlk224823401"/>
      <w:r w:rsidRPr="00844C99">
        <w:rPr>
          <w:rFonts w:eastAsia="MS Gothic"/>
        </w:rPr>
        <w:t>Option 2 Replace NZS 4121:2001 with a modern overseas standard, such as CSA/ASC B651:23</w:t>
      </w:r>
      <w:r w:rsidR="0086329F">
        <w:rPr>
          <w:rFonts w:eastAsia="MS Gothic"/>
        </w:rPr>
        <w:t xml:space="preserve"> </w:t>
      </w:r>
      <w:r w:rsidR="0086329F" w:rsidRPr="0086329F">
        <w:rPr>
          <w:rFonts w:eastAsia="MS Gothic"/>
          <w:i/>
          <w:iCs/>
        </w:rPr>
        <w:t>Accessible design for the built environment</w:t>
      </w:r>
      <w:r w:rsidRPr="00844C99">
        <w:rPr>
          <w:rFonts w:eastAsia="MS Gothic"/>
        </w:rPr>
        <w:t>, with New Zealand-specific modifications (a modified adoption)</w:t>
      </w:r>
    </w:p>
    <w:bookmarkEnd w:id="29"/>
    <w:p w14:paraId="6D1D6202" w14:textId="77777777" w:rsidR="00844C99" w:rsidRPr="00844C99" w:rsidRDefault="00844C99" w:rsidP="00F05335">
      <w:pPr>
        <w:spacing w:before="240" w:after="200" w:line="276" w:lineRule="auto"/>
        <w:rPr>
          <w:rFonts w:ascii="Calibri" w:eastAsia="MS Mincho" w:hAnsi="Calibri" w:cs="Calibri"/>
          <w:b/>
          <w:bCs/>
          <w:color w:val="auto"/>
          <w:sz w:val="22"/>
        </w:rPr>
      </w:pPr>
      <w:r w:rsidRPr="00844C99">
        <w:rPr>
          <w:rFonts w:ascii="Calibri" w:eastAsia="MS Mincho" w:hAnsi="Calibri" w:cs="Calibri"/>
          <w:b/>
          <w:bCs/>
          <w:color w:val="auto"/>
          <w:sz w:val="22"/>
        </w:rPr>
        <w:t>Pros</w:t>
      </w:r>
    </w:p>
    <w:p w14:paraId="1B45D7DF" w14:textId="60F21252" w:rsidR="00844C99" w:rsidRPr="000A75E3" w:rsidRDefault="00844C99" w:rsidP="000F03A2">
      <w:pPr>
        <w:pStyle w:val="ListParagraph"/>
        <w:numPr>
          <w:ilvl w:val="0"/>
          <w:numId w:val="32"/>
        </w:numPr>
        <w:spacing w:after="200" w:line="276" w:lineRule="auto"/>
        <w:rPr>
          <w:rFonts w:ascii="Calibri" w:eastAsia="MS Mincho" w:hAnsi="Calibri" w:cs="Calibri"/>
          <w:color w:val="auto"/>
          <w:sz w:val="22"/>
        </w:rPr>
      </w:pPr>
      <w:r w:rsidRPr="000A75E3">
        <w:rPr>
          <w:rFonts w:ascii="Calibri" w:eastAsia="MS Mincho" w:hAnsi="Calibri" w:cs="Calibri"/>
          <w:color w:val="auto"/>
          <w:sz w:val="22"/>
        </w:rPr>
        <w:t xml:space="preserve">A modified adoption of a modern overseas standard should be faster and </w:t>
      </w:r>
      <w:r w:rsidR="00553834">
        <w:rPr>
          <w:rFonts w:ascii="Calibri" w:eastAsia="MS Mincho" w:hAnsi="Calibri" w:cs="Calibri"/>
          <w:color w:val="auto"/>
          <w:sz w:val="22"/>
        </w:rPr>
        <w:t xml:space="preserve">be a </w:t>
      </w:r>
      <w:r w:rsidRPr="000A75E3">
        <w:rPr>
          <w:rFonts w:ascii="Calibri" w:eastAsia="MS Mincho" w:hAnsi="Calibri" w:cs="Calibri"/>
          <w:color w:val="auto"/>
          <w:sz w:val="22"/>
        </w:rPr>
        <w:t xml:space="preserve">more productive and </w:t>
      </w:r>
      <w:r w:rsidR="003D577B" w:rsidRPr="000A75E3">
        <w:rPr>
          <w:rFonts w:ascii="Calibri" w:eastAsia="MS Mincho" w:hAnsi="Calibri" w:cs="Calibri"/>
          <w:color w:val="auto"/>
          <w:sz w:val="22"/>
        </w:rPr>
        <w:t>cost-efficient</w:t>
      </w:r>
      <w:r w:rsidRPr="000A75E3">
        <w:rPr>
          <w:rFonts w:ascii="Calibri" w:eastAsia="MS Mincho" w:hAnsi="Calibri" w:cs="Calibri"/>
          <w:color w:val="auto"/>
          <w:sz w:val="22"/>
        </w:rPr>
        <w:t xml:space="preserve"> </w:t>
      </w:r>
      <w:r w:rsidR="00553834" w:rsidRPr="003D577B">
        <w:rPr>
          <w:rFonts w:ascii="Calibri" w:eastAsia="MS Mincho" w:hAnsi="Calibri" w:cs="Calibri"/>
          <w:color w:val="auto"/>
          <w:sz w:val="22"/>
        </w:rPr>
        <w:t>process</w:t>
      </w:r>
      <w:r w:rsidR="00553834" w:rsidRPr="00553834">
        <w:rPr>
          <w:rFonts w:ascii="Calibri" w:eastAsia="MS Mincho" w:hAnsi="Calibri" w:cs="Calibri"/>
          <w:color w:val="ED0000"/>
          <w:sz w:val="22"/>
        </w:rPr>
        <w:t xml:space="preserve"> </w:t>
      </w:r>
      <w:r w:rsidRPr="000A75E3">
        <w:rPr>
          <w:rFonts w:ascii="Calibri" w:eastAsia="MS Mincho" w:hAnsi="Calibri" w:cs="Calibri"/>
          <w:color w:val="auto"/>
          <w:sz w:val="22"/>
        </w:rPr>
        <w:t>than a revision based on the existing 2001 standard.</w:t>
      </w:r>
    </w:p>
    <w:p w14:paraId="61774447" w14:textId="6546E017" w:rsidR="00844C99" w:rsidRPr="000A75E3" w:rsidRDefault="00844C99" w:rsidP="000F03A2">
      <w:pPr>
        <w:pStyle w:val="ListParagraph"/>
        <w:numPr>
          <w:ilvl w:val="0"/>
          <w:numId w:val="32"/>
        </w:numPr>
        <w:spacing w:after="200" w:line="276" w:lineRule="auto"/>
        <w:rPr>
          <w:rFonts w:ascii="Calibri" w:eastAsia="MS Mincho" w:hAnsi="Calibri" w:cs="Calibri"/>
          <w:color w:val="auto"/>
          <w:sz w:val="22"/>
        </w:rPr>
      </w:pPr>
      <w:r w:rsidRPr="000A75E3">
        <w:rPr>
          <w:rFonts w:ascii="Calibri" w:eastAsia="MS Mincho" w:hAnsi="Calibri" w:cs="Calibri"/>
          <w:color w:val="auto"/>
          <w:sz w:val="22"/>
        </w:rPr>
        <w:t>CSA/ASC B651:2023 represents a stronger foundation for modification. The Environmental Scan undertaken by Global Research Ltd concluded that, unlike NZS 4121:2001, Australian, and the UK disability access standards, both CSA/ASC B651:2023 and the EU standard (EN 17210:2021) have all their accessibility information covered in one standard, making them easier to follow and find relevant information.</w:t>
      </w:r>
    </w:p>
    <w:p w14:paraId="37832F76" w14:textId="77777777" w:rsidR="00844C99" w:rsidRPr="000A75E3" w:rsidRDefault="00844C99" w:rsidP="000F03A2">
      <w:pPr>
        <w:pStyle w:val="ListParagraph"/>
        <w:numPr>
          <w:ilvl w:val="0"/>
          <w:numId w:val="32"/>
        </w:numPr>
        <w:spacing w:after="200" w:line="276" w:lineRule="auto"/>
        <w:rPr>
          <w:rFonts w:ascii="Calibri" w:eastAsia="MS Mincho" w:hAnsi="Calibri" w:cs="Calibri"/>
          <w:color w:val="auto"/>
          <w:sz w:val="22"/>
        </w:rPr>
      </w:pPr>
      <w:r w:rsidRPr="000A75E3">
        <w:rPr>
          <w:rFonts w:ascii="Calibri" w:eastAsia="MS Mincho" w:hAnsi="Calibri" w:cs="Calibri"/>
          <w:color w:val="auto"/>
          <w:sz w:val="22"/>
        </w:rPr>
        <w:t>Overall, the Canadian standard is easier to follow due to its coverage of technical details, however the EU standard covers a wider range of topics.</w:t>
      </w:r>
    </w:p>
    <w:p w14:paraId="3EC08946" w14:textId="71B04CB6" w:rsidR="00844C99" w:rsidRPr="000A75E3" w:rsidRDefault="00844C99" w:rsidP="000F03A2">
      <w:pPr>
        <w:pStyle w:val="ListParagraph"/>
        <w:numPr>
          <w:ilvl w:val="0"/>
          <w:numId w:val="32"/>
        </w:numPr>
        <w:spacing w:after="200" w:line="276" w:lineRule="auto"/>
        <w:rPr>
          <w:rFonts w:ascii="Calibri" w:eastAsia="MS Mincho" w:hAnsi="Calibri" w:cs="Calibri"/>
          <w:color w:val="auto"/>
          <w:sz w:val="22"/>
        </w:rPr>
      </w:pPr>
      <w:r w:rsidRPr="000A75E3">
        <w:rPr>
          <w:rFonts w:ascii="Calibri" w:eastAsia="MS Mincho" w:hAnsi="Calibri" w:cs="Calibri"/>
          <w:color w:val="auto"/>
          <w:sz w:val="22"/>
        </w:rPr>
        <w:t xml:space="preserve">The Canadian standard </w:t>
      </w:r>
      <w:r w:rsidR="00904131" w:rsidRPr="003D577B">
        <w:rPr>
          <w:rFonts w:ascii="Calibri" w:eastAsia="MS Mincho" w:hAnsi="Calibri" w:cs="Calibri"/>
          <w:color w:val="auto"/>
          <w:sz w:val="22"/>
        </w:rPr>
        <w:t xml:space="preserve">is considered the </w:t>
      </w:r>
      <w:r w:rsidRPr="000A75E3">
        <w:rPr>
          <w:rFonts w:ascii="Calibri" w:eastAsia="MS Mincho" w:hAnsi="Calibri" w:cs="Calibri"/>
          <w:color w:val="auto"/>
          <w:sz w:val="22"/>
        </w:rPr>
        <w:t xml:space="preserve">most advanced of </w:t>
      </w:r>
      <w:r w:rsidR="003D577B" w:rsidRPr="000A75E3">
        <w:rPr>
          <w:rFonts w:ascii="Calibri" w:eastAsia="MS Mincho" w:hAnsi="Calibri" w:cs="Calibri"/>
          <w:color w:val="auto"/>
          <w:sz w:val="22"/>
        </w:rPr>
        <w:t>all</w:t>
      </w:r>
      <w:r w:rsidR="00904131" w:rsidRPr="003D577B">
        <w:rPr>
          <w:rFonts w:ascii="Calibri" w:eastAsia="MS Mincho" w:hAnsi="Calibri" w:cs="Calibri"/>
          <w:color w:val="auto"/>
          <w:sz w:val="22"/>
        </w:rPr>
        <w:t xml:space="preserve"> the </w:t>
      </w:r>
      <w:r w:rsidRPr="000A75E3">
        <w:rPr>
          <w:rFonts w:ascii="Calibri" w:eastAsia="MS Mincho" w:hAnsi="Calibri" w:cs="Calibri"/>
          <w:color w:val="auto"/>
          <w:sz w:val="22"/>
        </w:rPr>
        <w:t>disability access standards reviewed, including those from the United Kingdom, Australia, the European Union, the United States, and New Zealand.</w:t>
      </w:r>
    </w:p>
    <w:p w14:paraId="7B5F203D" w14:textId="017C05EC" w:rsidR="00844C99" w:rsidRPr="000A75E3" w:rsidRDefault="00844C99" w:rsidP="000F03A2">
      <w:pPr>
        <w:pStyle w:val="ListParagraph"/>
        <w:numPr>
          <w:ilvl w:val="0"/>
          <w:numId w:val="32"/>
        </w:numPr>
        <w:spacing w:after="200" w:line="276" w:lineRule="auto"/>
        <w:rPr>
          <w:rFonts w:ascii="Calibri" w:eastAsia="MS Mincho" w:hAnsi="Calibri" w:cs="Calibri"/>
          <w:color w:val="auto"/>
          <w:sz w:val="22"/>
        </w:rPr>
      </w:pPr>
      <w:r w:rsidRPr="000A75E3">
        <w:rPr>
          <w:rFonts w:ascii="Calibri" w:eastAsia="MS Mincho" w:hAnsi="Calibri" w:cs="Calibri"/>
          <w:color w:val="auto"/>
          <w:sz w:val="22"/>
        </w:rPr>
        <w:t xml:space="preserve">A modified adoption of CSA/ASC B651:2023 </w:t>
      </w:r>
      <w:r w:rsidR="00904131" w:rsidRPr="003D577B">
        <w:rPr>
          <w:rFonts w:ascii="Calibri" w:eastAsia="MS Mincho" w:hAnsi="Calibri" w:cs="Calibri"/>
          <w:color w:val="auto"/>
          <w:sz w:val="22"/>
        </w:rPr>
        <w:t>could</w:t>
      </w:r>
      <w:r w:rsidR="00904131" w:rsidRPr="00904131">
        <w:rPr>
          <w:rFonts w:ascii="Calibri" w:eastAsia="MS Mincho" w:hAnsi="Calibri" w:cs="Calibri"/>
          <w:color w:val="ED0000"/>
          <w:sz w:val="22"/>
        </w:rPr>
        <w:t xml:space="preserve"> </w:t>
      </w:r>
      <w:r w:rsidRPr="000A75E3">
        <w:rPr>
          <w:rFonts w:ascii="Calibri" w:eastAsia="MS Mincho" w:hAnsi="Calibri" w:cs="Calibri"/>
          <w:color w:val="auto"/>
          <w:sz w:val="22"/>
        </w:rPr>
        <w:t xml:space="preserve">align New Zealand disability access requirements with other developed nations like Canada and EU. </w:t>
      </w:r>
    </w:p>
    <w:p w14:paraId="740B31DA" w14:textId="77777777" w:rsidR="003B64BB" w:rsidRDefault="003B64BB" w:rsidP="00844C99">
      <w:pPr>
        <w:spacing w:after="200" w:line="276" w:lineRule="auto"/>
        <w:rPr>
          <w:rFonts w:ascii="Calibri" w:eastAsia="MS Mincho" w:hAnsi="Calibri" w:cs="Calibri"/>
          <w:b/>
          <w:bCs/>
          <w:color w:val="auto"/>
          <w:sz w:val="22"/>
        </w:rPr>
      </w:pPr>
    </w:p>
    <w:p w14:paraId="2E0675AB" w14:textId="77777777" w:rsidR="003B64BB" w:rsidRDefault="003B64BB" w:rsidP="00844C99">
      <w:pPr>
        <w:spacing w:after="200" w:line="276" w:lineRule="auto"/>
        <w:rPr>
          <w:rFonts w:ascii="Calibri" w:eastAsia="MS Mincho" w:hAnsi="Calibri" w:cs="Calibri"/>
          <w:b/>
          <w:bCs/>
          <w:color w:val="auto"/>
          <w:sz w:val="22"/>
        </w:rPr>
      </w:pPr>
    </w:p>
    <w:p w14:paraId="0B64ADE3" w14:textId="6C84643D" w:rsidR="00844C99" w:rsidRPr="00844C99" w:rsidRDefault="00844C99" w:rsidP="00844C99">
      <w:pPr>
        <w:spacing w:after="200" w:line="276" w:lineRule="auto"/>
        <w:rPr>
          <w:rFonts w:ascii="Calibri" w:eastAsia="MS Mincho" w:hAnsi="Calibri" w:cs="Calibri"/>
          <w:b/>
          <w:bCs/>
          <w:color w:val="auto"/>
          <w:sz w:val="22"/>
        </w:rPr>
      </w:pPr>
      <w:r w:rsidRPr="00844C99">
        <w:rPr>
          <w:rFonts w:ascii="Calibri" w:eastAsia="MS Mincho" w:hAnsi="Calibri" w:cs="Calibri"/>
          <w:b/>
          <w:bCs/>
          <w:color w:val="auto"/>
          <w:sz w:val="22"/>
        </w:rPr>
        <w:lastRenderedPageBreak/>
        <w:t>Cons</w:t>
      </w:r>
    </w:p>
    <w:p w14:paraId="46C2EFFF" w14:textId="0CCE399F" w:rsidR="00DD22FA" w:rsidRPr="003D577B" w:rsidRDefault="00DD22FA" w:rsidP="000F03A2">
      <w:pPr>
        <w:pStyle w:val="ListParagraph"/>
        <w:numPr>
          <w:ilvl w:val="0"/>
          <w:numId w:val="33"/>
        </w:numPr>
        <w:spacing w:after="200" w:line="276" w:lineRule="auto"/>
        <w:rPr>
          <w:rFonts w:ascii="Calibri" w:eastAsia="MS Mincho" w:hAnsi="Calibri" w:cs="Calibri"/>
          <w:color w:val="auto"/>
          <w:sz w:val="22"/>
        </w:rPr>
      </w:pPr>
      <w:r w:rsidRPr="00DD22FA">
        <w:rPr>
          <w:rFonts w:ascii="Calibri" w:eastAsia="MS Mincho" w:hAnsi="Calibri" w:cs="Calibri"/>
          <w:color w:val="auto"/>
          <w:sz w:val="22"/>
        </w:rPr>
        <w:t>Misalignment with New Zealand’s regulatory and building system</w:t>
      </w:r>
      <w:r w:rsidR="00A062AA">
        <w:rPr>
          <w:rFonts w:ascii="Calibri" w:eastAsia="MS Mincho" w:hAnsi="Calibri" w:cs="Calibri"/>
          <w:color w:val="auto"/>
          <w:sz w:val="22"/>
        </w:rPr>
        <w:t xml:space="preserve">: the standard’s structure, terminology and assumptions do not align </w:t>
      </w:r>
      <w:r w:rsidR="0080075B">
        <w:rPr>
          <w:rFonts w:ascii="Calibri" w:eastAsia="MS Mincho" w:hAnsi="Calibri" w:cs="Calibri"/>
          <w:color w:val="auto"/>
          <w:sz w:val="22"/>
        </w:rPr>
        <w:t xml:space="preserve">well </w:t>
      </w:r>
      <w:r w:rsidR="00A062AA">
        <w:rPr>
          <w:rFonts w:ascii="Calibri" w:eastAsia="MS Mincho" w:hAnsi="Calibri" w:cs="Calibri"/>
          <w:color w:val="auto"/>
          <w:sz w:val="22"/>
        </w:rPr>
        <w:t xml:space="preserve">with the </w:t>
      </w:r>
      <w:r w:rsidR="0080075B">
        <w:rPr>
          <w:rFonts w:ascii="Calibri" w:eastAsia="MS Mincho" w:hAnsi="Calibri" w:cs="Calibri"/>
          <w:color w:val="auto"/>
          <w:sz w:val="22"/>
        </w:rPr>
        <w:t>New Zealand regulatory framework</w:t>
      </w:r>
      <w:r w:rsidR="00904131">
        <w:rPr>
          <w:rFonts w:ascii="Calibri" w:eastAsia="MS Mincho" w:hAnsi="Calibri" w:cs="Calibri"/>
          <w:color w:val="auto"/>
          <w:sz w:val="22"/>
        </w:rPr>
        <w:t xml:space="preserve"> </w:t>
      </w:r>
      <w:r w:rsidR="00904131" w:rsidRPr="003D577B">
        <w:rPr>
          <w:rFonts w:ascii="Calibri" w:eastAsia="MS Mincho" w:hAnsi="Calibri" w:cs="Calibri"/>
          <w:color w:val="auto"/>
          <w:sz w:val="22"/>
        </w:rPr>
        <w:t>or industry terminology</w:t>
      </w:r>
      <w:r w:rsidR="0080075B" w:rsidRPr="003D577B">
        <w:rPr>
          <w:rFonts w:ascii="Calibri" w:eastAsia="MS Mincho" w:hAnsi="Calibri" w:cs="Calibri"/>
          <w:color w:val="auto"/>
          <w:sz w:val="22"/>
        </w:rPr>
        <w:t>.</w:t>
      </w:r>
    </w:p>
    <w:p w14:paraId="7A212E82" w14:textId="77777777" w:rsidR="00D147FF" w:rsidRDefault="00DD22FA" w:rsidP="000F03A2">
      <w:pPr>
        <w:pStyle w:val="ListParagraph"/>
        <w:numPr>
          <w:ilvl w:val="0"/>
          <w:numId w:val="33"/>
        </w:numPr>
        <w:spacing w:after="200" w:line="276" w:lineRule="auto"/>
        <w:rPr>
          <w:rFonts w:ascii="Calibri" w:eastAsia="MS Mincho" w:hAnsi="Calibri" w:cs="Calibri"/>
          <w:color w:val="auto"/>
          <w:sz w:val="22"/>
        </w:rPr>
      </w:pPr>
      <w:r w:rsidRPr="00DD22FA">
        <w:rPr>
          <w:rFonts w:ascii="Calibri" w:eastAsia="MS Mincho" w:hAnsi="Calibri" w:cs="Calibri"/>
          <w:color w:val="auto"/>
          <w:sz w:val="22"/>
        </w:rPr>
        <w:t>Limited relevance to New Zealand conditions and practice</w:t>
      </w:r>
      <w:r w:rsidR="00A062AA">
        <w:rPr>
          <w:rFonts w:ascii="Calibri" w:eastAsia="MS Mincho" w:hAnsi="Calibri" w:cs="Calibri"/>
          <w:color w:val="auto"/>
          <w:sz w:val="22"/>
        </w:rPr>
        <w:t xml:space="preserve">: the standard reflects Canadian climatic conditions, building typologies and transport systems. </w:t>
      </w:r>
    </w:p>
    <w:p w14:paraId="7435FD28" w14:textId="661CCE3F" w:rsidR="008F5A30" w:rsidRPr="00D147FF" w:rsidRDefault="0080075B" w:rsidP="000F03A2">
      <w:pPr>
        <w:pStyle w:val="ListParagraph"/>
        <w:numPr>
          <w:ilvl w:val="0"/>
          <w:numId w:val="33"/>
        </w:numPr>
        <w:spacing w:after="200" w:line="276" w:lineRule="auto"/>
        <w:rPr>
          <w:rFonts w:ascii="Calibri" w:eastAsia="MS Mincho" w:hAnsi="Calibri" w:cs="Calibri"/>
          <w:color w:val="auto"/>
          <w:sz w:val="22"/>
        </w:rPr>
      </w:pPr>
      <w:r w:rsidRPr="00D147FF">
        <w:rPr>
          <w:rFonts w:ascii="Calibri" w:eastAsia="MS Mincho" w:hAnsi="Calibri" w:cs="Calibri"/>
          <w:color w:val="auto"/>
          <w:sz w:val="22"/>
        </w:rPr>
        <w:t xml:space="preserve">Risk of fragmentation and isolation from international alignment pathways. It is a national Canadian standard rather than an international standard. Adopting it </w:t>
      </w:r>
      <w:r w:rsidR="00176AE4" w:rsidRPr="00D147FF">
        <w:rPr>
          <w:rFonts w:ascii="Calibri" w:eastAsia="MS Mincho" w:hAnsi="Calibri" w:cs="Calibri"/>
          <w:color w:val="auto"/>
          <w:sz w:val="22"/>
        </w:rPr>
        <w:t>c</w:t>
      </w:r>
      <w:r w:rsidRPr="00D147FF">
        <w:rPr>
          <w:rFonts w:ascii="Calibri" w:eastAsia="MS Mincho" w:hAnsi="Calibri" w:cs="Calibri"/>
          <w:color w:val="auto"/>
          <w:sz w:val="22"/>
        </w:rPr>
        <w:t>ould move New Zealand away from alignment with ISO</w:t>
      </w:r>
      <w:r w:rsidRPr="00D147FF">
        <w:rPr>
          <w:rFonts w:ascii="Cambria Math" w:eastAsia="MS Mincho" w:hAnsi="Cambria Math" w:cs="Cambria Math"/>
          <w:color w:val="auto"/>
          <w:sz w:val="22"/>
        </w:rPr>
        <w:t>‑</w:t>
      </w:r>
      <w:r w:rsidRPr="00D147FF">
        <w:rPr>
          <w:rFonts w:ascii="Calibri" w:eastAsia="MS Mincho" w:hAnsi="Calibri" w:cs="Calibri"/>
          <w:color w:val="auto"/>
          <w:sz w:val="22"/>
        </w:rPr>
        <w:t>based accessibility frameworks and from Australia</w:t>
      </w:r>
      <w:r w:rsidR="00904131" w:rsidRPr="00D147FF">
        <w:rPr>
          <w:rFonts w:ascii="Calibri" w:eastAsia="MS Mincho" w:hAnsi="Calibri" w:cs="Calibri"/>
          <w:color w:val="auto"/>
          <w:sz w:val="22"/>
        </w:rPr>
        <w:t xml:space="preserve"> and the interoperability we have with that market</w:t>
      </w:r>
      <w:r w:rsidR="005D6E76" w:rsidRPr="00D147FF">
        <w:rPr>
          <w:rFonts w:ascii="Calibri" w:eastAsia="MS Mincho" w:hAnsi="Calibri" w:cs="Calibri"/>
          <w:color w:val="auto"/>
          <w:sz w:val="22"/>
        </w:rPr>
        <w:t xml:space="preserve"> </w:t>
      </w:r>
      <w:r w:rsidR="00904131" w:rsidRPr="00D147FF">
        <w:rPr>
          <w:rFonts w:ascii="Calibri" w:eastAsia="MS Mincho" w:hAnsi="Calibri" w:cs="Calibri"/>
          <w:color w:val="auto"/>
          <w:sz w:val="22"/>
        </w:rPr>
        <w:t xml:space="preserve">and trans-Tasman </w:t>
      </w:r>
      <w:r w:rsidRPr="00D147FF">
        <w:rPr>
          <w:rFonts w:ascii="Calibri" w:eastAsia="MS Mincho" w:hAnsi="Calibri" w:cs="Calibri"/>
          <w:color w:val="auto"/>
          <w:sz w:val="22"/>
        </w:rPr>
        <w:t>standards cooperation</w:t>
      </w:r>
      <w:r w:rsidR="00904131" w:rsidRPr="00D147FF">
        <w:rPr>
          <w:rFonts w:ascii="Calibri" w:eastAsia="MS Mincho" w:hAnsi="Calibri" w:cs="Calibri"/>
          <w:color w:val="auto"/>
          <w:sz w:val="22"/>
        </w:rPr>
        <w:t xml:space="preserve"> partnership</w:t>
      </w:r>
      <w:r w:rsidRPr="00D147FF">
        <w:rPr>
          <w:rFonts w:ascii="Calibri" w:eastAsia="MS Mincho" w:hAnsi="Calibri" w:cs="Calibri"/>
          <w:color w:val="auto"/>
          <w:sz w:val="22"/>
        </w:rPr>
        <w:t>.</w:t>
      </w:r>
    </w:p>
    <w:tbl>
      <w:tblPr>
        <w:tblStyle w:val="TableGrid"/>
        <w:tblW w:w="0" w:type="auto"/>
        <w:shd w:val="clear" w:color="auto" w:fill="D9F2F6" w:themeFill="accent2" w:themeFillTint="33"/>
        <w:tblLook w:val="04A0" w:firstRow="1" w:lastRow="0" w:firstColumn="1" w:lastColumn="0" w:noHBand="0" w:noVBand="1"/>
      </w:tblPr>
      <w:tblGrid>
        <w:gridCol w:w="8610"/>
      </w:tblGrid>
      <w:tr w:rsidR="00386FD8" w14:paraId="4F9DD6CD" w14:textId="77777777" w:rsidTr="006B5D74">
        <w:tc>
          <w:tcPr>
            <w:tcW w:w="8630" w:type="dxa"/>
            <w:tcBorders>
              <w:top w:val="single" w:sz="12" w:space="0" w:color="007DA6" w:themeColor="accent1"/>
              <w:left w:val="single" w:sz="12" w:space="0" w:color="007DA6" w:themeColor="accent1"/>
              <w:bottom w:val="single" w:sz="12" w:space="0" w:color="007DA6" w:themeColor="accent1"/>
              <w:right w:val="single" w:sz="12" w:space="0" w:color="007DA6" w:themeColor="accent1"/>
            </w:tcBorders>
            <w:shd w:val="clear" w:color="auto" w:fill="D9F2F6" w:themeFill="accent2" w:themeFillTint="33"/>
          </w:tcPr>
          <w:p w14:paraId="00F845E3" w14:textId="55A1B505" w:rsidR="00386FD8" w:rsidRDefault="00386FD8" w:rsidP="00677EB4">
            <w:pPr>
              <w:spacing w:after="200" w:line="276" w:lineRule="auto"/>
              <w:rPr>
                <w:rFonts w:ascii="Calibri" w:eastAsia="MS Mincho" w:hAnsi="Calibri" w:cs="Calibri"/>
                <w:color w:val="auto"/>
                <w:sz w:val="22"/>
              </w:rPr>
            </w:pPr>
            <w:r w:rsidRPr="006349CA">
              <w:rPr>
                <w:rFonts w:ascii="Calibri" w:eastAsia="MS Mincho" w:hAnsi="Calibri" w:cs="Calibri"/>
                <w:color w:val="auto"/>
                <w:sz w:val="22"/>
              </w:rPr>
              <w:t>Despite the technical content of CSA/ASC B651:23 being superior to other standards, this option is considered by Standards New Zealand to present too many challenges with adoption of that Canadian standard. Challenges include costs and intellectual property use rights, associated with licensing fees and royalties that New Zealand would have to incur if this standard was adopted in whole. As with all other international or national standards, updates and changes to the standard can also be undertaken without New Zealand involvement. New Zealand would never own the IP of the standard, ongoing use of the standard in its entirety could be expensive to maintain due to royalties on sales obligations. Sponsorship access is not a given because of technology limitations in Standards New Zealand’s ability to protect the standards IP from other markets sale jurisdiction.</w:t>
            </w:r>
            <w:r w:rsidR="00296634">
              <w:rPr>
                <w:rFonts w:ascii="Calibri" w:eastAsia="MS Mincho" w:hAnsi="Calibri" w:cs="Calibri"/>
                <w:color w:val="auto"/>
                <w:sz w:val="22"/>
              </w:rPr>
              <w:t xml:space="preserve"> </w:t>
            </w:r>
            <w:r w:rsidRPr="006349CA">
              <w:rPr>
                <w:rFonts w:ascii="Calibri" w:eastAsia="MS Mincho" w:hAnsi="Calibri" w:cs="Calibri"/>
                <w:color w:val="auto"/>
                <w:sz w:val="22"/>
              </w:rPr>
              <w:t xml:space="preserve">At the time of this report Canadian Standards Association had not been forthcoming in commercial discussions to explore these matters. </w:t>
            </w:r>
          </w:p>
        </w:tc>
      </w:tr>
    </w:tbl>
    <w:p w14:paraId="370BA405" w14:textId="77777777" w:rsidR="00386FD8" w:rsidRDefault="00386FD8" w:rsidP="00677EB4">
      <w:pPr>
        <w:spacing w:after="200" w:line="276" w:lineRule="auto"/>
        <w:rPr>
          <w:rFonts w:ascii="Calibri" w:eastAsia="MS Mincho" w:hAnsi="Calibri" w:cs="Calibri"/>
          <w:color w:val="auto"/>
          <w:sz w:val="22"/>
        </w:rPr>
      </w:pPr>
    </w:p>
    <w:p w14:paraId="7CA5CF81" w14:textId="084B678E" w:rsidR="00131935" w:rsidRPr="005B07E8" w:rsidRDefault="00085808" w:rsidP="008C645C">
      <w:pPr>
        <w:spacing w:after="200" w:line="276" w:lineRule="auto"/>
        <w:rPr>
          <w:rFonts w:ascii="Calibri" w:eastAsia="MS Mincho" w:hAnsi="Calibri" w:cs="Calibri"/>
          <w:color w:val="auto"/>
          <w:sz w:val="22"/>
        </w:rPr>
      </w:pPr>
      <w:r>
        <w:rPr>
          <w:rFonts w:ascii="Calibri" w:eastAsia="MS Mincho" w:hAnsi="Calibri" w:cs="Calibri"/>
          <w:color w:val="auto"/>
          <w:sz w:val="22"/>
        </w:rPr>
        <w:t xml:space="preserve"> </w:t>
      </w:r>
      <w:r w:rsidR="008C645C">
        <w:rPr>
          <w:rFonts w:ascii="Calibri" w:eastAsia="MS Mincho" w:hAnsi="Calibri" w:cs="Calibri"/>
          <w:color w:val="auto"/>
          <w:sz w:val="22"/>
        </w:rPr>
        <w:t xml:space="preserve">A </w:t>
      </w:r>
      <w:r w:rsidR="00AD2F35">
        <w:rPr>
          <w:rFonts w:ascii="Calibri" w:eastAsia="MS Mincho" w:hAnsi="Calibri" w:cs="Calibri"/>
          <w:color w:val="auto"/>
          <w:sz w:val="22"/>
        </w:rPr>
        <w:t>high-level</w:t>
      </w:r>
      <w:r>
        <w:rPr>
          <w:rFonts w:ascii="Calibri" w:eastAsia="MS Mincho" w:hAnsi="Calibri" w:cs="Calibri"/>
          <w:color w:val="auto"/>
          <w:sz w:val="22"/>
        </w:rPr>
        <w:t xml:space="preserve"> comparison of NZS 4121:2001 and </w:t>
      </w:r>
      <w:r w:rsidRPr="000A75E3">
        <w:rPr>
          <w:rFonts w:ascii="Calibri" w:eastAsia="MS Mincho" w:hAnsi="Calibri" w:cs="Calibri"/>
          <w:color w:val="auto"/>
          <w:sz w:val="22"/>
        </w:rPr>
        <w:t>CSA/ASC B651:23</w:t>
      </w:r>
      <w:r>
        <w:rPr>
          <w:rFonts w:ascii="Calibri" w:eastAsia="MS Mincho" w:hAnsi="Calibri" w:cs="Calibri"/>
          <w:color w:val="auto"/>
          <w:sz w:val="22"/>
        </w:rPr>
        <w:t xml:space="preserve"> </w:t>
      </w:r>
      <w:r w:rsidR="00131935" w:rsidRPr="00131935">
        <w:rPr>
          <w:rFonts w:ascii="Calibri" w:eastAsia="MS Mincho" w:hAnsi="Calibri" w:cs="Calibri"/>
          <w:color w:val="auto"/>
          <w:sz w:val="22"/>
        </w:rPr>
        <w:t xml:space="preserve">using </w:t>
      </w:r>
      <w:r w:rsidR="00D147FF">
        <w:rPr>
          <w:rFonts w:ascii="Calibri" w:eastAsia="MS Mincho" w:hAnsi="Calibri" w:cs="Calibri"/>
          <w:color w:val="auto"/>
          <w:sz w:val="22"/>
        </w:rPr>
        <w:t>a</w:t>
      </w:r>
      <w:r w:rsidR="00131935" w:rsidRPr="00131935">
        <w:rPr>
          <w:rFonts w:ascii="Calibri" w:eastAsia="MS Mincho" w:hAnsi="Calibri" w:cs="Calibri"/>
          <w:color w:val="auto"/>
          <w:sz w:val="22"/>
        </w:rPr>
        <w:t xml:space="preserve"> </w:t>
      </w:r>
      <w:proofErr w:type="gramStart"/>
      <w:r w:rsidR="00131935" w:rsidRPr="00131935">
        <w:rPr>
          <w:rFonts w:ascii="Calibri" w:eastAsia="MS Mincho" w:hAnsi="Calibri" w:cs="Calibri"/>
          <w:color w:val="auto"/>
          <w:sz w:val="22"/>
        </w:rPr>
        <w:t>broad criteria</w:t>
      </w:r>
      <w:proofErr w:type="gramEnd"/>
      <w:r w:rsidR="00131935" w:rsidRPr="00131935">
        <w:rPr>
          <w:rFonts w:ascii="Calibri" w:eastAsia="MS Mincho" w:hAnsi="Calibri" w:cs="Calibri"/>
          <w:color w:val="auto"/>
          <w:sz w:val="22"/>
        </w:rPr>
        <w:t xml:space="preserve"> typically applied in accessibility standards reviews</w:t>
      </w:r>
      <w:r w:rsidR="00131935">
        <w:rPr>
          <w:rFonts w:ascii="Calibri" w:eastAsia="MS Mincho" w:hAnsi="Calibri" w:cs="Calibri"/>
          <w:color w:val="auto"/>
          <w:sz w:val="22"/>
        </w:rPr>
        <w:t xml:space="preserve"> (</w:t>
      </w:r>
      <w:r>
        <w:rPr>
          <w:rFonts w:ascii="Calibri" w:eastAsia="MS Mincho" w:hAnsi="Calibri" w:cs="Calibri"/>
          <w:color w:val="auto"/>
          <w:sz w:val="22"/>
        </w:rPr>
        <w:t xml:space="preserve">produced </w:t>
      </w:r>
      <w:r w:rsidR="00966407">
        <w:rPr>
          <w:rFonts w:ascii="Calibri" w:eastAsia="MS Mincho" w:hAnsi="Calibri" w:cs="Calibri"/>
          <w:color w:val="auto"/>
          <w:sz w:val="22"/>
        </w:rPr>
        <w:t>with assistance from an</w:t>
      </w:r>
      <w:r w:rsidR="00537E77">
        <w:rPr>
          <w:rFonts w:ascii="Calibri" w:eastAsia="MS Mincho" w:hAnsi="Calibri" w:cs="Calibri"/>
          <w:color w:val="auto"/>
          <w:sz w:val="22"/>
        </w:rPr>
        <w:t xml:space="preserve"> artificial intelligence </w:t>
      </w:r>
      <w:r>
        <w:rPr>
          <w:rFonts w:ascii="Calibri" w:eastAsia="MS Mincho" w:hAnsi="Calibri" w:cs="Calibri"/>
          <w:color w:val="auto"/>
          <w:sz w:val="22"/>
        </w:rPr>
        <w:t>a</w:t>
      </w:r>
      <w:r w:rsidR="00966407">
        <w:rPr>
          <w:rFonts w:ascii="Calibri" w:eastAsia="MS Mincho" w:hAnsi="Calibri" w:cs="Calibri"/>
          <w:color w:val="auto"/>
          <w:sz w:val="22"/>
        </w:rPr>
        <w:t>pplication</w:t>
      </w:r>
      <w:r>
        <w:rPr>
          <w:rFonts w:ascii="Calibri" w:eastAsia="MS Mincho" w:hAnsi="Calibri" w:cs="Calibri"/>
          <w:color w:val="auto"/>
          <w:sz w:val="22"/>
        </w:rPr>
        <w:t xml:space="preserve"> </w:t>
      </w:r>
      <w:r w:rsidR="00D87319">
        <w:rPr>
          <w:rFonts w:ascii="Calibri" w:eastAsia="MS Mincho" w:hAnsi="Calibri" w:cs="Calibri"/>
          <w:color w:val="auto"/>
          <w:sz w:val="22"/>
        </w:rPr>
        <w:t xml:space="preserve">Microsoft </w:t>
      </w:r>
      <w:r>
        <w:rPr>
          <w:rFonts w:ascii="Calibri" w:eastAsia="MS Mincho" w:hAnsi="Calibri" w:cs="Calibri"/>
          <w:color w:val="auto"/>
          <w:sz w:val="22"/>
        </w:rPr>
        <w:t>Copilot</w:t>
      </w:r>
      <w:r w:rsidR="00131935">
        <w:rPr>
          <w:rFonts w:ascii="Calibri" w:eastAsia="MS Mincho" w:hAnsi="Calibri" w:cs="Calibri"/>
          <w:color w:val="auto"/>
          <w:sz w:val="22"/>
        </w:rPr>
        <w:t>)</w:t>
      </w:r>
      <w:r w:rsidR="008C645C">
        <w:rPr>
          <w:rFonts w:ascii="Calibri" w:eastAsia="MS Mincho" w:hAnsi="Calibri" w:cs="Calibri"/>
          <w:color w:val="auto"/>
          <w:sz w:val="22"/>
        </w:rPr>
        <w:t xml:space="preserve"> can be found in Appendix </w:t>
      </w:r>
      <w:r w:rsidR="00D147FF">
        <w:rPr>
          <w:rFonts w:ascii="Calibri" w:eastAsia="MS Mincho" w:hAnsi="Calibri" w:cs="Calibri"/>
          <w:color w:val="auto"/>
          <w:sz w:val="22"/>
        </w:rPr>
        <w:t>C</w:t>
      </w:r>
      <w:r w:rsidR="00131935">
        <w:rPr>
          <w:rFonts w:ascii="Calibri" w:eastAsia="MS Mincho" w:hAnsi="Calibri" w:cs="Calibri"/>
          <w:color w:val="auto"/>
          <w:sz w:val="22"/>
        </w:rPr>
        <w:t xml:space="preserve">. </w:t>
      </w:r>
    </w:p>
    <w:p w14:paraId="5752EC72" w14:textId="4926F907" w:rsidR="00AC54F7" w:rsidRDefault="00AC54F7" w:rsidP="00844C99">
      <w:pPr>
        <w:keepNext/>
        <w:keepLines/>
        <w:spacing w:before="200" w:after="0" w:line="276" w:lineRule="auto"/>
        <w:outlineLvl w:val="1"/>
        <w:rPr>
          <w:rFonts w:ascii="Calibri" w:eastAsia="MS Gothic" w:hAnsi="Calibri" w:cs="Calibri"/>
          <w:b/>
          <w:bCs/>
          <w:color w:val="4F81BD"/>
          <w:sz w:val="26"/>
          <w:szCs w:val="26"/>
        </w:rPr>
      </w:pPr>
    </w:p>
    <w:p w14:paraId="2CDA7A8A" w14:textId="31747C8B" w:rsidR="00844C99" w:rsidRPr="00844C99" w:rsidRDefault="00844C99" w:rsidP="00AC54F7">
      <w:pPr>
        <w:pStyle w:val="Heading3"/>
        <w:rPr>
          <w:rFonts w:eastAsia="MS Gothic"/>
        </w:rPr>
      </w:pPr>
      <w:bookmarkStart w:id="30" w:name="_Hlk224823572"/>
      <w:r w:rsidRPr="00844C99">
        <w:rPr>
          <w:rFonts w:eastAsia="MS Gothic"/>
        </w:rPr>
        <w:t xml:space="preserve">Option 3 </w:t>
      </w:r>
      <w:r w:rsidR="00037FBD">
        <w:rPr>
          <w:rFonts w:eastAsia="MS Gothic"/>
        </w:rPr>
        <w:t>Join AS 1428.1</w:t>
      </w:r>
      <w:r w:rsidR="002030FF">
        <w:rPr>
          <w:rFonts w:eastAsia="MS Gothic"/>
        </w:rPr>
        <w:t>:2021</w:t>
      </w:r>
      <w:r w:rsidR="00037FBD">
        <w:rPr>
          <w:rFonts w:eastAsia="MS Gothic"/>
        </w:rPr>
        <w:t xml:space="preserve"> </w:t>
      </w:r>
      <w:r w:rsidR="008E6971" w:rsidRPr="008E6971">
        <w:rPr>
          <w:rFonts w:eastAsia="MS Gothic"/>
          <w:i/>
          <w:iCs/>
        </w:rPr>
        <w:t>Design for access and mobility</w:t>
      </w:r>
      <w:r w:rsidR="00032216">
        <w:rPr>
          <w:rFonts w:eastAsia="MS Gothic"/>
          <w:i/>
          <w:iCs/>
        </w:rPr>
        <w:t xml:space="preserve"> Part 1: General requirements for access – New building work</w:t>
      </w:r>
      <w:r w:rsidR="008E6971">
        <w:rPr>
          <w:rFonts w:eastAsia="MS Gothic"/>
        </w:rPr>
        <w:t xml:space="preserve"> </w:t>
      </w:r>
      <w:r w:rsidR="00037FBD">
        <w:rPr>
          <w:rFonts w:eastAsia="MS Gothic"/>
        </w:rPr>
        <w:t>with New Zealand (create a joint AS/NZS standard)</w:t>
      </w:r>
    </w:p>
    <w:bookmarkEnd w:id="30"/>
    <w:p w14:paraId="2B8708D0" w14:textId="77777777" w:rsidR="00032216" w:rsidRDefault="00032216" w:rsidP="00032216">
      <w:pPr>
        <w:spacing w:after="0" w:line="276" w:lineRule="auto"/>
        <w:rPr>
          <w:rFonts w:ascii="Calibri" w:eastAsia="MS Mincho" w:hAnsi="Calibri" w:cs="Calibri"/>
          <w:color w:val="auto"/>
          <w:sz w:val="22"/>
        </w:rPr>
      </w:pPr>
    </w:p>
    <w:p w14:paraId="2773392C" w14:textId="46FBFA93" w:rsidR="0066360D" w:rsidRDefault="005E0D91" w:rsidP="00844C99">
      <w:pPr>
        <w:spacing w:after="200" w:line="276" w:lineRule="auto"/>
        <w:rPr>
          <w:rFonts w:ascii="Calibri" w:eastAsia="MS Mincho" w:hAnsi="Calibri" w:cs="Calibri"/>
          <w:color w:val="auto"/>
          <w:sz w:val="22"/>
        </w:rPr>
      </w:pPr>
      <w:r>
        <w:rPr>
          <w:rFonts w:ascii="Calibri" w:eastAsia="MS Mincho" w:hAnsi="Calibri" w:cs="Calibri"/>
          <w:color w:val="auto"/>
          <w:sz w:val="22"/>
        </w:rPr>
        <w:t>Existing c</w:t>
      </w:r>
      <w:r w:rsidR="0066360D">
        <w:rPr>
          <w:rFonts w:ascii="Calibri" w:eastAsia="MS Mincho" w:hAnsi="Calibri" w:cs="Calibri"/>
          <w:color w:val="auto"/>
          <w:sz w:val="22"/>
        </w:rPr>
        <w:t xml:space="preserve">ommercial arrangements between Standards New Zealand </w:t>
      </w:r>
      <w:r w:rsidR="003B4950">
        <w:rPr>
          <w:rFonts w:ascii="Calibri" w:eastAsia="MS Mincho" w:hAnsi="Calibri" w:cs="Calibri"/>
          <w:color w:val="auto"/>
          <w:sz w:val="22"/>
        </w:rPr>
        <w:t xml:space="preserve">and Standards Australia enable </w:t>
      </w:r>
      <w:r w:rsidR="00061686">
        <w:rPr>
          <w:rFonts w:ascii="Calibri" w:eastAsia="MS Mincho" w:hAnsi="Calibri" w:cs="Calibri"/>
          <w:color w:val="auto"/>
          <w:sz w:val="22"/>
        </w:rPr>
        <w:t xml:space="preserve">the development of </w:t>
      </w:r>
      <w:r w:rsidR="003B4950">
        <w:rPr>
          <w:rFonts w:ascii="Calibri" w:eastAsia="MS Mincho" w:hAnsi="Calibri" w:cs="Calibri"/>
          <w:color w:val="auto"/>
          <w:sz w:val="22"/>
        </w:rPr>
        <w:t xml:space="preserve">joint standards </w:t>
      </w:r>
      <w:r w:rsidR="00061686">
        <w:rPr>
          <w:rFonts w:ascii="Calibri" w:eastAsia="MS Mincho" w:hAnsi="Calibri" w:cs="Calibri"/>
          <w:color w:val="auto"/>
          <w:sz w:val="22"/>
        </w:rPr>
        <w:t xml:space="preserve">where this is likely to support closer </w:t>
      </w:r>
      <w:r w:rsidR="00783552">
        <w:rPr>
          <w:rFonts w:ascii="Calibri" w:eastAsia="MS Mincho" w:hAnsi="Calibri" w:cs="Calibri"/>
          <w:color w:val="auto"/>
          <w:sz w:val="22"/>
        </w:rPr>
        <w:t xml:space="preserve">alignment </w:t>
      </w:r>
      <w:r w:rsidR="003B4950">
        <w:rPr>
          <w:rFonts w:ascii="Calibri" w:eastAsia="MS Mincho" w:hAnsi="Calibri" w:cs="Calibri"/>
          <w:color w:val="auto"/>
          <w:sz w:val="22"/>
        </w:rPr>
        <w:t xml:space="preserve">between the two </w:t>
      </w:r>
      <w:r w:rsidR="00783552">
        <w:rPr>
          <w:rFonts w:ascii="Calibri" w:eastAsia="MS Mincho" w:hAnsi="Calibri" w:cs="Calibri"/>
          <w:color w:val="auto"/>
          <w:sz w:val="22"/>
        </w:rPr>
        <w:t xml:space="preserve">economies. </w:t>
      </w:r>
    </w:p>
    <w:p w14:paraId="0036EF22" w14:textId="77C8F2A0" w:rsidR="005E0D91" w:rsidRDefault="005E0D91" w:rsidP="00844C99">
      <w:pPr>
        <w:spacing w:after="200" w:line="276" w:lineRule="auto"/>
        <w:rPr>
          <w:rFonts w:ascii="Calibri" w:eastAsia="MS Mincho" w:hAnsi="Calibri" w:cs="Calibri"/>
          <w:color w:val="auto"/>
          <w:sz w:val="22"/>
        </w:rPr>
      </w:pPr>
      <w:r>
        <w:rPr>
          <w:rFonts w:ascii="Calibri" w:eastAsia="MS Mincho" w:hAnsi="Calibri" w:cs="Calibri"/>
          <w:color w:val="auto"/>
          <w:sz w:val="22"/>
        </w:rPr>
        <w:t xml:space="preserve">Aligning standards with Australia is beneficial </w:t>
      </w:r>
      <w:r w:rsidR="00783552">
        <w:rPr>
          <w:rFonts w:ascii="Calibri" w:eastAsia="MS Mincho" w:hAnsi="Calibri" w:cs="Calibri"/>
          <w:color w:val="auto"/>
          <w:sz w:val="22"/>
        </w:rPr>
        <w:t xml:space="preserve">for New Zealand </w:t>
      </w:r>
      <w:r>
        <w:rPr>
          <w:rFonts w:ascii="Calibri" w:eastAsia="MS Mincho" w:hAnsi="Calibri" w:cs="Calibri"/>
          <w:color w:val="auto"/>
          <w:sz w:val="22"/>
        </w:rPr>
        <w:t xml:space="preserve">and can </w:t>
      </w:r>
      <w:r w:rsidR="00783552">
        <w:rPr>
          <w:rFonts w:ascii="Calibri" w:eastAsia="MS Mincho" w:hAnsi="Calibri" w:cs="Calibri"/>
          <w:color w:val="auto"/>
          <w:sz w:val="22"/>
        </w:rPr>
        <w:t>deliver</w:t>
      </w:r>
      <w:r>
        <w:rPr>
          <w:rFonts w:ascii="Calibri" w:eastAsia="MS Mincho" w:hAnsi="Calibri" w:cs="Calibri"/>
          <w:color w:val="auto"/>
          <w:sz w:val="22"/>
        </w:rPr>
        <w:t xml:space="preserve"> the following advantages: </w:t>
      </w:r>
    </w:p>
    <w:p w14:paraId="310FC41A" w14:textId="372C943E" w:rsidR="004941FF" w:rsidRDefault="00D2292C" w:rsidP="000F03A2">
      <w:pPr>
        <w:pStyle w:val="ListParagraph"/>
        <w:numPr>
          <w:ilvl w:val="0"/>
          <w:numId w:val="61"/>
        </w:numPr>
        <w:spacing w:after="200" w:line="276" w:lineRule="auto"/>
        <w:rPr>
          <w:rFonts w:ascii="Calibri" w:eastAsia="MS Mincho" w:hAnsi="Calibri" w:cs="Calibri"/>
          <w:color w:val="auto"/>
          <w:sz w:val="22"/>
        </w:rPr>
      </w:pPr>
      <w:r>
        <w:rPr>
          <w:rFonts w:ascii="Calibri" w:eastAsia="MS Mincho" w:hAnsi="Calibri" w:cs="Calibri"/>
          <w:color w:val="auto"/>
          <w:sz w:val="22"/>
        </w:rPr>
        <w:lastRenderedPageBreak/>
        <w:t xml:space="preserve">joint </w:t>
      </w:r>
      <w:r w:rsidR="004941FF">
        <w:rPr>
          <w:rFonts w:ascii="Calibri" w:eastAsia="MS Mincho" w:hAnsi="Calibri" w:cs="Calibri"/>
          <w:color w:val="auto"/>
          <w:sz w:val="22"/>
        </w:rPr>
        <w:t xml:space="preserve">standards reduce </w:t>
      </w:r>
      <w:r w:rsidR="008E6971">
        <w:rPr>
          <w:rFonts w:ascii="Calibri" w:eastAsia="MS Mincho" w:hAnsi="Calibri" w:cs="Calibri"/>
          <w:color w:val="auto"/>
          <w:sz w:val="22"/>
        </w:rPr>
        <w:t>the need for each of the two countries to maintain parallel, standalone standards covering similar technical provisions</w:t>
      </w:r>
    </w:p>
    <w:p w14:paraId="1BDC64F3" w14:textId="55D7CEA9" w:rsidR="004941FF" w:rsidRDefault="00D2292C" w:rsidP="000F03A2">
      <w:pPr>
        <w:pStyle w:val="ListParagraph"/>
        <w:numPr>
          <w:ilvl w:val="0"/>
          <w:numId w:val="61"/>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lower </w:t>
      </w:r>
      <w:r w:rsidR="004941FF">
        <w:rPr>
          <w:rFonts w:ascii="Calibri" w:eastAsia="MS Mincho" w:hAnsi="Calibri" w:cs="Calibri"/>
          <w:color w:val="auto"/>
          <w:sz w:val="22"/>
        </w:rPr>
        <w:t>technical barriers to trade across the Tasman</w:t>
      </w:r>
    </w:p>
    <w:p w14:paraId="55A6C797" w14:textId="7C7C9166" w:rsidR="004941FF" w:rsidRDefault="00D2292C" w:rsidP="000F03A2">
      <w:pPr>
        <w:pStyle w:val="ListParagraph"/>
        <w:numPr>
          <w:ilvl w:val="0"/>
          <w:numId w:val="61"/>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product </w:t>
      </w:r>
      <w:r w:rsidR="004941FF">
        <w:rPr>
          <w:rFonts w:ascii="Calibri" w:eastAsia="MS Mincho" w:hAnsi="Calibri" w:cs="Calibri"/>
          <w:color w:val="auto"/>
          <w:sz w:val="22"/>
        </w:rPr>
        <w:t>suppliers, service providers can operate more easily in both countries</w:t>
      </w:r>
    </w:p>
    <w:p w14:paraId="3FF6D6D0" w14:textId="4BEA9654" w:rsidR="005E0D91" w:rsidRPr="00FB4F2F" w:rsidRDefault="00D2292C" w:rsidP="000F03A2">
      <w:pPr>
        <w:pStyle w:val="ListParagraph"/>
        <w:numPr>
          <w:ilvl w:val="0"/>
          <w:numId w:val="61"/>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faster </w:t>
      </w:r>
      <w:r w:rsidR="008E6971">
        <w:rPr>
          <w:rFonts w:ascii="Calibri" w:eastAsia="MS Mincho" w:hAnsi="Calibri" w:cs="Calibri"/>
          <w:color w:val="auto"/>
          <w:sz w:val="22"/>
        </w:rPr>
        <w:t>update cycles are possible because resources are shared</w:t>
      </w:r>
    </w:p>
    <w:p w14:paraId="1071B544" w14:textId="5687812B" w:rsidR="00844C99" w:rsidRPr="00844C99" w:rsidRDefault="00844C99" w:rsidP="00844C99">
      <w:pPr>
        <w:spacing w:after="200" w:line="276" w:lineRule="auto"/>
        <w:rPr>
          <w:rFonts w:ascii="Calibri" w:eastAsia="MS Mincho" w:hAnsi="Calibri" w:cs="Calibri"/>
          <w:b/>
          <w:bCs/>
          <w:color w:val="auto"/>
          <w:sz w:val="22"/>
        </w:rPr>
      </w:pPr>
      <w:r w:rsidRPr="00844C99">
        <w:rPr>
          <w:rFonts w:ascii="Calibri" w:eastAsia="MS Mincho" w:hAnsi="Calibri" w:cs="Calibri"/>
          <w:b/>
          <w:bCs/>
          <w:color w:val="auto"/>
          <w:sz w:val="22"/>
        </w:rPr>
        <w:t>Pros</w:t>
      </w:r>
    </w:p>
    <w:p w14:paraId="7B50B3D1" w14:textId="763E4010" w:rsidR="00037FBD" w:rsidRPr="00037FBD" w:rsidRDefault="00037FBD" w:rsidP="00037FBD">
      <w:pPr>
        <w:spacing w:after="200" w:line="276" w:lineRule="auto"/>
        <w:rPr>
          <w:rFonts w:ascii="Calibri" w:eastAsia="MS Mincho" w:hAnsi="Calibri" w:cs="Calibri"/>
          <w:color w:val="auto"/>
          <w:sz w:val="22"/>
        </w:rPr>
      </w:pPr>
      <w:r>
        <w:rPr>
          <w:rFonts w:ascii="Calibri" w:eastAsia="MS Mincho" w:hAnsi="Calibri" w:cs="Calibri"/>
          <w:color w:val="auto"/>
          <w:sz w:val="22"/>
        </w:rPr>
        <w:t>There are s</w:t>
      </w:r>
      <w:r w:rsidRPr="00037FBD">
        <w:rPr>
          <w:rFonts w:ascii="Calibri" w:eastAsia="MS Mincho" w:hAnsi="Calibri" w:cs="Calibri"/>
          <w:color w:val="auto"/>
          <w:sz w:val="22"/>
        </w:rPr>
        <w:t xml:space="preserve">everal areas where the AS 1428 series </w:t>
      </w:r>
      <w:proofErr w:type="gramStart"/>
      <w:r w:rsidRPr="00037FBD">
        <w:rPr>
          <w:rFonts w:ascii="Calibri" w:eastAsia="MS Mincho" w:hAnsi="Calibri" w:cs="Calibri"/>
          <w:color w:val="auto"/>
          <w:sz w:val="22"/>
        </w:rPr>
        <w:t>performs</w:t>
      </w:r>
      <w:proofErr w:type="gramEnd"/>
      <w:r w:rsidRPr="00037FBD">
        <w:rPr>
          <w:rFonts w:ascii="Calibri" w:eastAsia="MS Mincho" w:hAnsi="Calibri" w:cs="Calibri"/>
          <w:color w:val="auto"/>
          <w:sz w:val="22"/>
        </w:rPr>
        <w:t xml:space="preserve"> well or adds value:</w:t>
      </w:r>
    </w:p>
    <w:p w14:paraId="620F492B" w14:textId="0613DDD7" w:rsidR="00037FBD" w:rsidRPr="00037FBD" w:rsidRDefault="00D2292C" w:rsidP="000F03A2">
      <w:pPr>
        <w:numPr>
          <w:ilvl w:val="0"/>
          <w:numId w:val="36"/>
        </w:numPr>
        <w:spacing w:after="0" w:line="276" w:lineRule="auto"/>
        <w:rPr>
          <w:rFonts w:ascii="Calibri" w:eastAsia="MS Mincho" w:hAnsi="Calibri" w:cs="Calibri"/>
          <w:color w:val="auto"/>
          <w:sz w:val="22"/>
        </w:rPr>
      </w:pPr>
      <w:r w:rsidRPr="00037FBD">
        <w:rPr>
          <w:rFonts w:ascii="Calibri" w:eastAsia="MS Mincho" w:hAnsi="Calibri" w:cs="Calibri"/>
          <w:color w:val="auto"/>
          <w:sz w:val="22"/>
        </w:rPr>
        <w:t>communication accessibility</w:t>
      </w:r>
    </w:p>
    <w:p w14:paraId="7F76D45A" w14:textId="78E7007C" w:rsidR="00037FBD" w:rsidRPr="00037FBD" w:rsidRDefault="00D2292C" w:rsidP="000F03A2">
      <w:pPr>
        <w:numPr>
          <w:ilvl w:val="0"/>
          <w:numId w:val="36"/>
        </w:numPr>
        <w:spacing w:after="0" w:line="276" w:lineRule="auto"/>
        <w:rPr>
          <w:rFonts w:ascii="Calibri" w:eastAsia="MS Mincho" w:hAnsi="Calibri" w:cs="Calibri"/>
          <w:color w:val="auto"/>
          <w:sz w:val="22"/>
        </w:rPr>
      </w:pPr>
      <w:r w:rsidRPr="00037FBD">
        <w:rPr>
          <w:rFonts w:ascii="Calibri" w:eastAsia="MS Mincho" w:hAnsi="Calibri" w:cs="Calibri"/>
          <w:color w:val="auto"/>
          <w:sz w:val="22"/>
        </w:rPr>
        <w:t>emergency provisions</w:t>
      </w:r>
    </w:p>
    <w:p w14:paraId="0CBD89D1" w14:textId="1F823930" w:rsidR="00037FBD" w:rsidRPr="00037FBD" w:rsidRDefault="00D2292C" w:rsidP="000F03A2">
      <w:pPr>
        <w:numPr>
          <w:ilvl w:val="0"/>
          <w:numId w:val="36"/>
        </w:numPr>
        <w:spacing w:after="0" w:line="276" w:lineRule="auto"/>
        <w:rPr>
          <w:rFonts w:ascii="Calibri" w:eastAsia="MS Mincho" w:hAnsi="Calibri" w:cs="Calibri"/>
          <w:color w:val="auto"/>
          <w:sz w:val="22"/>
        </w:rPr>
      </w:pPr>
      <w:r w:rsidRPr="00037FBD">
        <w:rPr>
          <w:rFonts w:ascii="Calibri" w:eastAsia="MS Mincho" w:hAnsi="Calibri" w:cs="Calibri"/>
          <w:color w:val="auto"/>
          <w:sz w:val="22"/>
        </w:rPr>
        <w:t>children and adolescents</w:t>
      </w:r>
    </w:p>
    <w:p w14:paraId="573E83CA" w14:textId="4EC34A1A" w:rsidR="00037FBD" w:rsidRDefault="00D2292C" w:rsidP="000F03A2">
      <w:pPr>
        <w:numPr>
          <w:ilvl w:val="0"/>
          <w:numId w:val="36"/>
        </w:numPr>
        <w:spacing w:after="0" w:line="276" w:lineRule="auto"/>
        <w:rPr>
          <w:rFonts w:ascii="Calibri" w:eastAsia="MS Mincho" w:hAnsi="Calibri" w:cs="Calibri"/>
          <w:color w:val="auto"/>
          <w:sz w:val="22"/>
        </w:rPr>
      </w:pPr>
      <w:r w:rsidRPr="00037FBD">
        <w:rPr>
          <w:rFonts w:ascii="Calibri" w:eastAsia="MS Mincho" w:hAnsi="Calibri" w:cs="Calibri"/>
          <w:color w:val="auto"/>
          <w:sz w:val="22"/>
        </w:rPr>
        <w:t xml:space="preserve">tactile </w:t>
      </w:r>
      <w:r w:rsidR="00037FBD" w:rsidRPr="00037FBD">
        <w:rPr>
          <w:rFonts w:ascii="Calibri" w:eastAsia="MS Mincho" w:hAnsi="Calibri" w:cs="Calibri"/>
          <w:color w:val="auto"/>
          <w:sz w:val="22"/>
        </w:rPr>
        <w:t>ground surface indicators (TGSI)</w:t>
      </w:r>
    </w:p>
    <w:p w14:paraId="4869C93C" w14:textId="4621CDF5" w:rsidR="00037FBD" w:rsidRDefault="00D2292C" w:rsidP="000F03A2">
      <w:pPr>
        <w:numPr>
          <w:ilvl w:val="0"/>
          <w:numId w:val="36"/>
        </w:numPr>
        <w:spacing w:after="0" w:line="276" w:lineRule="auto"/>
        <w:rPr>
          <w:rFonts w:ascii="Calibri" w:eastAsia="MS Mincho" w:hAnsi="Calibri" w:cs="Calibri"/>
          <w:color w:val="auto"/>
          <w:sz w:val="22"/>
        </w:rPr>
      </w:pPr>
      <w:r w:rsidRPr="00037FBD">
        <w:rPr>
          <w:rFonts w:ascii="Calibri" w:eastAsia="MS Mincho" w:hAnsi="Calibri" w:cs="Calibri"/>
          <w:color w:val="auto"/>
          <w:sz w:val="22"/>
        </w:rPr>
        <w:t>recreation facilities</w:t>
      </w:r>
    </w:p>
    <w:p w14:paraId="5D0306F0" w14:textId="50576ACB" w:rsidR="00903364" w:rsidRPr="006349CA" w:rsidRDefault="00D2292C" w:rsidP="000F03A2">
      <w:pPr>
        <w:numPr>
          <w:ilvl w:val="0"/>
          <w:numId w:val="36"/>
        </w:numPr>
        <w:spacing w:after="0" w:line="276" w:lineRule="auto"/>
        <w:rPr>
          <w:rFonts w:ascii="Calibri" w:eastAsia="MS Mincho" w:hAnsi="Calibri" w:cs="Calibri"/>
          <w:color w:val="auto"/>
          <w:sz w:val="22"/>
        </w:rPr>
      </w:pPr>
      <w:r w:rsidRPr="006349CA">
        <w:rPr>
          <w:rFonts w:ascii="Calibri" w:eastAsia="MS Mincho" w:hAnsi="Calibri" w:cs="Calibri"/>
          <w:color w:val="auto"/>
          <w:sz w:val="22"/>
        </w:rPr>
        <w:t xml:space="preserve">interoperability </w:t>
      </w:r>
      <w:r w:rsidR="00903364" w:rsidRPr="006349CA">
        <w:rPr>
          <w:rFonts w:ascii="Calibri" w:eastAsia="MS Mincho" w:hAnsi="Calibri" w:cs="Calibri"/>
          <w:color w:val="auto"/>
          <w:sz w:val="22"/>
        </w:rPr>
        <w:t xml:space="preserve">of products, services, workforce familiarity and terminology between New Zealand and Australian markets. </w:t>
      </w:r>
    </w:p>
    <w:p w14:paraId="34A03BEB" w14:textId="77777777" w:rsidR="008E6971" w:rsidRDefault="00844C99" w:rsidP="003B64BB">
      <w:pPr>
        <w:spacing w:before="240" w:after="200" w:line="276" w:lineRule="auto"/>
        <w:rPr>
          <w:rFonts w:ascii="Calibri" w:eastAsia="MS Mincho" w:hAnsi="Calibri" w:cs="Calibri"/>
          <w:b/>
          <w:bCs/>
          <w:color w:val="auto"/>
          <w:sz w:val="22"/>
        </w:rPr>
      </w:pPr>
      <w:r w:rsidRPr="00037FBD">
        <w:rPr>
          <w:rFonts w:ascii="Calibri" w:eastAsia="MS Mincho" w:hAnsi="Calibri" w:cs="Calibri"/>
          <w:b/>
          <w:bCs/>
          <w:color w:val="auto"/>
          <w:sz w:val="22"/>
        </w:rPr>
        <w:t>Cons</w:t>
      </w:r>
    </w:p>
    <w:p w14:paraId="4D998B25" w14:textId="0890577B" w:rsidR="00032216" w:rsidRPr="00032216" w:rsidRDefault="00037FBD" w:rsidP="000F03A2">
      <w:pPr>
        <w:pStyle w:val="ListParagraph"/>
        <w:numPr>
          <w:ilvl w:val="0"/>
          <w:numId w:val="38"/>
        </w:numPr>
        <w:spacing w:after="200" w:line="276" w:lineRule="auto"/>
        <w:rPr>
          <w:rFonts w:ascii="Calibri" w:eastAsia="MS Mincho" w:hAnsi="Calibri" w:cs="Calibri"/>
          <w:color w:val="auto"/>
          <w:sz w:val="22"/>
        </w:rPr>
      </w:pPr>
      <w:r w:rsidRPr="00032216">
        <w:rPr>
          <w:rFonts w:ascii="Calibri" w:eastAsia="MS Mincho" w:hAnsi="Calibri" w:cs="Calibri"/>
          <w:color w:val="auto"/>
          <w:sz w:val="22"/>
        </w:rPr>
        <w:t>Fragmentation across multiple documents</w:t>
      </w:r>
      <w:r w:rsidR="00805EB7" w:rsidRPr="00032216">
        <w:rPr>
          <w:rFonts w:ascii="Calibri" w:eastAsia="MS Mincho" w:hAnsi="Calibri" w:cs="Calibri"/>
          <w:color w:val="auto"/>
          <w:sz w:val="22"/>
        </w:rPr>
        <w:t>: there are six</w:t>
      </w:r>
      <w:r w:rsidR="006349CA">
        <w:rPr>
          <w:rFonts w:ascii="Calibri" w:eastAsia="MS Mincho" w:hAnsi="Calibri" w:cs="Calibri"/>
          <w:color w:val="auto"/>
          <w:sz w:val="22"/>
        </w:rPr>
        <w:t xml:space="preserve"> </w:t>
      </w:r>
      <w:r w:rsidR="00903364" w:rsidRPr="006349CA">
        <w:rPr>
          <w:rFonts w:ascii="Calibri" w:eastAsia="MS Mincho" w:hAnsi="Calibri" w:cs="Calibri"/>
          <w:color w:val="auto"/>
          <w:sz w:val="22"/>
        </w:rPr>
        <w:t xml:space="preserve">accessibility </w:t>
      </w:r>
      <w:r w:rsidR="00805EB7" w:rsidRPr="00032216">
        <w:rPr>
          <w:rFonts w:ascii="Calibri" w:eastAsia="MS Mincho" w:hAnsi="Calibri" w:cs="Calibri"/>
          <w:color w:val="auto"/>
          <w:sz w:val="22"/>
        </w:rPr>
        <w:t>standards in the AS 1428 series.</w:t>
      </w:r>
    </w:p>
    <w:p w14:paraId="3B4FF36C" w14:textId="77777777" w:rsidR="00032216" w:rsidRPr="00032216" w:rsidRDefault="00037FBD" w:rsidP="000F03A2">
      <w:pPr>
        <w:pStyle w:val="ListParagraph"/>
        <w:numPr>
          <w:ilvl w:val="0"/>
          <w:numId w:val="38"/>
        </w:numPr>
        <w:spacing w:after="200" w:line="276" w:lineRule="auto"/>
        <w:rPr>
          <w:rFonts w:ascii="Calibri" w:eastAsia="MS Mincho" w:hAnsi="Calibri" w:cs="Calibri"/>
          <w:color w:val="auto"/>
          <w:sz w:val="22"/>
        </w:rPr>
      </w:pPr>
      <w:r w:rsidRPr="00032216">
        <w:rPr>
          <w:rFonts w:ascii="Calibri" w:eastAsia="MS Mincho" w:hAnsi="Calibri" w:cs="Calibri"/>
          <w:color w:val="auto"/>
          <w:sz w:val="22"/>
        </w:rPr>
        <w:t>Limited rationale and commentary</w:t>
      </w:r>
      <w:r w:rsidR="00805EB7" w:rsidRPr="00032216">
        <w:rPr>
          <w:rFonts w:ascii="Calibri" w:eastAsia="MS Mincho" w:hAnsi="Calibri" w:cs="Calibri"/>
          <w:color w:val="auto"/>
          <w:sz w:val="22"/>
        </w:rPr>
        <w:t xml:space="preserve">. </w:t>
      </w:r>
      <w:r w:rsidRPr="00032216">
        <w:rPr>
          <w:rFonts w:ascii="Calibri" w:eastAsia="MS Mincho" w:hAnsi="Calibri" w:cs="Calibri"/>
          <w:color w:val="auto"/>
          <w:sz w:val="22"/>
        </w:rPr>
        <w:t>Unlike the Canadian and EU standards, the AS 1428 series generally does not explain the reasoning behind requirements, reducing its usefulness for interpretation, education, and future adaptation.</w:t>
      </w:r>
    </w:p>
    <w:p w14:paraId="4A6088EE" w14:textId="077A3918" w:rsidR="00032216" w:rsidRPr="00F01D38" w:rsidRDefault="00037FBD" w:rsidP="000F03A2">
      <w:pPr>
        <w:pStyle w:val="ListParagraph"/>
        <w:numPr>
          <w:ilvl w:val="0"/>
          <w:numId w:val="38"/>
        </w:numPr>
        <w:spacing w:after="200" w:line="276" w:lineRule="auto"/>
        <w:rPr>
          <w:rFonts w:ascii="Calibri" w:eastAsia="MS Mincho" w:hAnsi="Calibri" w:cs="Calibri"/>
          <w:color w:val="auto"/>
          <w:sz w:val="22"/>
        </w:rPr>
      </w:pPr>
      <w:r w:rsidRPr="00032216">
        <w:rPr>
          <w:rFonts w:ascii="Calibri" w:eastAsia="MS Mincho" w:hAnsi="Calibri" w:cs="Calibri"/>
          <w:color w:val="auto"/>
          <w:sz w:val="22"/>
        </w:rPr>
        <w:t>Uneven currency</w:t>
      </w:r>
      <w:r w:rsidR="00805EB7" w:rsidRPr="00032216">
        <w:rPr>
          <w:rFonts w:ascii="Calibri" w:eastAsia="MS Mincho" w:hAnsi="Calibri" w:cs="Calibri"/>
          <w:color w:val="auto"/>
          <w:sz w:val="22"/>
        </w:rPr>
        <w:t xml:space="preserve">. </w:t>
      </w:r>
      <w:r w:rsidRPr="00032216">
        <w:rPr>
          <w:rFonts w:ascii="Calibri" w:eastAsia="MS Mincho" w:hAnsi="Calibri" w:cs="Calibri"/>
          <w:color w:val="auto"/>
          <w:sz w:val="22"/>
        </w:rPr>
        <w:t xml:space="preserve">While some parts are </w:t>
      </w:r>
      <w:r w:rsidR="002030FF">
        <w:rPr>
          <w:rFonts w:ascii="Calibri" w:eastAsia="MS Mincho" w:hAnsi="Calibri" w:cs="Calibri"/>
          <w:color w:val="auto"/>
          <w:sz w:val="22"/>
        </w:rPr>
        <w:t>relatively recent</w:t>
      </w:r>
      <w:r w:rsidRPr="00032216">
        <w:rPr>
          <w:rFonts w:ascii="Calibri" w:eastAsia="MS Mincho" w:hAnsi="Calibri" w:cs="Calibri"/>
          <w:color w:val="auto"/>
          <w:sz w:val="22"/>
        </w:rPr>
        <w:t xml:space="preserve">, others (notably AS 1428.2 and AS 1428.3) are over 30 years old, weakening overall coherence and alignment with </w:t>
      </w:r>
      <w:r w:rsidR="00092FD8">
        <w:rPr>
          <w:rFonts w:ascii="Calibri" w:eastAsia="MS Mincho" w:hAnsi="Calibri" w:cs="Calibri"/>
          <w:color w:val="auto"/>
          <w:sz w:val="22"/>
        </w:rPr>
        <w:t>modern</w:t>
      </w:r>
      <w:r w:rsidRPr="00032216">
        <w:rPr>
          <w:rFonts w:ascii="Calibri" w:eastAsia="MS Mincho" w:hAnsi="Calibri" w:cs="Calibri"/>
          <w:color w:val="auto"/>
          <w:sz w:val="22"/>
        </w:rPr>
        <w:t xml:space="preserve"> understanding of disability</w:t>
      </w:r>
      <w:r w:rsidR="00903364">
        <w:rPr>
          <w:rFonts w:ascii="Calibri" w:eastAsia="MS Mincho" w:hAnsi="Calibri" w:cs="Calibri"/>
          <w:color w:val="auto"/>
          <w:sz w:val="22"/>
        </w:rPr>
        <w:t xml:space="preserve"> and </w:t>
      </w:r>
      <w:r w:rsidR="00903364" w:rsidRPr="00F01D38">
        <w:rPr>
          <w:rFonts w:ascii="Calibri" w:eastAsia="MS Mincho" w:hAnsi="Calibri" w:cs="Calibri"/>
          <w:color w:val="auto"/>
          <w:sz w:val="22"/>
        </w:rPr>
        <w:t>modern technology, industry practice and regulatory expectations</w:t>
      </w:r>
      <w:r w:rsidRPr="00F01D38">
        <w:rPr>
          <w:rFonts w:ascii="Calibri" w:eastAsia="MS Mincho" w:hAnsi="Calibri" w:cs="Calibri"/>
          <w:color w:val="auto"/>
          <w:sz w:val="22"/>
        </w:rPr>
        <w:t xml:space="preserve">. </w:t>
      </w:r>
    </w:p>
    <w:p w14:paraId="62B907FA" w14:textId="6F055FBC" w:rsidR="00032216" w:rsidRDefault="00037FBD" w:rsidP="000F03A2">
      <w:pPr>
        <w:pStyle w:val="ListParagraph"/>
        <w:numPr>
          <w:ilvl w:val="0"/>
          <w:numId w:val="38"/>
        </w:numPr>
        <w:spacing w:after="200" w:line="276" w:lineRule="auto"/>
        <w:rPr>
          <w:rFonts w:ascii="Calibri" w:eastAsia="MS Mincho" w:hAnsi="Calibri" w:cs="Calibri"/>
          <w:color w:val="auto"/>
          <w:sz w:val="22"/>
        </w:rPr>
      </w:pPr>
      <w:r w:rsidRPr="00032216">
        <w:rPr>
          <w:rFonts w:ascii="Calibri" w:eastAsia="MS Mincho" w:hAnsi="Calibri" w:cs="Calibri"/>
          <w:color w:val="auto"/>
          <w:sz w:val="22"/>
        </w:rPr>
        <w:t xml:space="preserve">Narrower scope than leading standards (does not include acoustics, cognitive/functional barriers or broader </w:t>
      </w:r>
      <w:r w:rsidR="00590E1C">
        <w:rPr>
          <w:rFonts w:ascii="Calibri" w:eastAsia="MS Mincho" w:hAnsi="Calibri" w:cs="Calibri"/>
          <w:color w:val="auto"/>
          <w:sz w:val="22"/>
        </w:rPr>
        <w:t>universal design</w:t>
      </w:r>
      <w:r w:rsidRPr="00032216">
        <w:rPr>
          <w:rFonts w:ascii="Calibri" w:eastAsia="MS Mincho" w:hAnsi="Calibri" w:cs="Calibri"/>
          <w:color w:val="auto"/>
          <w:sz w:val="22"/>
        </w:rPr>
        <w:t xml:space="preserve"> principles)</w:t>
      </w:r>
      <w:r w:rsidR="00903364">
        <w:rPr>
          <w:rFonts w:ascii="Calibri" w:eastAsia="MS Mincho" w:hAnsi="Calibri" w:cs="Calibri"/>
          <w:color w:val="auto"/>
          <w:sz w:val="22"/>
        </w:rPr>
        <w:t>.</w:t>
      </w:r>
    </w:p>
    <w:p w14:paraId="38400C4E" w14:textId="574A2C66" w:rsidR="00F60757" w:rsidRPr="009D0FAE" w:rsidRDefault="00903364" w:rsidP="000F03A2">
      <w:pPr>
        <w:pStyle w:val="ListParagraph"/>
        <w:numPr>
          <w:ilvl w:val="0"/>
          <w:numId w:val="38"/>
        </w:numPr>
        <w:spacing w:after="200" w:line="276" w:lineRule="auto"/>
        <w:rPr>
          <w:rFonts w:ascii="Calibri" w:eastAsia="MS Mincho" w:hAnsi="Calibri" w:cs="Calibri"/>
          <w:color w:val="auto"/>
          <w:sz w:val="22"/>
        </w:rPr>
      </w:pPr>
      <w:r w:rsidRPr="00F01D38">
        <w:rPr>
          <w:rFonts w:ascii="Calibri" w:eastAsia="MS Mincho" w:hAnsi="Calibri" w:cs="Calibri"/>
          <w:color w:val="auto"/>
          <w:sz w:val="22"/>
        </w:rPr>
        <w:t xml:space="preserve">Current unalignment with regulatory citation in New Zealand, but able to be rectified through Act of parliament amendment, if deemed appropriate in future, and subject to legislative timetable. </w:t>
      </w:r>
    </w:p>
    <w:tbl>
      <w:tblPr>
        <w:tblStyle w:val="TableGrid"/>
        <w:tblW w:w="0" w:type="auto"/>
        <w:tblLook w:val="04A0" w:firstRow="1" w:lastRow="0" w:firstColumn="1" w:lastColumn="0" w:noHBand="0" w:noVBand="1"/>
      </w:tblPr>
      <w:tblGrid>
        <w:gridCol w:w="8610"/>
      </w:tblGrid>
      <w:tr w:rsidR="009D0FAE" w14:paraId="4A7808B7" w14:textId="77777777" w:rsidTr="004F6F62">
        <w:tc>
          <w:tcPr>
            <w:tcW w:w="8630" w:type="dxa"/>
            <w:tcBorders>
              <w:top w:val="single" w:sz="12" w:space="0" w:color="007DA6" w:themeColor="accent1"/>
              <w:left w:val="single" w:sz="12" w:space="0" w:color="007DA6" w:themeColor="accent1"/>
              <w:bottom w:val="single" w:sz="12" w:space="0" w:color="007DA6" w:themeColor="accent1"/>
              <w:right w:val="single" w:sz="12" w:space="0" w:color="007DA6" w:themeColor="accent1"/>
            </w:tcBorders>
            <w:shd w:val="clear" w:color="auto" w:fill="D9F2F6" w:themeFill="accent2" w:themeFillTint="33"/>
          </w:tcPr>
          <w:p w14:paraId="49EDFFB8" w14:textId="1F92579E" w:rsidR="009D0FAE" w:rsidRPr="009D0FAE" w:rsidRDefault="009D0FAE" w:rsidP="009D0FAE">
            <w:pPr>
              <w:rPr>
                <w:color w:val="auto"/>
                <w:sz w:val="22"/>
                <w:szCs w:val="24"/>
              </w:rPr>
            </w:pPr>
            <w:r w:rsidRPr="00185BA3">
              <w:rPr>
                <w:color w:val="auto"/>
                <w:sz w:val="22"/>
                <w:szCs w:val="24"/>
              </w:rPr>
              <w:t>In Standards New Zealand’s view, while alignment with Australia is beneficial on a range of fronts, in this case, it is likely to be of a limited value and may not result in a standard adequate for citation in the Building Act and Building Code</w:t>
            </w:r>
            <w:r>
              <w:rPr>
                <w:color w:val="auto"/>
                <w:sz w:val="22"/>
                <w:szCs w:val="24"/>
              </w:rPr>
              <w:t>. It would also not</w:t>
            </w:r>
            <w:r w:rsidRPr="00185BA3">
              <w:rPr>
                <w:color w:val="auto"/>
                <w:sz w:val="22"/>
                <w:szCs w:val="24"/>
              </w:rPr>
              <w:t xml:space="preserve"> contain many of the modern technology, product, service, facility and industry practice opportunities available to New Zealand.</w:t>
            </w:r>
            <w:r w:rsidR="00296634">
              <w:rPr>
                <w:color w:val="auto"/>
                <w:sz w:val="22"/>
                <w:szCs w:val="24"/>
              </w:rPr>
              <w:t xml:space="preserve"> </w:t>
            </w:r>
            <w:r w:rsidRPr="00185BA3">
              <w:rPr>
                <w:color w:val="auto"/>
                <w:sz w:val="22"/>
                <w:szCs w:val="24"/>
              </w:rPr>
              <w:t>Joining one of the Australian Standards AS 1428.1 with New Zealand could still be considered as a separate project, to provide another alternative solution for Trans-</w:t>
            </w:r>
            <w:r w:rsidRPr="00185BA3">
              <w:rPr>
                <w:color w:val="auto"/>
                <w:sz w:val="22"/>
                <w:szCs w:val="24"/>
              </w:rPr>
              <w:lastRenderedPageBreak/>
              <w:t xml:space="preserve">Tasman alignment and accessibility coverage, but not instead of a more fulsome solution needed in New Zealand. </w:t>
            </w:r>
          </w:p>
        </w:tc>
      </w:tr>
    </w:tbl>
    <w:p w14:paraId="02A37AA1" w14:textId="77777777" w:rsidR="009D0FAE" w:rsidRDefault="009D0FAE" w:rsidP="00227E3C">
      <w:pPr>
        <w:spacing w:after="200" w:line="276" w:lineRule="auto"/>
        <w:rPr>
          <w:rFonts w:ascii="Calibri" w:eastAsia="MS Mincho" w:hAnsi="Calibri" w:cs="Calibri"/>
          <w:color w:val="auto"/>
          <w:sz w:val="22"/>
        </w:rPr>
      </w:pPr>
    </w:p>
    <w:p w14:paraId="35EF87DE" w14:textId="0CDFA509" w:rsidR="00966407" w:rsidRDefault="00966407" w:rsidP="00227E3C">
      <w:pPr>
        <w:spacing w:after="200" w:line="276" w:lineRule="auto"/>
        <w:rPr>
          <w:rFonts w:ascii="Calibri" w:eastAsia="MS Mincho" w:hAnsi="Calibri" w:cs="Calibri"/>
          <w:color w:val="auto"/>
          <w:sz w:val="22"/>
        </w:rPr>
      </w:pPr>
      <w:r>
        <w:rPr>
          <w:rFonts w:ascii="Calibri" w:eastAsia="MS Mincho" w:hAnsi="Calibri" w:cs="Calibri"/>
          <w:color w:val="auto"/>
          <w:sz w:val="22"/>
        </w:rPr>
        <w:t xml:space="preserve">A high-level comparison of NZS 4121:2001 and AS 1428.1:2021 </w:t>
      </w:r>
      <w:r w:rsidRPr="00131935">
        <w:rPr>
          <w:rFonts w:ascii="Calibri" w:eastAsia="MS Mincho" w:hAnsi="Calibri" w:cs="Calibri"/>
          <w:color w:val="auto"/>
          <w:sz w:val="22"/>
        </w:rPr>
        <w:t xml:space="preserve">using </w:t>
      </w:r>
      <w:r>
        <w:rPr>
          <w:rFonts w:ascii="Calibri" w:eastAsia="MS Mincho" w:hAnsi="Calibri" w:cs="Calibri"/>
          <w:color w:val="auto"/>
          <w:sz w:val="22"/>
        </w:rPr>
        <w:t>a</w:t>
      </w:r>
      <w:r w:rsidRPr="00131935">
        <w:rPr>
          <w:rFonts w:ascii="Calibri" w:eastAsia="MS Mincho" w:hAnsi="Calibri" w:cs="Calibri"/>
          <w:color w:val="auto"/>
          <w:sz w:val="22"/>
        </w:rPr>
        <w:t xml:space="preserve"> </w:t>
      </w:r>
      <w:proofErr w:type="gramStart"/>
      <w:r w:rsidRPr="00131935">
        <w:rPr>
          <w:rFonts w:ascii="Calibri" w:eastAsia="MS Mincho" w:hAnsi="Calibri" w:cs="Calibri"/>
          <w:color w:val="auto"/>
          <w:sz w:val="22"/>
        </w:rPr>
        <w:t>broad criteria</w:t>
      </w:r>
      <w:proofErr w:type="gramEnd"/>
      <w:r w:rsidRPr="00131935">
        <w:rPr>
          <w:rFonts w:ascii="Calibri" w:eastAsia="MS Mincho" w:hAnsi="Calibri" w:cs="Calibri"/>
          <w:color w:val="auto"/>
          <w:sz w:val="22"/>
        </w:rPr>
        <w:t xml:space="preserve"> typically applied in accessibility standards reviews</w:t>
      </w:r>
      <w:r>
        <w:rPr>
          <w:rFonts w:ascii="Calibri" w:eastAsia="MS Mincho" w:hAnsi="Calibri" w:cs="Calibri"/>
          <w:color w:val="auto"/>
          <w:sz w:val="22"/>
        </w:rPr>
        <w:t xml:space="preserve"> (produced with assistance from an artificial intelligence application Microsoft Copilot) can be found in Appendix C. </w:t>
      </w:r>
    </w:p>
    <w:p w14:paraId="1C0B2F49" w14:textId="77777777" w:rsidR="003B64BB" w:rsidRDefault="003B64BB" w:rsidP="003B64BB">
      <w:pPr>
        <w:spacing w:after="0" w:line="276" w:lineRule="auto"/>
        <w:rPr>
          <w:rFonts w:ascii="Calibri" w:eastAsia="MS Mincho" w:hAnsi="Calibri" w:cs="Calibri"/>
          <w:color w:val="auto"/>
          <w:sz w:val="22"/>
        </w:rPr>
      </w:pPr>
    </w:p>
    <w:p w14:paraId="0841C4E5" w14:textId="49704568" w:rsidR="00AC54F7" w:rsidRDefault="0027782D" w:rsidP="0027782D">
      <w:pPr>
        <w:pStyle w:val="Heading3"/>
        <w:rPr>
          <w:rFonts w:eastAsia="MS Gothic"/>
        </w:rPr>
      </w:pPr>
      <w:r>
        <w:rPr>
          <w:rFonts w:eastAsia="MS Gothic"/>
        </w:rPr>
        <w:t xml:space="preserve">Option 4 Adopt ISO </w:t>
      </w:r>
      <w:r w:rsidR="001E602F">
        <w:rPr>
          <w:rFonts w:eastAsia="MS Gothic"/>
        </w:rPr>
        <w:t xml:space="preserve">21542:2021 </w:t>
      </w:r>
      <w:r w:rsidR="001E602F" w:rsidRPr="001E602F">
        <w:rPr>
          <w:rFonts w:eastAsia="MS Gothic"/>
          <w:i/>
          <w:iCs/>
        </w:rPr>
        <w:t>Building construction – Accessibility and usability of the built environment</w:t>
      </w:r>
      <w:r w:rsidR="001E602F">
        <w:rPr>
          <w:rFonts w:eastAsia="MS Gothic"/>
        </w:rPr>
        <w:t xml:space="preserve"> (with New Zealand modifications)</w:t>
      </w:r>
    </w:p>
    <w:p w14:paraId="5D62375A" w14:textId="57F3FFE1" w:rsidR="001E602F" w:rsidRPr="003F45C1" w:rsidRDefault="003F45C1" w:rsidP="00F4790E">
      <w:pPr>
        <w:spacing w:after="0"/>
        <w:rPr>
          <w:sz w:val="22"/>
          <w:szCs w:val="24"/>
        </w:rPr>
      </w:pPr>
      <w:r w:rsidRPr="003F45C1">
        <w:rPr>
          <w:sz w:val="22"/>
          <w:szCs w:val="24"/>
        </w:rPr>
        <w:t xml:space="preserve">Adoption of ISO </w:t>
      </w:r>
      <w:r>
        <w:rPr>
          <w:sz w:val="22"/>
          <w:szCs w:val="24"/>
        </w:rPr>
        <w:t xml:space="preserve">standards aligns New Zealand with </w:t>
      </w:r>
      <w:r w:rsidR="00966407">
        <w:rPr>
          <w:sz w:val="22"/>
          <w:szCs w:val="24"/>
        </w:rPr>
        <w:t>widely accepted</w:t>
      </w:r>
      <w:r>
        <w:rPr>
          <w:sz w:val="22"/>
          <w:szCs w:val="24"/>
        </w:rPr>
        <w:t xml:space="preserve"> international practice, helps reduce duplication and better </w:t>
      </w:r>
      <w:r w:rsidR="0047409E">
        <w:rPr>
          <w:sz w:val="22"/>
          <w:szCs w:val="24"/>
        </w:rPr>
        <w:t>use</w:t>
      </w:r>
      <w:r w:rsidR="00FB3B7E">
        <w:rPr>
          <w:sz w:val="22"/>
          <w:szCs w:val="24"/>
        </w:rPr>
        <w:t>s</w:t>
      </w:r>
      <w:r w:rsidR="0047409E">
        <w:rPr>
          <w:sz w:val="22"/>
          <w:szCs w:val="24"/>
        </w:rPr>
        <w:t xml:space="preserve"> </w:t>
      </w:r>
      <w:r>
        <w:rPr>
          <w:sz w:val="22"/>
          <w:szCs w:val="24"/>
        </w:rPr>
        <w:t xml:space="preserve">Aotearoa’s limited technical resources. Identical or modified adoption of ISO standards is a common practice </w:t>
      </w:r>
      <w:r w:rsidR="00656158">
        <w:rPr>
          <w:sz w:val="22"/>
          <w:szCs w:val="24"/>
        </w:rPr>
        <w:t xml:space="preserve">around the world. </w:t>
      </w:r>
    </w:p>
    <w:p w14:paraId="79C7886E" w14:textId="77777777" w:rsidR="00D4491E" w:rsidRDefault="00D4491E" w:rsidP="001E602F">
      <w:pPr>
        <w:rPr>
          <w:rFonts w:asciiTheme="majorHAnsi" w:hAnsiTheme="majorHAnsi" w:cstheme="majorHAnsi"/>
          <w:sz w:val="22"/>
          <w:szCs w:val="24"/>
        </w:rPr>
      </w:pPr>
    </w:p>
    <w:p w14:paraId="55B8DB2F" w14:textId="237C7CAC" w:rsidR="00C75FB1" w:rsidRPr="008E0301" w:rsidRDefault="00C75FB1" w:rsidP="001E602F">
      <w:pPr>
        <w:rPr>
          <w:rFonts w:asciiTheme="majorHAnsi" w:hAnsiTheme="majorHAnsi" w:cstheme="majorHAnsi"/>
          <w:b/>
          <w:bCs/>
          <w:sz w:val="22"/>
          <w:szCs w:val="24"/>
        </w:rPr>
      </w:pPr>
      <w:r w:rsidRPr="008E0301">
        <w:rPr>
          <w:rFonts w:asciiTheme="majorHAnsi" w:hAnsiTheme="majorHAnsi" w:cstheme="majorHAnsi"/>
          <w:b/>
          <w:bCs/>
          <w:sz w:val="22"/>
          <w:szCs w:val="24"/>
        </w:rPr>
        <w:t>Pros</w:t>
      </w:r>
    </w:p>
    <w:p w14:paraId="366DE9A9" w14:textId="030799C4" w:rsidR="006211FF" w:rsidRPr="006211FF" w:rsidRDefault="006211FF" w:rsidP="000F03A2">
      <w:pPr>
        <w:pStyle w:val="ListParagraph"/>
        <w:numPr>
          <w:ilvl w:val="0"/>
          <w:numId w:val="62"/>
        </w:numPr>
        <w:rPr>
          <w:rFonts w:asciiTheme="majorHAnsi" w:hAnsiTheme="majorHAnsi" w:cstheme="majorHAnsi"/>
          <w:sz w:val="22"/>
          <w:szCs w:val="24"/>
        </w:rPr>
      </w:pPr>
      <w:r w:rsidRPr="006211FF">
        <w:rPr>
          <w:rFonts w:asciiTheme="majorHAnsi" w:hAnsiTheme="majorHAnsi" w:cstheme="majorHAnsi"/>
          <w:sz w:val="22"/>
          <w:szCs w:val="24"/>
        </w:rPr>
        <w:t>Support consistency with global best practice and New Zealand’s human rights obligations</w:t>
      </w:r>
      <w:r w:rsidR="00D2292C">
        <w:rPr>
          <w:rFonts w:asciiTheme="majorHAnsi" w:hAnsiTheme="majorHAnsi" w:cstheme="majorHAnsi"/>
          <w:sz w:val="22"/>
          <w:szCs w:val="24"/>
        </w:rPr>
        <w:t>.</w:t>
      </w:r>
      <w:r w:rsidRPr="006211FF">
        <w:rPr>
          <w:rFonts w:asciiTheme="majorHAnsi" w:hAnsiTheme="majorHAnsi" w:cstheme="majorHAnsi"/>
          <w:sz w:val="22"/>
          <w:szCs w:val="24"/>
        </w:rPr>
        <w:t xml:space="preserve"> </w:t>
      </w:r>
    </w:p>
    <w:p w14:paraId="06448B8E" w14:textId="77777777" w:rsidR="006211FF" w:rsidRPr="006211FF" w:rsidRDefault="006211FF" w:rsidP="000F03A2">
      <w:pPr>
        <w:pStyle w:val="ListParagraph"/>
        <w:numPr>
          <w:ilvl w:val="0"/>
          <w:numId w:val="62"/>
        </w:numPr>
        <w:rPr>
          <w:rFonts w:asciiTheme="majorHAnsi" w:hAnsiTheme="majorHAnsi" w:cstheme="majorHAnsi"/>
          <w:sz w:val="22"/>
          <w:szCs w:val="24"/>
        </w:rPr>
      </w:pPr>
      <w:r w:rsidRPr="006211FF">
        <w:rPr>
          <w:rFonts w:asciiTheme="majorHAnsi" w:hAnsiTheme="majorHAnsi" w:cstheme="majorHAnsi"/>
          <w:sz w:val="22"/>
          <w:szCs w:val="24"/>
        </w:rPr>
        <w:t>Reduce reliance on an ageing domestic standard and the need for resource</w:t>
      </w:r>
      <w:r w:rsidRPr="006211FF">
        <w:rPr>
          <w:rFonts w:asciiTheme="majorHAnsi" w:hAnsiTheme="majorHAnsi" w:cstheme="majorHAnsi"/>
          <w:sz w:val="22"/>
          <w:szCs w:val="24"/>
        </w:rPr>
        <w:noBreakHyphen/>
        <w:t xml:space="preserve">intensive standalone updates. </w:t>
      </w:r>
    </w:p>
    <w:p w14:paraId="19C2349C" w14:textId="77777777" w:rsidR="006211FF" w:rsidRPr="006211FF" w:rsidRDefault="006211FF" w:rsidP="000F03A2">
      <w:pPr>
        <w:pStyle w:val="ListParagraph"/>
        <w:numPr>
          <w:ilvl w:val="0"/>
          <w:numId w:val="62"/>
        </w:numPr>
        <w:rPr>
          <w:rFonts w:asciiTheme="majorHAnsi" w:hAnsiTheme="majorHAnsi" w:cstheme="majorHAnsi"/>
          <w:sz w:val="22"/>
          <w:szCs w:val="24"/>
        </w:rPr>
      </w:pPr>
      <w:r w:rsidRPr="006211FF">
        <w:rPr>
          <w:rFonts w:asciiTheme="majorHAnsi" w:hAnsiTheme="majorHAnsi" w:cstheme="majorHAnsi"/>
          <w:sz w:val="22"/>
          <w:szCs w:val="24"/>
        </w:rPr>
        <w:t>The standard offers a broader, more holistic approach to accessibility, addressing physical, sensory and cognitive needs, and provides structured flexibility for new and existing buildings.</w:t>
      </w:r>
    </w:p>
    <w:p w14:paraId="638724B3" w14:textId="118E9F47" w:rsidR="006211FF" w:rsidRPr="006211FF" w:rsidRDefault="006211FF" w:rsidP="000F03A2">
      <w:pPr>
        <w:pStyle w:val="ListParagraph"/>
        <w:numPr>
          <w:ilvl w:val="0"/>
          <w:numId w:val="62"/>
        </w:numPr>
        <w:rPr>
          <w:rFonts w:asciiTheme="majorHAnsi" w:hAnsiTheme="majorHAnsi" w:cstheme="majorHAnsi"/>
          <w:sz w:val="22"/>
          <w:szCs w:val="24"/>
        </w:rPr>
      </w:pPr>
      <w:r w:rsidRPr="006211FF">
        <w:rPr>
          <w:rFonts w:asciiTheme="majorHAnsi" w:hAnsiTheme="majorHAnsi" w:cstheme="majorHAnsi"/>
          <w:sz w:val="22"/>
          <w:szCs w:val="24"/>
        </w:rPr>
        <w:t>Adoption would give regulators, designers and industry a clearer, future</w:t>
      </w:r>
      <w:r w:rsidRPr="006211FF">
        <w:rPr>
          <w:rFonts w:asciiTheme="majorHAnsi" w:hAnsiTheme="majorHAnsi" w:cstheme="majorHAnsi"/>
          <w:sz w:val="22"/>
          <w:szCs w:val="24"/>
        </w:rPr>
        <w:noBreakHyphen/>
        <w:t>ready reference point, improve confidence and consistency in decision</w:t>
      </w:r>
      <w:r w:rsidRPr="006211FF">
        <w:rPr>
          <w:rFonts w:asciiTheme="majorHAnsi" w:hAnsiTheme="majorHAnsi" w:cstheme="majorHAnsi"/>
          <w:sz w:val="22"/>
          <w:szCs w:val="24"/>
        </w:rPr>
        <w:noBreakHyphen/>
        <w:t xml:space="preserve">making. </w:t>
      </w:r>
    </w:p>
    <w:p w14:paraId="3900FF7D" w14:textId="1241E4BC" w:rsidR="00D4491E" w:rsidRPr="006211FF" w:rsidRDefault="006211FF" w:rsidP="000F03A2">
      <w:pPr>
        <w:pStyle w:val="ListParagraph"/>
        <w:numPr>
          <w:ilvl w:val="0"/>
          <w:numId w:val="62"/>
        </w:numPr>
        <w:rPr>
          <w:rFonts w:asciiTheme="majorHAnsi" w:hAnsiTheme="majorHAnsi" w:cstheme="majorHAnsi"/>
          <w:sz w:val="22"/>
          <w:szCs w:val="24"/>
        </w:rPr>
      </w:pPr>
      <w:r w:rsidRPr="006211FF">
        <w:rPr>
          <w:rFonts w:asciiTheme="majorHAnsi" w:hAnsiTheme="majorHAnsi" w:cstheme="majorHAnsi"/>
          <w:sz w:val="22"/>
          <w:szCs w:val="24"/>
        </w:rPr>
        <w:t>Benefit New Zealand from ongoing international standards development rather than managing accessibility in relative isolation.</w:t>
      </w:r>
    </w:p>
    <w:p w14:paraId="06FCED83" w14:textId="4BFF7D73" w:rsidR="00C75FB1" w:rsidRPr="008E0301" w:rsidRDefault="00D4491E" w:rsidP="001E602F">
      <w:pPr>
        <w:rPr>
          <w:rFonts w:asciiTheme="majorHAnsi" w:hAnsiTheme="majorHAnsi" w:cstheme="majorHAnsi"/>
          <w:b/>
          <w:bCs/>
          <w:sz w:val="22"/>
          <w:szCs w:val="24"/>
        </w:rPr>
      </w:pPr>
      <w:r w:rsidRPr="008E0301">
        <w:rPr>
          <w:rFonts w:asciiTheme="majorHAnsi" w:hAnsiTheme="majorHAnsi" w:cstheme="majorHAnsi"/>
          <w:b/>
          <w:bCs/>
          <w:sz w:val="22"/>
          <w:szCs w:val="24"/>
        </w:rPr>
        <w:t>Cons</w:t>
      </w:r>
    </w:p>
    <w:p w14:paraId="6C051876" w14:textId="3709F3E3" w:rsidR="006211FF" w:rsidRDefault="00AF2F5C" w:rsidP="000F03A2">
      <w:pPr>
        <w:pStyle w:val="ListParagraph"/>
        <w:numPr>
          <w:ilvl w:val="0"/>
          <w:numId w:val="63"/>
        </w:numPr>
        <w:rPr>
          <w:rFonts w:asciiTheme="majorHAnsi" w:hAnsiTheme="majorHAnsi" w:cstheme="majorHAnsi"/>
          <w:sz w:val="22"/>
          <w:szCs w:val="24"/>
        </w:rPr>
      </w:pPr>
      <w:r w:rsidRPr="008E0301">
        <w:rPr>
          <w:rFonts w:asciiTheme="majorHAnsi" w:hAnsiTheme="majorHAnsi" w:cstheme="majorHAnsi"/>
          <w:sz w:val="22"/>
          <w:szCs w:val="24"/>
        </w:rPr>
        <w:t>ISO 21542:2021 is country-agnostic and</w:t>
      </w:r>
      <w:r w:rsidR="006211FF" w:rsidRPr="008E0301">
        <w:rPr>
          <w:rFonts w:asciiTheme="majorHAnsi" w:hAnsiTheme="majorHAnsi" w:cstheme="majorHAnsi"/>
          <w:sz w:val="22"/>
          <w:szCs w:val="24"/>
        </w:rPr>
        <w:t xml:space="preserve"> does not fit the New Zealand regulatory</w:t>
      </w:r>
      <w:r w:rsidR="006211FF" w:rsidRPr="00174361">
        <w:rPr>
          <w:rFonts w:asciiTheme="majorHAnsi" w:hAnsiTheme="majorHAnsi" w:cstheme="majorHAnsi"/>
          <w:sz w:val="22"/>
          <w:szCs w:val="24"/>
        </w:rPr>
        <w:t xml:space="preserve"> </w:t>
      </w:r>
      <w:r w:rsidR="00174361" w:rsidRPr="00174361">
        <w:rPr>
          <w:rFonts w:asciiTheme="majorHAnsi" w:hAnsiTheme="majorHAnsi" w:cstheme="majorHAnsi"/>
          <w:sz w:val="22"/>
          <w:szCs w:val="24"/>
        </w:rPr>
        <w:t xml:space="preserve">environment – it is </w:t>
      </w:r>
      <w:r>
        <w:rPr>
          <w:rFonts w:asciiTheme="majorHAnsi" w:hAnsiTheme="majorHAnsi" w:cstheme="majorHAnsi"/>
          <w:sz w:val="22"/>
          <w:szCs w:val="24"/>
        </w:rPr>
        <w:t>much less</w:t>
      </w:r>
      <w:r w:rsidR="00174361" w:rsidRPr="00174361">
        <w:rPr>
          <w:rFonts w:asciiTheme="majorHAnsi" w:hAnsiTheme="majorHAnsi" w:cstheme="majorHAnsi"/>
          <w:sz w:val="22"/>
          <w:szCs w:val="24"/>
        </w:rPr>
        <w:t xml:space="preserve"> prescriptive</w:t>
      </w:r>
      <w:r>
        <w:rPr>
          <w:rFonts w:asciiTheme="majorHAnsi" w:hAnsiTheme="majorHAnsi" w:cstheme="majorHAnsi"/>
          <w:sz w:val="22"/>
          <w:szCs w:val="24"/>
        </w:rPr>
        <w:t>, in many cases, providing guidance as opposed to requirement</w:t>
      </w:r>
      <w:r w:rsidR="00790E7E">
        <w:rPr>
          <w:rFonts w:asciiTheme="majorHAnsi" w:hAnsiTheme="majorHAnsi" w:cstheme="majorHAnsi"/>
          <w:sz w:val="22"/>
          <w:szCs w:val="24"/>
        </w:rPr>
        <w:t>s</w:t>
      </w:r>
      <w:r>
        <w:rPr>
          <w:rFonts w:asciiTheme="majorHAnsi" w:hAnsiTheme="majorHAnsi" w:cstheme="majorHAnsi"/>
          <w:sz w:val="22"/>
          <w:szCs w:val="24"/>
        </w:rPr>
        <w:t xml:space="preserve">. </w:t>
      </w:r>
    </w:p>
    <w:p w14:paraId="48E77647" w14:textId="42BE2E69" w:rsidR="00FA3C38" w:rsidRPr="00174361" w:rsidRDefault="00FA3C38" w:rsidP="000F03A2">
      <w:pPr>
        <w:pStyle w:val="ListParagraph"/>
        <w:numPr>
          <w:ilvl w:val="0"/>
          <w:numId w:val="63"/>
        </w:numPr>
        <w:rPr>
          <w:rFonts w:asciiTheme="majorHAnsi" w:hAnsiTheme="majorHAnsi" w:cstheme="majorHAnsi"/>
          <w:sz w:val="22"/>
          <w:szCs w:val="24"/>
        </w:rPr>
      </w:pPr>
      <w:r>
        <w:rPr>
          <w:rFonts w:asciiTheme="majorHAnsi" w:hAnsiTheme="majorHAnsi" w:cstheme="majorHAnsi"/>
          <w:sz w:val="22"/>
          <w:szCs w:val="24"/>
        </w:rPr>
        <w:t xml:space="preserve">The standard would require substantial changes </w:t>
      </w:r>
      <w:proofErr w:type="gramStart"/>
      <w:r>
        <w:rPr>
          <w:rFonts w:asciiTheme="majorHAnsi" w:hAnsiTheme="majorHAnsi" w:cstheme="majorHAnsi"/>
          <w:sz w:val="22"/>
          <w:szCs w:val="24"/>
        </w:rPr>
        <w:t>in order to</w:t>
      </w:r>
      <w:proofErr w:type="gramEnd"/>
      <w:r>
        <w:rPr>
          <w:rFonts w:asciiTheme="majorHAnsi" w:hAnsiTheme="majorHAnsi" w:cstheme="majorHAnsi"/>
          <w:sz w:val="22"/>
          <w:szCs w:val="24"/>
        </w:rPr>
        <w:t xml:space="preserve"> make it useable as an acceptable solution to the New Zealand Building Code</w:t>
      </w:r>
      <w:r w:rsidRPr="00FA3C38">
        <w:rPr>
          <w:rFonts w:asciiTheme="majorHAnsi" w:hAnsiTheme="majorHAnsi" w:cstheme="majorHAnsi"/>
          <w:sz w:val="22"/>
          <w:szCs w:val="24"/>
        </w:rPr>
        <w:t>.</w:t>
      </w:r>
    </w:p>
    <w:tbl>
      <w:tblPr>
        <w:tblStyle w:val="TableGrid"/>
        <w:tblW w:w="0" w:type="auto"/>
        <w:tblBorders>
          <w:top w:val="single" w:sz="12" w:space="0" w:color="007DA6" w:themeColor="accent1"/>
          <w:left w:val="single" w:sz="12" w:space="0" w:color="007DA6" w:themeColor="accent1"/>
          <w:bottom w:val="single" w:sz="12" w:space="0" w:color="007DA6" w:themeColor="accent1"/>
          <w:right w:val="single" w:sz="12" w:space="0" w:color="007DA6" w:themeColor="accent1"/>
          <w:insideH w:val="single" w:sz="12" w:space="0" w:color="007DA6" w:themeColor="accent1"/>
          <w:insideV w:val="single" w:sz="12" w:space="0" w:color="007DA6" w:themeColor="accent1"/>
        </w:tblBorders>
        <w:tblLook w:val="04A0" w:firstRow="1" w:lastRow="0" w:firstColumn="1" w:lastColumn="0" w:noHBand="0" w:noVBand="1"/>
      </w:tblPr>
      <w:tblGrid>
        <w:gridCol w:w="8610"/>
      </w:tblGrid>
      <w:tr w:rsidR="004F6F62" w14:paraId="43F44B55" w14:textId="77777777" w:rsidTr="00340E89">
        <w:tc>
          <w:tcPr>
            <w:tcW w:w="8630" w:type="dxa"/>
            <w:shd w:val="clear" w:color="auto" w:fill="D9F2F6" w:themeFill="accent2" w:themeFillTint="33"/>
          </w:tcPr>
          <w:p w14:paraId="5470AAC8" w14:textId="4DDA88D2" w:rsidR="00D90CB8" w:rsidRPr="00D90CB8" w:rsidRDefault="004F6F62" w:rsidP="00D90CB8">
            <w:pPr>
              <w:rPr>
                <w:rFonts w:asciiTheme="majorHAnsi" w:hAnsiTheme="majorHAnsi" w:cstheme="majorHAnsi"/>
                <w:sz w:val="22"/>
                <w:szCs w:val="24"/>
              </w:rPr>
            </w:pPr>
            <w:r w:rsidRPr="00D9420B">
              <w:rPr>
                <w:rFonts w:asciiTheme="majorHAnsi" w:hAnsiTheme="majorHAnsi" w:cstheme="majorHAnsi"/>
                <w:sz w:val="22"/>
                <w:szCs w:val="24"/>
              </w:rPr>
              <w:t>In Standards New Zealand</w:t>
            </w:r>
            <w:r w:rsidR="00D2292C" w:rsidRPr="00D9420B">
              <w:rPr>
                <w:rFonts w:asciiTheme="majorHAnsi" w:hAnsiTheme="majorHAnsi" w:cstheme="majorHAnsi"/>
                <w:sz w:val="22"/>
                <w:szCs w:val="24"/>
              </w:rPr>
              <w:t>’s</w:t>
            </w:r>
            <w:r w:rsidRPr="00D9420B">
              <w:rPr>
                <w:rFonts w:asciiTheme="majorHAnsi" w:hAnsiTheme="majorHAnsi" w:cstheme="majorHAnsi"/>
                <w:sz w:val="22"/>
                <w:szCs w:val="24"/>
              </w:rPr>
              <w:t xml:space="preserve"> view, this option is not viable </w:t>
            </w:r>
            <w:r w:rsidR="00D90CB8" w:rsidRPr="00D9420B">
              <w:rPr>
                <w:rFonts w:asciiTheme="majorHAnsi" w:hAnsiTheme="majorHAnsi" w:cstheme="majorHAnsi"/>
                <w:sz w:val="22"/>
                <w:szCs w:val="24"/>
              </w:rPr>
              <w:t>as enforcing a design</w:t>
            </w:r>
            <w:r w:rsidR="00D90CB8" w:rsidRPr="00D9420B">
              <w:rPr>
                <w:rFonts w:asciiTheme="majorHAnsi" w:hAnsiTheme="majorHAnsi" w:cstheme="majorHAnsi"/>
                <w:sz w:val="22"/>
                <w:szCs w:val="24"/>
              </w:rPr>
              <w:noBreakHyphen/>
              <w:t>oriented standard that does not focus on compliance with minimum requirements would present significant challenges for the New Zealand building regulatory system.</w:t>
            </w:r>
          </w:p>
          <w:p w14:paraId="1F8ECA51" w14:textId="391B87E1" w:rsidR="004F6F62" w:rsidRPr="004F6F62" w:rsidRDefault="004F6F62" w:rsidP="004F6F62">
            <w:pPr>
              <w:rPr>
                <w:rFonts w:asciiTheme="majorHAnsi" w:hAnsiTheme="majorHAnsi" w:cstheme="majorHAnsi"/>
                <w:sz w:val="22"/>
                <w:szCs w:val="24"/>
              </w:rPr>
            </w:pPr>
            <w:r w:rsidRPr="004F6F62">
              <w:rPr>
                <w:rFonts w:asciiTheme="majorHAnsi" w:hAnsiTheme="majorHAnsi" w:cstheme="majorHAnsi"/>
                <w:sz w:val="22"/>
                <w:szCs w:val="24"/>
              </w:rPr>
              <w:lastRenderedPageBreak/>
              <w:t xml:space="preserve">The identical adoption of ISO 21542:2021 should still be considered for New Zealand as the standard provides internationally aligned framework for accessibility and usability of the </w:t>
            </w:r>
            <w:r w:rsidRPr="00D9420B">
              <w:rPr>
                <w:rFonts w:asciiTheme="majorHAnsi" w:hAnsiTheme="majorHAnsi" w:cstheme="majorHAnsi"/>
                <w:sz w:val="22"/>
                <w:szCs w:val="24"/>
              </w:rPr>
              <w:t>buil</w:t>
            </w:r>
            <w:r w:rsidR="00D9420B">
              <w:rPr>
                <w:rFonts w:asciiTheme="majorHAnsi" w:hAnsiTheme="majorHAnsi" w:cstheme="majorHAnsi"/>
                <w:sz w:val="22"/>
                <w:szCs w:val="24"/>
              </w:rPr>
              <w:t xml:space="preserve">t </w:t>
            </w:r>
            <w:r w:rsidRPr="004F6F62">
              <w:rPr>
                <w:rFonts w:asciiTheme="majorHAnsi" w:hAnsiTheme="majorHAnsi" w:cstheme="majorHAnsi"/>
                <w:sz w:val="22"/>
                <w:szCs w:val="24"/>
              </w:rPr>
              <w:t xml:space="preserve">environment, reflecting the most current research, technology and inclusive design practice. </w:t>
            </w:r>
          </w:p>
        </w:tc>
      </w:tr>
    </w:tbl>
    <w:p w14:paraId="6349251E" w14:textId="60B5AE88" w:rsidR="002807DF" w:rsidRDefault="002807DF" w:rsidP="006218E6">
      <w:pPr>
        <w:spacing w:after="200" w:line="276" w:lineRule="auto"/>
        <w:rPr>
          <w:rFonts w:ascii="Calibri" w:eastAsia="MS Mincho" w:hAnsi="Calibri" w:cs="Calibri"/>
          <w:color w:val="auto"/>
          <w:sz w:val="22"/>
        </w:rPr>
      </w:pPr>
    </w:p>
    <w:p w14:paraId="4F7FEBD9" w14:textId="5BB6D2D9" w:rsidR="00966407" w:rsidRDefault="00966407" w:rsidP="00966407">
      <w:pPr>
        <w:spacing w:after="200" w:line="276" w:lineRule="auto"/>
        <w:rPr>
          <w:rFonts w:ascii="Calibri" w:eastAsia="MS Mincho" w:hAnsi="Calibri" w:cs="Calibri"/>
          <w:color w:val="auto"/>
          <w:sz w:val="22"/>
        </w:rPr>
      </w:pPr>
      <w:r>
        <w:rPr>
          <w:rFonts w:ascii="Calibri" w:eastAsia="MS Mincho" w:hAnsi="Calibri" w:cs="Calibri"/>
          <w:color w:val="auto"/>
          <w:sz w:val="22"/>
        </w:rPr>
        <w:t xml:space="preserve">A high-level comparison of NZS 4121:2001 and ISO 21542:2021 </w:t>
      </w:r>
      <w:r w:rsidRPr="00131935">
        <w:rPr>
          <w:rFonts w:ascii="Calibri" w:eastAsia="MS Mincho" w:hAnsi="Calibri" w:cs="Calibri"/>
          <w:color w:val="auto"/>
          <w:sz w:val="22"/>
        </w:rPr>
        <w:t xml:space="preserve">using </w:t>
      </w:r>
      <w:r>
        <w:rPr>
          <w:rFonts w:ascii="Calibri" w:eastAsia="MS Mincho" w:hAnsi="Calibri" w:cs="Calibri"/>
          <w:color w:val="auto"/>
          <w:sz w:val="22"/>
        </w:rPr>
        <w:t>a</w:t>
      </w:r>
      <w:r w:rsidRPr="00131935">
        <w:rPr>
          <w:rFonts w:ascii="Calibri" w:eastAsia="MS Mincho" w:hAnsi="Calibri" w:cs="Calibri"/>
          <w:color w:val="auto"/>
          <w:sz w:val="22"/>
        </w:rPr>
        <w:t xml:space="preserve"> </w:t>
      </w:r>
      <w:proofErr w:type="gramStart"/>
      <w:r w:rsidRPr="00131935">
        <w:rPr>
          <w:rFonts w:ascii="Calibri" w:eastAsia="MS Mincho" w:hAnsi="Calibri" w:cs="Calibri"/>
          <w:color w:val="auto"/>
          <w:sz w:val="22"/>
        </w:rPr>
        <w:t>broad criteria</w:t>
      </w:r>
      <w:proofErr w:type="gramEnd"/>
      <w:r w:rsidRPr="00131935">
        <w:rPr>
          <w:rFonts w:ascii="Calibri" w:eastAsia="MS Mincho" w:hAnsi="Calibri" w:cs="Calibri"/>
          <w:color w:val="auto"/>
          <w:sz w:val="22"/>
        </w:rPr>
        <w:t xml:space="preserve"> typically applied in accessibility standards reviews</w:t>
      </w:r>
      <w:r>
        <w:rPr>
          <w:rFonts w:ascii="Calibri" w:eastAsia="MS Mincho" w:hAnsi="Calibri" w:cs="Calibri"/>
          <w:color w:val="auto"/>
          <w:sz w:val="22"/>
        </w:rPr>
        <w:t xml:space="preserve"> (produced with assistance from an artificial intelligence application Microsoft Copilot) can be found in Appendix C. </w:t>
      </w:r>
    </w:p>
    <w:p w14:paraId="1312009A" w14:textId="77777777" w:rsidR="001E602F" w:rsidRPr="001E602F" w:rsidRDefault="001E602F" w:rsidP="001E602F"/>
    <w:p w14:paraId="2C805AD2" w14:textId="4A8B5C81" w:rsidR="00844C99" w:rsidRPr="00844C99" w:rsidRDefault="00844C99" w:rsidP="00AC54F7">
      <w:pPr>
        <w:pStyle w:val="Heading1"/>
        <w:spacing w:before="0"/>
        <w:rPr>
          <w:rFonts w:eastAsia="MS Gothic"/>
        </w:rPr>
      </w:pPr>
      <w:bookmarkStart w:id="31" w:name="_Toc227156484"/>
      <w:r w:rsidRPr="00844C99">
        <w:rPr>
          <w:rFonts w:eastAsia="MS Gothic"/>
        </w:rPr>
        <w:t>Standards New Zealand</w:t>
      </w:r>
      <w:r w:rsidR="00196F34">
        <w:rPr>
          <w:rFonts w:eastAsia="MS Gothic"/>
        </w:rPr>
        <w:t>’s</w:t>
      </w:r>
      <w:r w:rsidRPr="00844C99">
        <w:rPr>
          <w:rFonts w:eastAsia="MS Gothic"/>
        </w:rPr>
        <w:t xml:space="preserve"> recommendations</w:t>
      </w:r>
      <w:bookmarkEnd w:id="31"/>
    </w:p>
    <w:p w14:paraId="2D89B2D7" w14:textId="0BC51F71" w:rsidR="002A71A9" w:rsidRDefault="000A75E3" w:rsidP="00340E89">
      <w:pPr>
        <w:spacing w:before="240" w:after="200" w:line="276" w:lineRule="auto"/>
        <w:rPr>
          <w:rFonts w:ascii="Calibri" w:eastAsia="MS Mincho" w:hAnsi="Calibri" w:cs="Calibri"/>
          <w:color w:val="auto"/>
          <w:sz w:val="22"/>
        </w:rPr>
      </w:pPr>
      <w:r w:rsidRPr="000A75E3">
        <w:rPr>
          <w:rFonts w:ascii="Calibri" w:eastAsia="MS Mincho" w:hAnsi="Calibri" w:cs="Calibri"/>
          <w:color w:val="auto"/>
          <w:sz w:val="22"/>
        </w:rPr>
        <w:t>Whichever option is ultimately selected from those outlined above, Standards New Zealand is well positioned to deliver a modern, fit</w:t>
      </w:r>
      <w:r w:rsidRPr="000A75E3">
        <w:rPr>
          <w:rFonts w:ascii="Calibri" w:eastAsia="MS Mincho" w:hAnsi="Calibri" w:cs="Calibri"/>
          <w:color w:val="auto"/>
          <w:sz w:val="22"/>
        </w:rPr>
        <w:noBreakHyphen/>
        <w:t>for</w:t>
      </w:r>
      <w:r w:rsidRPr="000A75E3">
        <w:rPr>
          <w:rFonts w:ascii="Calibri" w:eastAsia="MS Mincho" w:hAnsi="Calibri" w:cs="Calibri"/>
          <w:color w:val="auto"/>
          <w:sz w:val="22"/>
        </w:rPr>
        <w:noBreakHyphen/>
        <w:t xml:space="preserve">purpose accessibility standard that aligns with international good practice. However, implementing and enforcing a revised standard will require action by MBIE BSP, in its role as the New Zealand building regulator. </w:t>
      </w:r>
      <w:proofErr w:type="gramStart"/>
      <w:r w:rsidRPr="000A75E3">
        <w:rPr>
          <w:rFonts w:ascii="Calibri" w:eastAsia="MS Mincho" w:hAnsi="Calibri" w:cs="Calibri"/>
          <w:color w:val="auto"/>
          <w:sz w:val="22"/>
        </w:rPr>
        <w:t>In particular, MBIE BSP</w:t>
      </w:r>
      <w:proofErr w:type="gramEnd"/>
      <w:r w:rsidRPr="000A75E3">
        <w:rPr>
          <w:rFonts w:ascii="Calibri" w:eastAsia="MS Mincho" w:hAnsi="Calibri" w:cs="Calibri"/>
          <w:color w:val="auto"/>
          <w:sz w:val="22"/>
        </w:rPr>
        <w:t xml:space="preserve"> would need to cite the new standard in the building regulatory framework and update the relevant Acceptable Solutions</w:t>
      </w:r>
      <w:r w:rsidR="002E1D18">
        <w:rPr>
          <w:rFonts w:ascii="Calibri" w:eastAsia="MS Mincho" w:hAnsi="Calibri" w:cs="Calibri"/>
          <w:color w:val="auto"/>
          <w:sz w:val="22"/>
        </w:rPr>
        <w:t>,</w:t>
      </w:r>
      <w:r w:rsidRPr="000A75E3">
        <w:rPr>
          <w:rFonts w:ascii="Calibri" w:eastAsia="MS Mincho" w:hAnsi="Calibri" w:cs="Calibri"/>
          <w:color w:val="auto"/>
          <w:sz w:val="22"/>
        </w:rPr>
        <w:t xml:space="preserve"> to ensure full alignment</w:t>
      </w:r>
      <w:r w:rsidR="00AE4055">
        <w:rPr>
          <w:rFonts w:ascii="Calibri" w:eastAsia="MS Mincho" w:hAnsi="Calibri" w:cs="Calibri"/>
          <w:color w:val="auto"/>
          <w:sz w:val="22"/>
        </w:rPr>
        <w:t xml:space="preserve"> with the revised standard</w:t>
      </w:r>
      <w:r w:rsidR="002E1D18">
        <w:rPr>
          <w:rFonts w:ascii="Calibri" w:eastAsia="MS Mincho" w:hAnsi="Calibri" w:cs="Calibri"/>
          <w:color w:val="auto"/>
          <w:sz w:val="22"/>
        </w:rPr>
        <w:t xml:space="preserve">, </w:t>
      </w:r>
      <w:r w:rsidR="002E1D18" w:rsidRPr="003C061D">
        <w:rPr>
          <w:rFonts w:ascii="Calibri" w:eastAsia="MS Mincho" w:hAnsi="Calibri" w:cs="Calibri"/>
          <w:color w:val="auto"/>
          <w:sz w:val="22"/>
        </w:rPr>
        <w:t>and en</w:t>
      </w:r>
      <w:r w:rsidR="00F01D38" w:rsidRPr="003C061D">
        <w:rPr>
          <w:rFonts w:ascii="Calibri" w:eastAsia="MS Mincho" w:hAnsi="Calibri" w:cs="Calibri"/>
          <w:color w:val="auto"/>
          <w:sz w:val="22"/>
        </w:rPr>
        <w:t>sure its</w:t>
      </w:r>
      <w:r w:rsidR="002E1D18" w:rsidRPr="003C061D">
        <w:rPr>
          <w:rFonts w:ascii="Calibri" w:eastAsia="MS Mincho" w:hAnsi="Calibri" w:cs="Calibri"/>
          <w:color w:val="auto"/>
          <w:sz w:val="22"/>
        </w:rPr>
        <w:t xml:space="preserve"> </w:t>
      </w:r>
      <w:r w:rsidR="00F01D38" w:rsidRPr="003C061D">
        <w:rPr>
          <w:rFonts w:ascii="Calibri" w:eastAsia="MS Mincho" w:hAnsi="Calibri" w:cs="Calibri"/>
          <w:color w:val="auto"/>
          <w:sz w:val="22"/>
        </w:rPr>
        <w:t>timely uptake by the sector</w:t>
      </w:r>
      <w:r w:rsidRPr="000A75E3">
        <w:rPr>
          <w:rFonts w:ascii="Calibri" w:eastAsia="MS Mincho" w:hAnsi="Calibri" w:cs="Calibri"/>
          <w:color w:val="auto"/>
          <w:sz w:val="22"/>
        </w:rPr>
        <w:t>. Th</w:t>
      </w:r>
      <w:r w:rsidR="002E1D18">
        <w:rPr>
          <w:rFonts w:ascii="Calibri" w:eastAsia="MS Mincho" w:hAnsi="Calibri" w:cs="Calibri"/>
          <w:color w:val="auto"/>
          <w:sz w:val="22"/>
        </w:rPr>
        <w:t xml:space="preserve">ese </w:t>
      </w:r>
      <w:r w:rsidRPr="000A75E3">
        <w:rPr>
          <w:rFonts w:ascii="Calibri" w:eastAsia="MS Mincho" w:hAnsi="Calibri" w:cs="Calibri"/>
          <w:color w:val="auto"/>
          <w:sz w:val="22"/>
        </w:rPr>
        <w:t>regulatory processes sit outside Standards New Zealand’s mandate and cannot be influenced directly by us.</w:t>
      </w:r>
    </w:p>
    <w:tbl>
      <w:tblPr>
        <w:tblStyle w:val="TableGrid"/>
        <w:tblW w:w="0" w:type="auto"/>
        <w:tblBorders>
          <w:top w:val="single" w:sz="12" w:space="0" w:color="007DA6" w:themeColor="accent1"/>
          <w:left w:val="single" w:sz="12" w:space="0" w:color="007DA6" w:themeColor="accent1"/>
          <w:bottom w:val="single" w:sz="12" w:space="0" w:color="007DA6" w:themeColor="accent1"/>
          <w:right w:val="single" w:sz="12" w:space="0" w:color="007DA6" w:themeColor="accent1"/>
          <w:insideH w:val="single" w:sz="12" w:space="0" w:color="007DA6" w:themeColor="accent1"/>
          <w:insideV w:val="single" w:sz="12" w:space="0" w:color="007DA6" w:themeColor="accent1"/>
        </w:tblBorders>
        <w:tblLook w:val="04A0" w:firstRow="1" w:lastRow="0" w:firstColumn="1" w:lastColumn="0" w:noHBand="0" w:noVBand="1"/>
      </w:tblPr>
      <w:tblGrid>
        <w:gridCol w:w="8610"/>
      </w:tblGrid>
      <w:tr w:rsidR="00340E89" w14:paraId="5E3DC08D" w14:textId="77777777" w:rsidTr="00340E89">
        <w:tc>
          <w:tcPr>
            <w:tcW w:w="8630" w:type="dxa"/>
            <w:shd w:val="clear" w:color="auto" w:fill="D9F2F6" w:themeFill="accent2" w:themeFillTint="33"/>
          </w:tcPr>
          <w:p w14:paraId="41CC80D1" w14:textId="2453F663" w:rsidR="00340E89" w:rsidRDefault="00340E89" w:rsidP="00340E89">
            <w:pPr>
              <w:rPr>
                <w:rFonts w:ascii="Calibri" w:eastAsia="MS Mincho" w:hAnsi="Calibri" w:cs="Calibri"/>
                <w:color w:val="auto"/>
                <w:sz w:val="22"/>
              </w:rPr>
            </w:pPr>
            <w:r>
              <w:rPr>
                <w:rFonts w:ascii="Calibri" w:eastAsia="MS Mincho" w:hAnsi="Calibri" w:cs="Calibri"/>
                <w:color w:val="auto"/>
                <w:sz w:val="22"/>
              </w:rPr>
              <w:t xml:space="preserve">Option 1 is Standards New Zealand’s preferred option as it is more likely to deliver a modern disability access standard, incorporating good practices from international and other overseas standards, </w:t>
            </w:r>
            <w:r w:rsidRPr="003C061D">
              <w:rPr>
                <w:rFonts w:ascii="Calibri" w:eastAsia="MS Mincho" w:hAnsi="Calibri" w:cs="Calibri"/>
                <w:color w:val="auto"/>
                <w:sz w:val="22"/>
              </w:rPr>
              <w:t>as well as catering to New Zealand unique needs where these exist</w:t>
            </w:r>
            <w:r>
              <w:rPr>
                <w:rFonts w:ascii="Calibri" w:eastAsia="MS Mincho" w:hAnsi="Calibri" w:cs="Calibri"/>
                <w:color w:val="auto"/>
                <w:sz w:val="22"/>
              </w:rPr>
              <w:t>.</w:t>
            </w:r>
            <w:r w:rsidR="00296634">
              <w:rPr>
                <w:rFonts w:ascii="Calibri" w:eastAsia="MS Mincho" w:hAnsi="Calibri" w:cs="Calibri"/>
                <w:color w:val="auto"/>
                <w:sz w:val="22"/>
              </w:rPr>
              <w:t xml:space="preserve"> </w:t>
            </w:r>
            <w:r>
              <w:rPr>
                <w:rFonts w:ascii="Calibri" w:eastAsia="MS Mincho" w:hAnsi="Calibri" w:cs="Calibri"/>
                <w:color w:val="auto"/>
                <w:sz w:val="22"/>
              </w:rPr>
              <w:t xml:space="preserve"> Additionally, the resulting standard is more likely to be fully aligned with the New Zealand building regulatory system. </w:t>
            </w:r>
          </w:p>
          <w:p w14:paraId="62E3F513" w14:textId="162E33A5" w:rsidR="00340E89" w:rsidRPr="00340E89" w:rsidRDefault="00340E89" w:rsidP="00340E89">
            <w:pPr>
              <w:rPr>
                <w:color w:val="auto"/>
              </w:rPr>
            </w:pPr>
            <w:r w:rsidRPr="003C061D">
              <w:rPr>
                <w:rFonts w:ascii="Calibri" w:eastAsia="MS Mincho" w:hAnsi="Calibri" w:cs="Calibri"/>
                <w:color w:val="auto"/>
                <w:sz w:val="22"/>
              </w:rPr>
              <w:t xml:space="preserve">While this option will require more resource and time, it is expected to produce a standard that is better suited to New Zealand’s building users, industry, the regulator, and better meets accessibility needs. It is also more likely to be future proofed. The best parts of various standards would look to be utilised, taking the best internationally and incorporating it in New Zealand. </w:t>
            </w:r>
          </w:p>
        </w:tc>
      </w:tr>
    </w:tbl>
    <w:p w14:paraId="788FFAAD" w14:textId="77777777" w:rsidR="00340E89" w:rsidRDefault="00340E89" w:rsidP="000A75E3">
      <w:pPr>
        <w:spacing w:after="200" w:line="276" w:lineRule="auto"/>
        <w:rPr>
          <w:rFonts w:ascii="Calibri" w:eastAsia="MS Mincho" w:hAnsi="Calibri" w:cs="Calibri"/>
          <w:color w:val="auto"/>
          <w:sz w:val="22"/>
        </w:rPr>
      </w:pPr>
    </w:p>
    <w:p w14:paraId="3E69E68D" w14:textId="39D9DDD2" w:rsidR="000A75E3" w:rsidRPr="000A75E3" w:rsidRDefault="000A75E3" w:rsidP="000A75E3">
      <w:pPr>
        <w:spacing w:after="200" w:line="276" w:lineRule="auto"/>
        <w:rPr>
          <w:rFonts w:ascii="Calibri" w:eastAsia="MS Mincho" w:hAnsi="Calibri" w:cs="Calibri"/>
          <w:color w:val="auto"/>
          <w:sz w:val="22"/>
        </w:rPr>
      </w:pPr>
      <w:r w:rsidRPr="000A75E3">
        <w:rPr>
          <w:rFonts w:ascii="Calibri" w:eastAsia="MS Mincho" w:hAnsi="Calibri" w:cs="Calibri"/>
          <w:color w:val="auto"/>
          <w:sz w:val="22"/>
        </w:rPr>
        <w:t>Following receipt of th</w:t>
      </w:r>
      <w:r w:rsidR="0035090E">
        <w:rPr>
          <w:rFonts w:ascii="Calibri" w:eastAsia="MS Mincho" w:hAnsi="Calibri" w:cs="Calibri"/>
          <w:color w:val="auto"/>
          <w:sz w:val="22"/>
        </w:rPr>
        <w:t xml:space="preserve">is </w:t>
      </w:r>
      <w:r w:rsidRPr="000A75E3">
        <w:rPr>
          <w:rFonts w:ascii="Calibri" w:eastAsia="MS Mincho" w:hAnsi="Calibri" w:cs="Calibri"/>
          <w:color w:val="auto"/>
          <w:sz w:val="22"/>
        </w:rPr>
        <w:t>report, we recommend that Whaikaha engage with MBIE BSP to d</w:t>
      </w:r>
      <w:r w:rsidR="00207511">
        <w:rPr>
          <w:rFonts w:ascii="Calibri" w:eastAsia="MS Mincho" w:hAnsi="Calibri" w:cs="Calibri"/>
          <w:color w:val="auto"/>
          <w:sz w:val="22"/>
        </w:rPr>
        <w:t xml:space="preserve">iscuss </w:t>
      </w:r>
      <w:r w:rsidR="000C0EA5">
        <w:rPr>
          <w:rFonts w:ascii="Calibri" w:eastAsia="MS Mincho" w:hAnsi="Calibri" w:cs="Calibri"/>
          <w:color w:val="auto"/>
          <w:sz w:val="22"/>
        </w:rPr>
        <w:t xml:space="preserve">the </w:t>
      </w:r>
      <w:r w:rsidR="00207511">
        <w:rPr>
          <w:rFonts w:ascii="Calibri" w:eastAsia="MS Mincho" w:hAnsi="Calibri" w:cs="Calibri"/>
          <w:color w:val="auto"/>
          <w:sz w:val="22"/>
        </w:rPr>
        <w:t xml:space="preserve">requirements </w:t>
      </w:r>
      <w:r w:rsidR="006904FE">
        <w:rPr>
          <w:rFonts w:ascii="Calibri" w:eastAsia="MS Mincho" w:hAnsi="Calibri" w:cs="Calibri"/>
          <w:color w:val="auto"/>
          <w:sz w:val="22"/>
        </w:rPr>
        <w:t xml:space="preserve">for </w:t>
      </w:r>
      <w:r w:rsidR="000C0EA5">
        <w:rPr>
          <w:rFonts w:ascii="Calibri" w:eastAsia="MS Mincho" w:hAnsi="Calibri" w:cs="Calibri"/>
          <w:color w:val="auto"/>
          <w:sz w:val="22"/>
        </w:rPr>
        <w:t>a</w:t>
      </w:r>
      <w:r w:rsidR="006904FE">
        <w:rPr>
          <w:rFonts w:ascii="Calibri" w:eastAsia="MS Mincho" w:hAnsi="Calibri" w:cs="Calibri"/>
          <w:color w:val="auto"/>
          <w:sz w:val="22"/>
        </w:rPr>
        <w:t xml:space="preserve"> full revision of NZS 4121:2001 </w:t>
      </w:r>
      <w:r w:rsidR="00207511">
        <w:rPr>
          <w:rFonts w:ascii="Calibri" w:eastAsia="MS Mincho" w:hAnsi="Calibri" w:cs="Calibri"/>
          <w:color w:val="auto"/>
          <w:sz w:val="22"/>
        </w:rPr>
        <w:t xml:space="preserve">and </w:t>
      </w:r>
      <w:r w:rsidR="000C0EA5">
        <w:rPr>
          <w:rFonts w:ascii="Calibri" w:eastAsia="MS Mincho" w:hAnsi="Calibri" w:cs="Calibri"/>
          <w:color w:val="auto"/>
          <w:sz w:val="22"/>
        </w:rPr>
        <w:t xml:space="preserve">the indicative </w:t>
      </w:r>
      <w:r w:rsidR="00207511">
        <w:rPr>
          <w:rFonts w:ascii="Calibri" w:eastAsia="MS Mincho" w:hAnsi="Calibri" w:cs="Calibri"/>
          <w:color w:val="auto"/>
          <w:sz w:val="22"/>
        </w:rPr>
        <w:t xml:space="preserve">timeframes for the revised </w:t>
      </w:r>
      <w:r w:rsidR="006904FE">
        <w:rPr>
          <w:rFonts w:ascii="Calibri" w:eastAsia="MS Mincho" w:hAnsi="Calibri" w:cs="Calibri"/>
          <w:color w:val="auto"/>
          <w:sz w:val="22"/>
        </w:rPr>
        <w:t xml:space="preserve">standard </w:t>
      </w:r>
      <w:r w:rsidR="00207511">
        <w:rPr>
          <w:rFonts w:ascii="Calibri" w:eastAsia="MS Mincho" w:hAnsi="Calibri" w:cs="Calibri"/>
          <w:color w:val="auto"/>
          <w:sz w:val="22"/>
        </w:rPr>
        <w:t>to be cited in the building regulations</w:t>
      </w:r>
      <w:r w:rsidRPr="000A75E3">
        <w:rPr>
          <w:rFonts w:ascii="Calibri" w:eastAsia="MS Mincho" w:hAnsi="Calibri" w:cs="Calibri"/>
          <w:color w:val="auto"/>
          <w:sz w:val="22"/>
        </w:rPr>
        <w:t>. Standards New Zealand w</w:t>
      </w:r>
      <w:r w:rsidR="000C0EA5">
        <w:rPr>
          <w:rFonts w:ascii="Calibri" w:eastAsia="MS Mincho" w:hAnsi="Calibri" w:cs="Calibri"/>
          <w:color w:val="auto"/>
          <w:sz w:val="22"/>
        </w:rPr>
        <w:t>ould</w:t>
      </w:r>
      <w:r w:rsidRPr="000A75E3">
        <w:rPr>
          <w:rFonts w:ascii="Calibri" w:eastAsia="MS Mincho" w:hAnsi="Calibri" w:cs="Calibri"/>
          <w:color w:val="auto"/>
          <w:sz w:val="22"/>
        </w:rPr>
        <w:t xml:space="preserve"> be pleased to support </w:t>
      </w:r>
      <w:r w:rsidR="002B7BB4">
        <w:rPr>
          <w:rFonts w:ascii="Calibri" w:eastAsia="MS Mincho" w:hAnsi="Calibri" w:cs="Calibri"/>
          <w:color w:val="auto"/>
          <w:sz w:val="22"/>
        </w:rPr>
        <w:t>th</w:t>
      </w:r>
      <w:r w:rsidR="00396E89">
        <w:rPr>
          <w:rFonts w:ascii="Calibri" w:eastAsia="MS Mincho" w:hAnsi="Calibri" w:cs="Calibri"/>
          <w:color w:val="auto"/>
          <w:sz w:val="22"/>
        </w:rPr>
        <w:t>ese</w:t>
      </w:r>
      <w:r w:rsidRPr="000A75E3">
        <w:rPr>
          <w:rFonts w:ascii="Calibri" w:eastAsia="MS Mincho" w:hAnsi="Calibri" w:cs="Calibri"/>
          <w:color w:val="auto"/>
          <w:sz w:val="22"/>
        </w:rPr>
        <w:t xml:space="preserve"> discussions with MBIE BSP</w:t>
      </w:r>
      <w:r w:rsidR="00396E89">
        <w:rPr>
          <w:rFonts w:ascii="Calibri" w:eastAsia="MS Mincho" w:hAnsi="Calibri" w:cs="Calibri"/>
          <w:color w:val="auto"/>
          <w:sz w:val="22"/>
        </w:rPr>
        <w:t xml:space="preserve">, </w:t>
      </w:r>
      <w:r w:rsidR="00396E89" w:rsidRPr="000A75E3">
        <w:rPr>
          <w:rFonts w:ascii="Calibri" w:eastAsia="MS Mincho" w:hAnsi="Calibri" w:cs="Calibri"/>
          <w:color w:val="auto"/>
          <w:sz w:val="22"/>
        </w:rPr>
        <w:t>including organising and facilitating</w:t>
      </w:r>
      <w:r w:rsidRPr="000A75E3">
        <w:rPr>
          <w:rFonts w:ascii="Calibri" w:eastAsia="MS Mincho" w:hAnsi="Calibri" w:cs="Calibri"/>
          <w:color w:val="auto"/>
          <w:sz w:val="22"/>
        </w:rPr>
        <w:t xml:space="preserve"> </w:t>
      </w:r>
      <w:r w:rsidR="00396E89">
        <w:rPr>
          <w:rFonts w:ascii="Calibri" w:eastAsia="MS Mincho" w:hAnsi="Calibri" w:cs="Calibri"/>
          <w:color w:val="auto"/>
          <w:sz w:val="22"/>
        </w:rPr>
        <w:t xml:space="preserve">them. </w:t>
      </w:r>
    </w:p>
    <w:p w14:paraId="614D012C" w14:textId="77777777" w:rsidR="00844C99" w:rsidRPr="00844C99" w:rsidRDefault="00844C99" w:rsidP="00844C99">
      <w:pPr>
        <w:spacing w:after="200" w:line="276" w:lineRule="auto"/>
        <w:rPr>
          <w:rFonts w:ascii="Calibri" w:eastAsia="MS Mincho" w:hAnsi="Calibri" w:cs="Calibri"/>
          <w:color w:val="auto"/>
          <w:sz w:val="22"/>
        </w:rPr>
      </w:pPr>
    </w:p>
    <w:p w14:paraId="6232E0BB" w14:textId="77777777" w:rsidR="00844C99" w:rsidRPr="00844C99" w:rsidRDefault="00844C99" w:rsidP="00844C99">
      <w:pPr>
        <w:spacing w:after="200" w:line="276" w:lineRule="auto"/>
        <w:rPr>
          <w:rFonts w:ascii="Calibri" w:eastAsia="MS Mincho" w:hAnsi="Calibri" w:cs="Calibri"/>
          <w:color w:val="auto"/>
          <w:sz w:val="22"/>
        </w:rPr>
        <w:sectPr w:rsidR="00844C99" w:rsidRPr="00844C99" w:rsidSect="00844C99">
          <w:headerReference w:type="even" r:id="rId16"/>
          <w:headerReference w:type="default" r:id="rId17"/>
          <w:footerReference w:type="default" r:id="rId18"/>
          <w:headerReference w:type="first" r:id="rId19"/>
          <w:footerReference w:type="first" r:id="rId20"/>
          <w:pgSz w:w="12240" w:h="15840"/>
          <w:pgMar w:top="1440" w:right="1800" w:bottom="1440" w:left="1800" w:header="720" w:footer="720" w:gutter="0"/>
          <w:cols w:space="720"/>
          <w:docGrid w:linePitch="360"/>
        </w:sectPr>
      </w:pPr>
    </w:p>
    <w:p w14:paraId="54E4476A" w14:textId="77777777" w:rsidR="00844C99" w:rsidRPr="00844C99" w:rsidRDefault="00844C99" w:rsidP="007E6A98">
      <w:pPr>
        <w:pStyle w:val="Heading1"/>
        <w:rPr>
          <w:rFonts w:eastAsia="MS Gothic"/>
        </w:rPr>
      </w:pPr>
      <w:bookmarkStart w:id="32" w:name="_Toc227156485"/>
      <w:r w:rsidRPr="00844C99">
        <w:rPr>
          <w:rFonts w:eastAsia="MS Gothic"/>
        </w:rPr>
        <w:lastRenderedPageBreak/>
        <w:t>Appendix A: Issues identified with NZS 4121:2001 during the scoping exercise</w:t>
      </w:r>
      <w:bookmarkEnd w:id="32"/>
    </w:p>
    <w:p w14:paraId="54949369" w14:textId="77777777" w:rsidR="00844C99" w:rsidRPr="00844C99" w:rsidRDefault="00844C99" w:rsidP="00844C99">
      <w:pPr>
        <w:spacing w:after="200" w:line="276" w:lineRule="auto"/>
        <w:rPr>
          <w:rFonts w:ascii="Calibri" w:eastAsia="MS Mincho" w:hAnsi="Calibri" w:cs="Calibri"/>
          <w:color w:val="auto"/>
          <w:sz w:val="22"/>
        </w:rPr>
      </w:pPr>
    </w:p>
    <w:tbl>
      <w:tblPr>
        <w:tblStyle w:val="TableGrid1"/>
        <w:tblW w:w="14034" w:type="dxa"/>
        <w:tblInd w:w="-147" w:type="dxa"/>
        <w:tblLayout w:type="fixed"/>
        <w:tblLook w:val="04A0" w:firstRow="1" w:lastRow="0" w:firstColumn="1" w:lastColumn="0" w:noHBand="0" w:noVBand="1"/>
      </w:tblPr>
      <w:tblGrid>
        <w:gridCol w:w="568"/>
        <w:gridCol w:w="4394"/>
        <w:gridCol w:w="1701"/>
        <w:gridCol w:w="7371"/>
      </w:tblGrid>
      <w:tr w:rsidR="00484849" w:rsidRPr="00844C99" w14:paraId="5E139235" w14:textId="77777777" w:rsidTr="00844C99">
        <w:tc>
          <w:tcPr>
            <w:tcW w:w="568" w:type="dxa"/>
            <w:shd w:val="clear" w:color="auto" w:fill="DDD9C3"/>
          </w:tcPr>
          <w:p w14:paraId="62E7FE2E" w14:textId="77777777" w:rsidR="00844C99" w:rsidRPr="00844C99" w:rsidRDefault="00844C99" w:rsidP="00844C99">
            <w:pPr>
              <w:spacing w:after="0" w:line="240" w:lineRule="auto"/>
              <w:rPr>
                <w:rFonts w:ascii="Calibri" w:hAnsi="Calibri" w:cs="Calibri"/>
                <w:b/>
                <w:bCs/>
                <w:color w:val="auto"/>
                <w:sz w:val="22"/>
              </w:rPr>
            </w:pPr>
            <w:r w:rsidRPr="00844C99">
              <w:rPr>
                <w:rFonts w:ascii="Calibri" w:hAnsi="Calibri" w:cs="Calibri"/>
                <w:b/>
                <w:bCs/>
                <w:color w:val="auto"/>
                <w:sz w:val="22"/>
              </w:rPr>
              <w:t>#</w:t>
            </w:r>
          </w:p>
        </w:tc>
        <w:tc>
          <w:tcPr>
            <w:tcW w:w="4394" w:type="dxa"/>
            <w:shd w:val="clear" w:color="auto" w:fill="DDD9C3"/>
          </w:tcPr>
          <w:p w14:paraId="790F1F25" w14:textId="77777777" w:rsidR="00844C99" w:rsidRPr="00844C99" w:rsidRDefault="00844C99" w:rsidP="00844C99">
            <w:pPr>
              <w:spacing w:after="0" w:line="240" w:lineRule="auto"/>
              <w:rPr>
                <w:rFonts w:ascii="Calibri" w:hAnsi="Calibri" w:cs="Calibri"/>
                <w:b/>
                <w:bCs/>
                <w:color w:val="auto"/>
                <w:sz w:val="22"/>
              </w:rPr>
            </w:pPr>
            <w:r w:rsidRPr="00844C99">
              <w:rPr>
                <w:rFonts w:ascii="Calibri" w:hAnsi="Calibri" w:cs="Calibri"/>
                <w:b/>
                <w:bCs/>
                <w:color w:val="auto"/>
                <w:sz w:val="22"/>
              </w:rPr>
              <w:t>Identified Issue</w:t>
            </w:r>
          </w:p>
        </w:tc>
        <w:tc>
          <w:tcPr>
            <w:tcW w:w="1701" w:type="dxa"/>
            <w:shd w:val="clear" w:color="auto" w:fill="DDD9C3"/>
          </w:tcPr>
          <w:p w14:paraId="542AD8FC" w14:textId="77777777" w:rsidR="00844C99" w:rsidRPr="00844C99" w:rsidRDefault="00844C99" w:rsidP="00844C99">
            <w:pPr>
              <w:spacing w:after="0" w:line="240" w:lineRule="auto"/>
              <w:rPr>
                <w:rFonts w:ascii="Calibri" w:hAnsi="Calibri" w:cs="Calibri"/>
                <w:b/>
                <w:bCs/>
                <w:color w:val="auto"/>
                <w:sz w:val="22"/>
              </w:rPr>
            </w:pPr>
            <w:r w:rsidRPr="00844C99">
              <w:rPr>
                <w:rFonts w:ascii="Calibri" w:hAnsi="Calibri" w:cs="Calibri"/>
                <w:b/>
                <w:bCs/>
                <w:color w:val="auto"/>
                <w:sz w:val="22"/>
              </w:rPr>
              <w:t>Type of Issue</w:t>
            </w:r>
          </w:p>
        </w:tc>
        <w:tc>
          <w:tcPr>
            <w:tcW w:w="7371" w:type="dxa"/>
            <w:shd w:val="clear" w:color="auto" w:fill="DDD9C3"/>
          </w:tcPr>
          <w:p w14:paraId="0AD30FD8" w14:textId="77777777" w:rsidR="00844C99" w:rsidRPr="00844C99" w:rsidRDefault="00844C99" w:rsidP="00844C99">
            <w:pPr>
              <w:spacing w:after="0" w:line="240" w:lineRule="auto"/>
              <w:rPr>
                <w:rFonts w:ascii="Calibri" w:hAnsi="Calibri" w:cs="Calibri"/>
                <w:b/>
                <w:bCs/>
                <w:color w:val="auto"/>
                <w:sz w:val="22"/>
              </w:rPr>
            </w:pPr>
            <w:r w:rsidRPr="00844C99">
              <w:rPr>
                <w:rFonts w:ascii="Calibri" w:hAnsi="Calibri" w:cs="Calibri"/>
                <w:b/>
                <w:bCs/>
                <w:color w:val="auto"/>
                <w:sz w:val="22"/>
              </w:rPr>
              <w:t>Potential Solution</w:t>
            </w:r>
          </w:p>
        </w:tc>
      </w:tr>
      <w:tr w:rsidR="00844C99" w:rsidRPr="00844C99" w14:paraId="6EDA72D5" w14:textId="77777777" w:rsidTr="00A44D43">
        <w:tc>
          <w:tcPr>
            <w:tcW w:w="568" w:type="dxa"/>
          </w:tcPr>
          <w:p w14:paraId="2FDCD2B2"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1</w:t>
            </w:r>
          </w:p>
        </w:tc>
        <w:tc>
          <w:tcPr>
            <w:tcW w:w="4394" w:type="dxa"/>
          </w:tcPr>
          <w:p w14:paraId="458BCF87" w14:textId="1AC48046"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 xml:space="preserve">Outdated definition of disability – doesn’t include </w:t>
            </w:r>
            <w:r w:rsidR="001220D3">
              <w:rPr>
                <w:rFonts w:ascii="Calibri" w:hAnsi="Calibri" w:cs="Calibri"/>
                <w:color w:val="auto"/>
                <w:sz w:val="22"/>
              </w:rPr>
              <w:t>cognitive</w:t>
            </w:r>
            <w:r w:rsidR="001220D3" w:rsidRPr="00844C99">
              <w:rPr>
                <w:rFonts w:ascii="Calibri" w:hAnsi="Calibri" w:cs="Calibri"/>
                <w:color w:val="auto"/>
                <w:sz w:val="22"/>
              </w:rPr>
              <w:t xml:space="preserve"> </w:t>
            </w:r>
            <w:r w:rsidRPr="00844C99">
              <w:rPr>
                <w:rFonts w:ascii="Calibri" w:hAnsi="Calibri" w:cs="Calibri"/>
                <w:color w:val="auto"/>
                <w:sz w:val="22"/>
              </w:rPr>
              <w:t>or age-related disabilities, children or parents, and some physical disabilities</w:t>
            </w:r>
          </w:p>
        </w:tc>
        <w:tc>
          <w:tcPr>
            <w:tcW w:w="1701" w:type="dxa"/>
          </w:tcPr>
          <w:p w14:paraId="1FA55838"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25361E95"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Look at international definitions that could be adopted</w:t>
            </w:r>
          </w:p>
          <w:p w14:paraId="2840037C"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Lots of research, guidelines and codes that could act as a starting point </w:t>
            </w:r>
            <w:r w:rsidRPr="00844C99">
              <w:rPr>
                <w:rFonts w:ascii="Calibri" w:hAnsi="Calibri" w:cs="Calibri"/>
                <w:b/>
                <w:bCs/>
                <w:color w:val="auto"/>
                <w:sz w:val="22"/>
              </w:rPr>
              <w:t>FENZ Regulation 27 and UN have good definitions</w:t>
            </w:r>
          </w:p>
          <w:p w14:paraId="3AD27F38"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Leave room for others that aren’t included in the original definition (“not all disabilities look like this” “including…”) and make it clear that it is not an exhaustive list</w:t>
            </w:r>
          </w:p>
          <w:p w14:paraId="386752A6" w14:textId="2864AFEA"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Need to be inclusive of Māori </w:t>
            </w:r>
            <w:proofErr w:type="spellStart"/>
            <w:r w:rsidRPr="00844C99">
              <w:rPr>
                <w:rFonts w:ascii="Calibri" w:hAnsi="Calibri" w:cs="Calibri"/>
                <w:color w:val="auto"/>
                <w:sz w:val="22"/>
              </w:rPr>
              <w:t>conceptualisations</w:t>
            </w:r>
            <w:proofErr w:type="spellEnd"/>
            <w:r w:rsidRPr="00844C99">
              <w:rPr>
                <w:rFonts w:ascii="Calibri" w:hAnsi="Calibri" w:cs="Calibri"/>
                <w:color w:val="auto"/>
                <w:sz w:val="22"/>
              </w:rPr>
              <w:t xml:space="preserve"> of disability (Whānau </w:t>
            </w:r>
            <w:proofErr w:type="spellStart"/>
            <w:r w:rsidRPr="00844C99">
              <w:rPr>
                <w:rFonts w:ascii="Calibri" w:hAnsi="Calibri" w:cs="Calibri"/>
                <w:color w:val="auto"/>
                <w:sz w:val="22"/>
              </w:rPr>
              <w:t>Hauā</w:t>
            </w:r>
            <w:proofErr w:type="spellEnd"/>
            <w:r w:rsidR="00B9329A">
              <w:rPr>
                <w:rFonts w:ascii="Calibri" w:hAnsi="Calibri" w:cs="Calibri"/>
                <w:color w:val="auto"/>
                <w:sz w:val="22"/>
              </w:rPr>
              <w:t>, t</w:t>
            </w:r>
            <w:proofErr w:type="spellStart"/>
            <w:r w:rsidR="00B9329A">
              <w:rPr>
                <w:rFonts w:ascii="Calibri" w:hAnsi="Calibri" w:cs="Calibri"/>
                <w:color w:val="auto"/>
                <w:sz w:val="22"/>
                <w:lang w:val="mi-NZ"/>
              </w:rPr>
              <w:t>āngata</w:t>
            </w:r>
            <w:proofErr w:type="spellEnd"/>
            <w:r w:rsidR="00B9329A">
              <w:rPr>
                <w:rFonts w:ascii="Calibri" w:hAnsi="Calibri" w:cs="Calibri"/>
                <w:color w:val="auto"/>
                <w:sz w:val="22"/>
                <w:lang w:val="mi-NZ"/>
              </w:rPr>
              <w:t xml:space="preserve"> whaikaha Māori</w:t>
            </w:r>
            <w:r w:rsidRPr="00844C99">
              <w:rPr>
                <w:rFonts w:ascii="Calibri" w:hAnsi="Calibri" w:cs="Calibri"/>
                <w:color w:val="auto"/>
                <w:sz w:val="22"/>
              </w:rPr>
              <w:t>), international definitions will not have this</w:t>
            </w:r>
          </w:p>
        </w:tc>
      </w:tr>
      <w:tr w:rsidR="00844C99" w:rsidRPr="00844C99" w14:paraId="2BD6A58C" w14:textId="77777777" w:rsidTr="00A44D43">
        <w:tc>
          <w:tcPr>
            <w:tcW w:w="568" w:type="dxa"/>
          </w:tcPr>
          <w:p w14:paraId="4D744EFD"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2</w:t>
            </w:r>
          </w:p>
        </w:tc>
        <w:tc>
          <w:tcPr>
            <w:tcW w:w="4394" w:type="dxa"/>
          </w:tcPr>
          <w:p w14:paraId="02071243"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Need better indicators of prevalence – current stats underestimate reality</w:t>
            </w:r>
          </w:p>
        </w:tc>
        <w:tc>
          <w:tcPr>
            <w:tcW w:w="1701" w:type="dxa"/>
          </w:tcPr>
          <w:p w14:paraId="6454395A"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0E292790" w14:textId="5EB2E74F"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It can be hard to find accurate research for statistics </w:t>
            </w:r>
            <w:proofErr w:type="gramStart"/>
            <w:r w:rsidRPr="00844C99">
              <w:rPr>
                <w:rFonts w:ascii="Calibri" w:hAnsi="Calibri" w:cs="Calibri"/>
                <w:color w:val="auto"/>
                <w:sz w:val="22"/>
              </w:rPr>
              <w:t>of</w:t>
            </w:r>
            <w:proofErr w:type="gramEnd"/>
            <w:r w:rsidRPr="00844C99">
              <w:rPr>
                <w:rFonts w:ascii="Calibri" w:hAnsi="Calibri" w:cs="Calibri"/>
                <w:color w:val="auto"/>
                <w:sz w:val="22"/>
              </w:rPr>
              <w:t xml:space="preserve"> people that are living with some kind of disability, the common issues they face and how this standard especially will affect them</w:t>
            </w:r>
          </w:p>
          <w:p w14:paraId="5BDF7F13"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Census data excludes a lot of people so a much lower number is used which isn’t really accurate (WG-SS doesn’t address things like neurodivergent people) – use with caution (is good for general prevalence and is the best data we currently have, there are other data </w:t>
            </w:r>
            <w:proofErr w:type="gramStart"/>
            <w:r w:rsidRPr="00844C99">
              <w:rPr>
                <w:rFonts w:ascii="Calibri" w:hAnsi="Calibri" w:cs="Calibri"/>
                <w:color w:val="auto"/>
                <w:sz w:val="22"/>
              </w:rPr>
              <w:t>sets</w:t>
            </w:r>
            <w:proofErr w:type="gramEnd"/>
            <w:r w:rsidRPr="00844C99">
              <w:rPr>
                <w:rFonts w:ascii="Calibri" w:hAnsi="Calibri" w:cs="Calibri"/>
                <w:color w:val="auto"/>
                <w:sz w:val="22"/>
              </w:rPr>
              <w:t xml:space="preserve"> but accuracy is also unknown)</w:t>
            </w:r>
          </w:p>
          <w:p w14:paraId="281AEBD9"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This also means numbers used for how many accessible facilities are needed </w:t>
            </w:r>
            <w:proofErr w:type="gramStart"/>
            <w:r w:rsidRPr="00844C99">
              <w:rPr>
                <w:rFonts w:ascii="Calibri" w:hAnsi="Calibri" w:cs="Calibri"/>
                <w:color w:val="auto"/>
                <w:sz w:val="22"/>
              </w:rPr>
              <w:t>aren’t matching</w:t>
            </w:r>
            <w:proofErr w:type="gramEnd"/>
            <w:r w:rsidRPr="00844C99">
              <w:rPr>
                <w:rFonts w:ascii="Calibri" w:hAnsi="Calibri" w:cs="Calibri"/>
                <w:color w:val="auto"/>
                <w:sz w:val="22"/>
              </w:rPr>
              <w:t xml:space="preserve"> the actual felt need</w:t>
            </w:r>
          </w:p>
        </w:tc>
      </w:tr>
      <w:tr w:rsidR="00844C99" w:rsidRPr="00844C99" w14:paraId="66B8C5B2" w14:textId="77777777" w:rsidTr="00A44D43">
        <w:tc>
          <w:tcPr>
            <w:tcW w:w="568" w:type="dxa"/>
          </w:tcPr>
          <w:p w14:paraId="6499AACC"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3</w:t>
            </w:r>
          </w:p>
        </w:tc>
        <w:tc>
          <w:tcPr>
            <w:tcW w:w="4394" w:type="dxa"/>
          </w:tcPr>
          <w:p w14:paraId="763A4420" w14:textId="1A3FB10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Improvements to NZS 4121 meaningless unless embedded in Building Act</w:t>
            </w:r>
            <w:r w:rsidR="004F6F3C">
              <w:rPr>
                <w:rFonts w:ascii="Calibri" w:hAnsi="Calibri" w:cs="Calibri"/>
                <w:color w:val="auto"/>
                <w:sz w:val="22"/>
              </w:rPr>
              <w:t>:</w:t>
            </w:r>
          </w:p>
          <w:p w14:paraId="34546EAB" w14:textId="77777777" w:rsidR="00844C99" w:rsidRPr="00844C99" w:rsidRDefault="00844C99" w:rsidP="00844C99">
            <w:pPr>
              <w:spacing w:after="0" w:line="240" w:lineRule="auto"/>
              <w:rPr>
                <w:rFonts w:ascii="Calibri" w:hAnsi="Calibri" w:cs="Calibri"/>
                <w:color w:val="auto"/>
                <w:sz w:val="22"/>
              </w:rPr>
            </w:pPr>
          </w:p>
          <w:p w14:paraId="26267774"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lastRenderedPageBreak/>
              <w:t>Although it is mentioned in acceptable solutions, these aren’t mandatory to comply with</w:t>
            </w:r>
          </w:p>
          <w:p w14:paraId="2CC1751C"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The downside of </w:t>
            </w:r>
            <w:proofErr w:type="gramStart"/>
            <w:r w:rsidRPr="00844C99">
              <w:rPr>
                <w:rFonts w:ascii="Calibri" w:hAnsi="Calibri" w:cs="Calibri"/>
                <w:color w:val="auto"/>
                <w:sz w:val="22"/>
              </w:rPr>
              <w:t>a direct</w:t>
            </w:r>
            <w:proofErr w:type="gramEnd"/>
            <w:r w:rsidRPr="00844C99">
              <w:rPr>
                <w:rFonts w:ascii="Calibri" w:hAnsi="Calibri" w:cs="Calibri"/>
                <w:color w:val="auto"/>
                <w:sz w:val="22"/>
              </w:rPr>
              <w:t xml:space="preserve"> reference is that it can be difficult to adapt and evolve for changing communities</w:t>
            </w:r>
          </w:p>
          <w:p w14:paraId="14B67017" w14:textId="77777777" w:rsidR="00844C99" w:rsidRPr="00844C99" w:rsidRDefault="00844C99" w:rsidP="00844C99">
            <w:pPr>
              <w:spacing w:after="0" w:line="240" w:lineRule="auto"/>
              <w:rPr>
                <w:rFonts w:ascii="Calibri" w:hAnsi="Calibri" w:cs="Calibri"/>
                <w:color w:val="auto"/>
                <w:sz w:val="22"/>
              </w:rPr>
            </w:pPr>
          </w:p>
        </w:tc>
        <w:tc>
          <w:tcPr>
            <w:tcW w:w="1701" w:type="dxa"/>
          </w:tcPr>
          <w:p w14:paraId="35F6EFA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lastRenderedPageBreak/>
              <w:t xml:space="preserve">Regulatory </w:t>
            </w:r>
          </w:p>
        </w:tc>
        <w:tc>
          <w:tcPr>
            <w:tcW w:w="7371" w:type="dxa"/>
          </w:tcPr>
          <w:p w14:paraId="5D55D16F"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Have clear, consistent guidelines, in a central database</w:t>
            </w:r>
          </w:p>
          <w:p w14:paraId="40506664"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Needs to have a high “minimum standard” as that is what a lot of people will comply with</w:t>
            </w:r>
          </w:p>
          <w:p w14:paraId="6774E6B6"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Reference to other standards for “above and beyond” guidelines</w:t>
            </w:r>
          </w:p>
          <w:p w14:paraId="0AC3D2E6"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lastRenderedPageBreak/>
              <w:t xml:space="preserve">Incorporate universal design, which helps the connection between accessibility for everyone (acknowledging that although this is a good mindset, there is priority to address what is currently inaccessible) </w:t>
            </w:r>
          </w:p>
          <w:p w14:paraId="157E81EC"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Encourage performance-based measures</w:t>
            </w:r>
          </w:p>
          <w:p w14:paraId="314AEF56"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When new acceptable solutions are produced (and approved by MBIE), there needs to be dialogue with the disabled community to ensure it </w:t>
            </w:r>
            <w:proofErr w:type="gramStart"/>
            <w:r w:rsidRPr="00844C99">
              <w:rPr>
                <w:rFonts w:ascii="Calibri" w:hAnsi="Calibri" w:cs="Calibri"/>
                <w:color w:val="auto"/>
                <w:sz w:val="22"/>
              </w:rPr>
              <w:t>actually meets</w:t>
            </w:r>
            <w:proofErr w:type="gramEnd"/>
            <w:r w:rsidRPr="00844C99">
              <w:rPr>
                <w:rFonts w:ascii="Calibri" w:hAnsi="Calibri" w:cs="Calibri"/>
                <w:color w:val="auto"/>
                <w:sz w:val="22"/>
              </w:rPr>
              <w:t xml:space="preserve"> accessibility needs</w:t>
            </w:r>
          </w:p>
          <w:p w14:paraId="22CC7D5A"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The easiest method of compliance is often used (AS1 vs NZS4121) so making a revision that is </w:t>
            </w:r>
            <w:proofErr w:type="gramStart"/>
            <w:r w:rsidRPr="00844C99">
              <w:rPr>
                <w:rFonts w:ascii="Calibri" w:hAnsi="Calibri" w:cs="Calibri"/>
                <w:color w:val="auto"/>
                <w:sz w:val="22"/>
              </w:rPr>
              <w:t>actually achievable</w:t>
            </w:r>
            <w:proofErr w:type="gramEnd"/>
            <w:r w:rsidRPr="00844C99">
              <w:rPr>
                <w:rFonts w:ascii="Calibri" w:hAnsi="Calibri" w:cs="Calibri"/>
                <w:color w:val="auto"/>
                <w:sz w:val="22"/>
              </w:rPr>
              <w:t xml:space="preserve"> and easy to implement is important to ensure that it is used by the industry</w:t>
            </w:r>
          </w:p>
          <w:p w14:paraId="19F1A7A3"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Simplifying standards for the BCA when assessing compliance</w:t>
            </w:r>
          </w:p>
        </w:tc>
      </w:tr>
      <w:tr w:rsidR="00844C99" w:rsidRPr="00844C99" w14:paraId="6F5F9B5A" w14:textId="77777777" w:rsidTr="00A44D43">
        <w:tc>
          <w:tcPr>
            <w:tcW w:w="568" w:type="dxa"/>
          </w:tcPr>
          <w:p w14:paraId="59852151"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lastRenderedPageBreak/>
              <w:t>4</w:t>
            </w:r>
          </w:p>
        </w:tc>
        <w:tc>
          <w:tcPr>
            <w:tcW w:w="4394" w:type="dxa"/>
          </w:tcPr>
          <w:p w14:paraId="635C1097"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Push for holistic approach and integration across all legislation.</w:t>
            </w:r>
          </w:p>
        </w:tc>
        <w:tc>
          <w:tcPr>
            <w:tcW w:w="1701" w:type="dxa"/>
          </w:tcPr>
          <w:p w14:paraId="5DF56DD6"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w:t>
            </w:r>
          </w:p>
        </w:tc>
        <w:tc>
          <w:tcPr>
            <w:tcW w:w="7371" w:type="dxa"/>
          </w:tcPr>
          <w:p w14:paraId="2B8383AF"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Used in some international implementation</w:t>
            </w:r>
          </w:p>
        </w:tc>
      </w:tr>
      <w:tr w:rsidR="00844C99" w:rsidRPr="00844C99" w14:paraId="1FFCB3E2" w14:textId="77777777" w:rsidTr="00A44D43">
        <w:tc>
          <w:tcPr>
            <w:tcW w:w="568" w:type="dxa"/>
          </w:tcPr>
          <w:p w14:paraId="41D7B02D"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5</w:t>
            </w:r>
          </w:p>
        </w:tc>
        <w:tc>
          <w:tcPr>
            <w:tcW w:w="4394" w:type="dxa"/>
          </w:tcPr>
          <w:p w14:paraId="0A8E7828"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Require clear indication of compliance level for buildings.</w:t>
            </w:r>
          </w:p>
          <w:p w14:paraId="16A446CA" w14:textId="7F79ACDB" w:rsidR="00844C99" w:rsidRPr="00844C99" w:rsidRDefault="00B9329A" w:rsidP="00EB678A">
            <w:pPr>
              <w:numPr>
                <w:ilvl w:val="0"/>
                <w:numId w:val="11"/>
              </w:numPr>
              <w:spacing w:after="0" w:line="240" w:lineRule="auto"/>
              <w:contextualSpacing/>
              <w:rPr>
                <w:rFonts w:ascii="Calibri" w:hAnsi="Calibri" w:cs="Calibri"/>
                <w:color w:val="auto"/>
                <w:sz w:val="22"/>
                <w:lang w:eastAsia="en-NZ"/>
              </w:rPr>
            </w:pPr>
            <w:r>
              <w:rPr>
                <w:rFonts w:ascii="Calibri" w:hAnsi="Calibri" w:cs="Calibri"/>
                <w:color w:val="auto"/>
                <w:sz w:val="22"/>
                <w:lang w:eastAsia="en-NZ"/>
              </w:rPr>
              <w:t>I</w:t>
            </w:r>
            <w:r w:rsidR="00844C99" w:rsidRPr="00844C99">
              <w:rPr>
                <w:rFonts w:ascii="Calibri" w:hAnsi="Calibri" w:cs="Calibri"/>
                <w:color w:val="auto"/>
                <w:sz w:val="22"/>
                <w:lang w:eastAsia="en-NZ"/>
              </w:rPr>
              <w:t>t can be hard to know what to expect going to new spaces with so many acceptable solutions</w:t>
            </w:r>
          </w:p>
        </w:tc>
        <w:tc>
          <w:tcPr>
            <w:tcW w:w="1701" w:type="dxa"/>
          </w:tcPr>
          <w:p w14:paraId="373C65F6"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23205926"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Mandatory accessibility consultant sign-off for new builds</w:t>
            </w:r>
          </w:p>
          <w:p w14:paraId="2B08C4EC"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A requirement to display (signage, website) to indicate what level of accessibility a building </w:t>
            </w:r>
            <w:proofErr w:type="gramStart"/>
            <w:r w:rsidRPr="00844C99">
              <w:rPr>
                <w:rFonts w:ascii="Calibri" w:hAnsi="Calibri" w:cs="Calibri"/>
                <w:color w:val="auto"/>
                <w:sz w:val="22"/>
              </w:rPr>
              <w:t>meets</w:t>
            </w:r>
            <w:proofErr w:type="gramEnd"/>
          </w:p>
          <w:p w14:paraId="0A775B78"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A building WOF to ensure that buildings meet changing accessibility needs or comply </w:t>
            </w:r>
            <w:proofErr w:type="gramStart"/>
            <w:r w:rsidRPr="00844C99">
              <w:rPr>
                <w:rFonts w:ascii="Calibri" w:hAnsi="Calibri" w:cs="Calibri"/>
                <w:color w:val="auto"/>
                <w:sz w:val="22"/>
              </w:rPr>
              <w:t>to</w:t>
            </w:r>
            <w:proofErr w:type="gramEnd"/>
            <w:r w:rsidRPr="00844C99">
              <w:rPr>
                <w:rFonts w:ascii="Calibri" w:hAnsi="Calibri" w:cs="Calibri"/>
                <w:color w:val="auto"/>
                <w:sz w:val="22"/>
              </w:rPr>
              <w:t xml:space="preserve"> the new standard (this also has issues associated with it in terms of implications and feasibility)</w:t>
            </w:r>
          </w:p>
        </w:tc>
      </w:tr>
      <w:tr w:rsidR="00844C99" w:rsidRPr="00844C99" w14:paraId="61D59864" w14:textId="77777777" w:rsidTr="00A44D43">
        <w:tc>
          <w:tcPr>
            <w:tcW w:w="568" w:type="dxa"/>
          </w:tcPr>
          <w:p w14:paraId="3C8D9BCD"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6</w:t>
            </w:r>
          </w:p>
        </w:tc>
        <w:tc>
          <w:tcPr>
            <w:tcW w:w="4394" w:type="dxa"/>
          </w:tcPr>
          <w:p w14:paraId="1F9ED1E1"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rPr>
              <w:t>Ensure that the disabled community is actively involved in the revision of NZS 4121.</w:t>
            </w:r>
          </w:p>
        </w:tc>
        <w:tc>
          <w:tcPr>
            <w:tcW w:w="1701" w:type="dxa"/>
          </w:tcPr>
          <w:p w14:paraId="2AE66661"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Process</w:t>
            </w:r>
          </w:p>
        </w:tc>
        <w:tc>
          <w:tcPr>
            <w:tcW w:w="7371" w:type="dxa"/>
          </w:tcPr>
          <w:p w14:paraId="63F24F35" w14:textId="4C902CBA"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Establish process to align the industry and disabled community’s voice</w:t>
            </w:r>
          </w:p>
        </w:tc>
      </w:tr>
      <w:tr w:rsidR="00844C99" w:rsidRPr="00844C99" w14:paraId="49212463" w14:textId="77777777" w:rsidTr="00A44D43">
        <w:tc>
          <w:tcPr>
            <w:tcW w:w="568" w:type="dxa"/>
          </w:tcPr>
          <w:p w14:paraId="5A4422F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7</w:t>
            </w:r>
          </w:p>
        </w:tc>
        <w:tc>
          <w:tcPr>
            <w:tcW w:w="4394" w:type="dxa"/>
          </w:tcPr>
          <w:p w14:paraId="02FF7558" w14:textId="77777777" w:rsidR="00844C99" w:rsidRPr="00B40844" w:rsidRDefault="00844C99" w:rsidP="00844C99">
            <w:pPr>
              <w:spacing w:after="0" w:line="240" w:lineRule="auto"/>
              <w:rPr>
                <w:rFonts w:ascii="Calibri" w:hAnsi="Calibri" w:cs="Calibri"/>
                <w:color w:val="auto"/>
                <w:sz w:val="24"/>
                <w:lang w:eastAsia="en-NZ"/>
              </w:rPr>
            </w:pPr>
            <w:r w:rsidRPr="00B40844">
              <w:rPr>
                <w:rFonts w:ascii="Calibri" w:hAnsi="Calibri" w:cs="Calibri"/>
                <w:color w:val="auto"/>
                <w:sz w:val="22"/>
              </w:rPr>
              <w:t>Lack of accessibility education in architecture and design programs</w:t>
            </w:r>
          </w:p>
        </w:tc>
        <w:tc>
          <w:tcPr>
            <w:tcW w:w="1701" w:type="dxa"/>
          </w:tcPr>
          <w:p w14:paraId="1D45693E"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29640F58" w14:textId="5210B974" w:rsid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Education programs attached to standards (including explaining the rationale for specific requirements)</w:t>
            </w:r>
          </w:p>
          <w:p w14:paraId="0AE332D1" w14:textId="4412D769" w:rsidR="00881CF7" w:rsidRPr="00844C99" w:rsidRDefault="00881CF7" w:rsidP="00EB678A">
            <w:pPr>
              <w:numPr>
                <w:ilvl w:val="0"/>
                <w:numId w:val="11"/>
              </w:numPr>
              <w:spacing w:after="0" w:line="240" w:lineRule="auto"/>
              <w:contextualSpacing/>
              <w:rPr>
                <w:rFonts w:ascii="Calibri" w:hAnsi="Calibri" w:cs="Calibri"/>
                <w:color w:val="auto"/>
                <w:sz w:val="22"/>
              </w:rPr>
            </w:pPr>
            <w:r>
              <w:rPr>
                <w:rFonts w:ascii="Calibri" w:hAnsi="Calibri" w:cs="Calibri"/>
                <w:color w:val="auto"/>
                <w:sz w:val="22"/>
              </w:rPr>
              <w:t>Noted that education should be for councils as well</w:t>
            </w:r>
          </w:p>
        </w:tc>
      </w:tr>
      <w:tr w:rsidR="00844C99" w:rsidRPr="00844C99" w14:paraId="4E2D0299" w14:textId="77777777" w:rsidTr="00A44D43">
        <w:tc>
          <w:tcPr>
            <w:tcW w:w="568" w:type="dxa"/>
          </w:tcPr>
          <w:p w14:paraId="177DC71A"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8</w:t>
            </w:r>
          </w:p>
        </w:tc>
        <w:tc>
          <w:tcPr>
            <w:tcW w:w="4394" w:type="dxa"/>
          </w:tcPr>
          <w:p w14:paraId="4F4C01D1" w14:textId="21DEB99A" w:rsidR="00844C99" w:rsidRPr="00B40844" w:rsidRDefault="00844C99" w:rsidP="00844C99">
            <w:pPr>
              <w:spacing w:after="0" w:line="240" w:lineRule="auto"/>
              <w:rPr>
                <w:rFonts w:ascii="Calibri" w:hAnsi="Calibri" w:cs="Calibri"/>
                <w:color w:val="auto"/>
                <w:sz w:val="22"/>
              </w:rPr>
            </w:pPr>
            <w:r w:rsidRPr="00B40844">
              <w:rPr>
                <w:rFonts w:ascii="Calibri" w:hAnsi="Calibri" w:cs="Calibri"/>
                <w:color w:val="auto"/>
                <w:sz w:val="22"/>
              </w:rPr>
              <w:t>Avoid locking into outdated technology; allow flexibility for future updates</w:t>
            </w:r>
          </w:p>
        </w:tc>
        <w:tc>
          <w:tcPr>
            <w:tcW w:w="1701" w:type="dxa"/>
          </w:tcPr>
          <w:p w14:paraId="31EE92CE"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2882C78C"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proofErr w:type="gramStart"/>
            <w:r w:rsidRPr="00844C99">
              <w:rPr>
                <w:rFonts w:ascii="Calibri" w:hAnsi="Calibri" w:cs="Calibri"/>
                <w:color w:val="auto"/>
                <w:sz w:val="22"/>
              </w:rPr>
              <w:t>Allow for</w:t>
            </w:r>
            <w:proofErr w:type="gramEnd"/>
            <w:r w:rsidRPr="00844C99">
              <w:rPr>
                <w:rFonts w:ascii="Calibri" w:hAnsi="Calibri" w:cs="Calibri"/>
                <w:color w:val="auto"/>
                <w:sz w:val="22"/>
              </w:rPr>
              <w:t xml:space="preserve"> prescriptive standards with regular updates</w:t>
            </w:r>
          </w:p>
          <w:p w14:paraId="3C2E101D"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Going the opposite direction, performance-based measures should address this anyways</w:t>
            </w:r>
          </w:p>
        </w:tc>
      </w:tr>
      <w:tr w:rsidR="00844C99" w:rsidRPr="00844C99" w14:paraId="0D448416" w14:textId="77777777" w:rsidTr="00A44D43">
        <w:tc>
          <w:tcPr>
            <w:tcW w:w="568" w:type="dxa"/>
          </w:tcPr>
          <w:p w14:paraId="2FC98E29"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9</w:t>
            </w:r>
          </w:p>
        </w:tc>
        <w:tc>
          <w:tcPr>
            <w:tcW w:w="4394" w:type="dxa"/>
          </w:tcPr>
          <w:p w14:paraId="625F87EB" w14:textId="77777777" w:rsidR="00844C99" w:rsidRPr="00B40844" w:rsidRDefault="00844C99" w:rsidP="00844C99">
            <w:pPr>
              <w:spacing w:after="0" w:line="240" w:lineRule="auto"/>
              <w:rPr>
                <w:rFonts w:ascii="Calibri" w:hAnsi="Calibri" w:cs="Calibri"/>
                <w:color w:val="auto"/>
                <w:sz w:val="22"/>
              </w:rPr>
            </w:pPr>
            <w:r w:rsidRPr="00B40844">
              <w:rPr>
                <w:rFonts w:ascii="Calibri" w:hAnsi="Calibri" w:cs="Calibri"/>
                <w:color w:val="auto"/>
                <w:sz w:val="22"/>
              </w:rPr>
              <w:t xml:space="preserve">No consequences for non-compliance </w:t>
            </w:r>
          </w:p>
        </w:tc>
        <w:tc>
          <w:tcPr>
            <w:tcW w:w="1701" w:type="dxa"/>
          </w:tcPr>
          <w:p w14:paraId="05EE3816"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 xml:space="preserve">Regulatory </w:t>
            </w:r>
          </w:p>
        </w:tc>
        <w:tc>
          <w:tcPr>
            <w:tcW w:w="7371" w:type="dxa"/>
          </w:tcPr>
          <w:p w14:paraId="1EEA652F" w14:textId="6A79DF2B"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Suggestion for a national program to enforce accessibility standards with penalties for non-compliance</w:t>
            </w:r>
          </w:p>
          <w:p w14:paraId="2138709A"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BWOFs (shutting down buildings until they meet standards instead of letting them continue until it’s convenient to fix)</w:t>
            </w:r>
          </w:p>
        </w:tc>
      </w:tr>
      <w:tr w:rsidR="00844C99" w:rsidRPr="00844C99" w14:paraId="38BCB341" w14:textId="77777777" w:rsidTr="00A44D43">
        <w:tc>
          <w:tcPr>
            <w:tcW w:w="568" w:type="dxa"/>
          </w:tcPr>
          <w:p w14:paraId="188C060E" w14:textId="77777777" w:rsidR="00844C99" w:rsidRPr="00B40844" w:rsidRDefault="00844C99" w:rsidP="00844C99">
            <w:pPr>
              <w:spacing w:after="0" w:line="240" w:lineRule="auto"/>
              <w:rPr>
                <w:rFonts w:ascii="Calibri" w:hAnsi="Calibri" w:cs="Calibri"/>
                <w:color w:val="auto"/>
                <w:sz w:val="22"/>
              </w:rPr>
            </w:pPr>
            <w:r w:rsidRPr="00B40844">
              <w:rPr>
                <w:rFonts w:ascii="Calibri" w:hAnsi="Calibri" w:cs="Calibri"/>
                <w:color w:val="auto"/>
                <w:sz w:val="22"/>
              </w:rPr>
              <w:lastRenderedPageBreak/>
              <w:t>10</w:t>
            </w:r>
          </w:p>
        </w:tc>
        <w:tc>
          <w:tcPr>
            <w:tcW w:w="4394" w:type="dxa"/>
          </w:tcPr>
          <w:p w14:paraId="4ED0F431" w14:textId="77777777" w:rsidR="00844C99" w:rsidRPr="00B40844" w:rsidRDefault="00844C99" w:rsidP="00844C99">
            <w:pPr>
              <w:spacing w:after="0" w:line="240" w:lineRule="auto"/>
              <w:rPr>
                <w:rFonts w:ascii="Calibri" w:hAnsi="Calibri" w:cs="Calibri"/>
                <w:color w:val="auto"/>
                <w:sz w:val="22"/>
              </w:rPr>
            </w:pPr>
            <w:r w:rsidRPr="00B40844">
              <w:rPr>
                <w:rFonts w:ascii="Calibri" w:hAnsi="Calibri" w:cs="Calibri"/>
                <w:color w:val="auto"/>
                <w:sz w:val="22"/>
              </w:rPr>
              <w:t>University education on accessibility is patchy; should be mandated in accredited programs</w:t>
            </w:r>
          </w:p>
          <w:p w14:paraId="4134E2FA" w14:textId="480517F2" w:rsidR="00844C99" w:rsidRPr="00B40844" w:rsidRDefault="00844C99" w:rsidP="00844C99">
            <w:pPr>
              <w:spacing w:after="0" w:line="240" w:lineRule="auto"/>
              <w:rPr>
                <w:rFonts w:ascii="Calibri" w:hAnsi="Calibri" w:cs="Calibri"/>
                <w:color w:val="auto"/>
                <w:sz w:val="22"/>
              </w:rPr>
            </w:pPr>
            <w:r w:rsidRPr="00B40844">
              <w:rPr>
                <w:rFonts w:ascii="Calibri" w:hAnsi="Calibri" w:cs="Calibri"/>
                <w:color w:val="auto"/>
                <w:sz w:val="22"/>
              </w:rPr>
              <w:t xml:space="preserve">Note: School of Built Environment (SBE) has about 200 </w:t>
            </w:r>
            <w:proofErr w:type="gramStart"/>
            <w:r w:rsidRPr="00B40844">
              <w:rPr>
                <w:rFonts w:ascii="Calibri" w:hAnsi="Calibri" w:cs="Calibri"/>
                <w:color w:val="auto"/>
                <w:sz w:val="22"/>
              </w:rPr>
              <w:t>masters</w:t>
            </w:r>
            <w:proofErr w:type="gramEnd"/>
            <w:r w:rsidRPr="00B40844">
              <w:rPr>
                <w:rFonts w:ascii="Calibri" w:hAnsi="Calibri" w:cs="Calibri"/>
                <w:color w:val="auto"/>
                <w:sz w:val="22"/>
              </w:rPr>
              <w:t xml:space="preserve"> students each year and in 2024 as part of a BRANZ project, they all did research on different aspects of accessibility (legislation, project management, auditing tools, etc.). SBE could also consider running a short course on building accessibility</w:t>
            </w:r>
          </w:p>
          <w:p w14:paraId="24F46F3B" w14:textId="77777777" w:rsidR="00844C99" w:rsidRPr="00B40844" w:rsidRDefault="00844C99" w:rsidP="00844C99">
            <w:pPr>
              <w:spacing w:after="0" w:line="240" w:lineRule="auto"/>
              <w:rPr>
                <w:rFonts w:ascii="Calibri" w:hAnsi="Calibri" w:cs="Calibri"/>
                <w:color w:val="auto"/>
                <w:sz w:val="22"/>
              </w:rPr>
            </w:pPr>
          </w:p>
        </w:tc>
        <w:tc>
          <w:tcPr>
            <w:tcW w:w="1701" w:type="dxa"/>
          </w:tcPr>
          <w:p w14:paraId="505BFF2D"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 xml:space="preserve">Regulatory </w:t>
            </w:r>
          </w:p>
        </w:tc>
        <w:tc>
          <w:tcPr>
            <w:tcW w:w="7371" w:type="dxa"/>
          </w:tcPr>
          <w:p w14:paraId="74594BE5"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DIA and Vic Uni run a 12-week course on Web Accessibility (</w:t>
            </w:r>
            <w:hyperlink r:id="rId21" w:history="1">
              <w:r w:rsidRPr="00844C99">
                <w:rPr>
                  <w:rFonts w:ascii="Calibri" w:hAnsi="Calibri" w:cs="Calibri"/>
                  <w:color w:val="0000FF"/>
                  <w:sz w:val="22"/>
                  <w:u w:val="single"/>
                </w:rPr>
                <w:t>https://www.dia.govt.nz/Accessibility</w:t>
              </w:r>
            </w:hyperlink>
            <w:r w:rsidRPr="00844C99">
              <w:rPr>
                <w:rFonts w:ascii="Calibri" w:hAnsi="Calibri" w:cs="Calibri"/>
                <w:color w:val="auto"/>
                <w:sz w:val="22"/>
              </w:rPr>
              <w:t>), which is a potential avenue for a similar building accessibility courses</w:t>
            </w:r>
          </w:p>
          <w:p w14:paraId="20C17546"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Education is very relevant when it </w:t>
            </w:r>
            <w:proofErr w:type="gramStart"/>
            <w:r w:rsidRPr="00844C99">
              <w:rPr>
                <w:rFonts w:ascii="Calibri" w:hAnsi="Calibri" w:cs="Calibri"/>
                <w:color w:val="auto"/>
                <w:sz w:val="22"/>
              </w:rPr>
              <w:t>comes to the understanding</w:t>
            </w:r>
            <w:proofErr w:type="gramEnd"/>
            <w:r w:rsidRPr="00844C99">
              <w:rPr>
                <w:rFonts w:ascii="Calibri" w:hAnsi="Calibri" w:cs="Calibri"/>
                <w:color w:val="auto"/>
                <w:sz w:val="22"/>
              </w:rPr>
              <w:t xml:space="preserve"> and implementation of the standard</w:t>
            </w:r>
          </w:p>
        </w:tc>
      </w:tr>
      <w:tr w:rsidR="00844C99" w:rsidRPr="00844C99" w14:paraId="56D09109" w14:textId="77777777" w:rsidTr="00A44D43">
        <w:tc>
          <w:tcPr>
            <w:tcW w:w="568" w:type="dxa"/>
          </w:tcPr>
          <w:p w14:paraId="3A35A0A0"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11</w:t>
            </w:r>
          </w:p>
        </w:tc>
        <w:tc>
          <w:tcPr>
            <w:tcW w:w="4394" w:type="dxa"/>
          </w:tcPr>
          <w:p w14:paraId="365FF610" w14:textId="64E005A0"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Standards should cover entire accessible route (street to building, landscaped areas) and include seating, drinking fountains, picnic tables, playgrounds</w:t>
            </w:r>
          </w:p>
        </w:tc>
        <w:tc>
          <w:tcPr>
            <w:tcW w:w="1701" w:type="dxa"/>
          </w:tcPr>
          <w:p w14:paraId="1A6F98C9"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464509BF"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Minimum standards for rest areas and seating.</w:t>
            </w:r>
          </w:p>
          <w:p w14:paraId="6193BD1A"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Being accessible to a wide range of people (children vs. adults)</w:t>
            </w:r>
          </w:p>
          <w:p w14:paraId="7BCA6AAE"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Must interlink with public transport/pick up services/pedestrian walkways/parking facilities</w:t>
            </w:r>
          </w:p>
          <w:p w14:paraId="1F6B860E"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Guidelines for facilities for blind/low vision by NZ Transport Agency RTS14 should be integrated</w:t>
            </w:r>
          </w:p>
          <w:p w14:paraId="7B028FD7" w14:textId="79E94CEF"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 xml:space="preserve">Equally important is the opposite of all of these (i.e. </w:t>
            </w:r>
            <w:proofErr w:type="spellStart"/>
            <w:r w:rsidRPr="00844C99">
              <w:rPr>
                <w:rFonts w:ascii="Calibri" w:hAnsi="Calibri" w:cs="Calibri"/>
                <w:color w:val="auto"/>
                <w:sz w:val="22"/>
                <w:lang w:eastAsia="en-NZ"/>
              </w:rPr>
              <w:t>pick up</w:t>
            </w:r>
            <w:proofErr w:type="spellEnd"/>
            <w:r w:rsidRPr="00844C99">
              <w:rPr>
                <w:rFonts w:ascii="Calibri" w:hAnsi="Calibri" w:cs="Calibri"/>
                <w:color w:val="auto"/>
                <w:sz w:val="22"/>
                <w:lang w:eastAsia="en-NZ"/>
              </w:rPr>
              <w:t xml:space="preserve"> and </w:t>
            </w:r>
            <w:r w:rsidR="004B0768">
              <w:rPr>
                <w:rFonts w:ascii="Calibri" w:hAnsi="Calibri" w:cs="Calibri"/>
                <w:color w:val="auto"/>
                <w:sz w:val="22"/>
                <w:lang w:eastAsia="en-NZ"/>
              </w:rPr>
              <w:t>drop-off</w:t>
            </w:r>
            <w:r w:rsidRPr="00844C99">
              <w:rPr>
                <w:rFonts w:ascii="Calibri" w:hAnsi="Calibri" w:cs="Calibri"/>
                <w:color w:val="auto"/>
                <w:sz w:val="22"/>
                <w:lang w:eastAsia="en-NZ"/>
              </w:rPr>
              <w:t>, entrance and exit)</w:t>
            </w:r>
          </w:p>
          <w:p w14:paraId="2C551342"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Maximum length to walk for places with no direct vehicle access</w:t>
            </w:r>
          </w:p>
        </w:tc>
      </w:tr>
      <w:tr w:rsidR="00844C99" w:rsidRPr="00844C99" w14:paraId="6B4BC7E0" w14:textId="77777777" w:rsidTr="00A44D43">
        <w:tc>
          <w:tcPr>
            <w:tcW w:w="568" w:type="dxa"/>
          </w:tcPr>
          <w:p w14:paraId="1A58D9BE"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12</w:t>
            </w:r>
          </w:p>
        </w:tc>
        <w:tc>
          <w:tcPr>
            <w:tcW w:w="4394" w:type="dxa"/>
          </w:tcPr>
          <w:p w14:paraId="5DA60ED6" w14:textId="52193F4F"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Ensure staff areas are accessible, not just customer spaces</w:t>
            </w:r>
          </w:p>
        </w:tc>
        <w:tc>
          <w:tcPr>
            <w:tcW w:w="1701" w:type="dxa"/>
          </w:tcPr>
          <w:p w14:paraId="46940627"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37BCDAEA" w14:textId="633EF5DE"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The Building Act specifies that disabled people be able to carry out the normal functions of a building as both customer and staff, the code doesn’t</w:t>
            </w:r>
          </w:p>
          <w:p w14:paraId="63270731" w14:textId="0C9CB11E" w:rsidR="00320F7E" w:rsidRPr="00A63B5D" w:rsidRDefault="00844C99" w:rsidP="00A63B5D">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Having a specific reference to staff facilities like a kitchen/kitchenette</w:t>
            </w:r>
            <w:r w:rsidR="00B03E22">
              <w:rPr>
                <w:rFonts w:ascii="Calibri" w:hAnsi="Calibri" w:cs="Calibri"/>
                <w:color w:val="auto"/>
                <w:sz w:val="22"/>
              </w:rPr>
              <w:t xml:space="preserve"> and bathroom</w:t>
            </w:r>
            <w:r w:rsidRPr="00844C99">
              <w:rPr>
                <w:rFonts w:ascii="Calibri" w:hAnsi="Calibri" w:cs="Calibri"/>
                <w:color w:val="auto"/>
                <w:sz w:val="22"/>
              </w:rPr>
              <w:t xml:space="preserve"> (currently mentioned in accessible accommodation only)</w:t>
            </w:r>
          </w:p>
        </w:tc>
      </w:tr>
      <w:tr w:rsidR="00844C99" w:rsidRPr="00844C99" w14:paraId="07496D65" w14:textId="77777777" w:rsidTr="00A44D43">
        <w:tc>
          <w:tcPr>
            <w:tcW w:w="568" w:type="dxa"/>
          </w:tcPr>
          <w:p w14:paraId="553FDDDA"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13</w:t>
            </w:r>
          </w:p>
        </w:tc>
        <w:tc>
          <w:tcPr>
            <w:tcW w:w="4394" w:type="dxa"/>
          </w:tcPr>
          <w:p w14:paraId="33EB0938" w14:textId="7BD2A0CD" w:rsidR="00844C99" w:rsidRPr="00844C99" w:rsidRDefault="00844C99" w:rsidP="00A63B5D">
            <w:pPr>
              <w:spacing w:after="0" w:line="240" w:lineRule="auto"/>
              <w:rPr>
                <w:rFonts w:ascii="Calibri" w:hAnsi="Calibri" w:cs="Calibri"/>
                <w:color w:val="auto"/>
                <w:sz w:val="22"/>
              </w:rPr>
            </w:pPr>
            <w:r w:rsidRPr="00844C99">
              <w:rPr>
                <w:rFonts w:ascii="Calibri" w:hAnsi="Calibri" w:cs="Calibri"/>
                <w:color w:val="auto"/>
                <w:sz w:val="22"/>
              </w:rPr>
              <w:t>Alternatives needed to loudspeaker announcements</w:t>
            </w:r>
            <w:r w:rsidR="00A63B5D">
              <w:rPr>
                <w:rFonts w:ascii="Calibri" w:hAnsi="Calibri" w:cs="Calibri"/>
                <w:color w:val="auto"/>
                <w:sz w:val="22"/>
              </w:rPr>
              <w:t>: t</w:t>
            </w:r>
            <w:r w:rsidRPr="00844C99">
              <w:rPr>
                <w:rFonts w:ascii="Calibri" w:hAnsi="Calibri" w:cs="Calibri"/>
                <w:color w:val="auto"/>
                <w:sz w:val="22"/>
              </w:rPr>
              <w:t xml:space="preserve">ransport </w:t>
            </w:r>
            <w:proofErr w:type="spellStart"/>
            <w:r w:rsidRPr="00844C99">
              <w:rPr>
                <w:rFonts w:ascii="Calibri" w:hAnsi="Calibri" w:cs="Calibri"/>
                <w:color w:val="auto"/>
                <w:sz w:val="22"/>
              </w:rPr>
              <w:t>centres</w:t>
            </w:r>
            <w:proofErr w:type="spellEnd"/>
            <w:r w:rsidRPr="00844C99">
              <w:rPr>
                <w:rFonts w:ascii="Calibri" w:hAnsi="Calibri" w:cs="Calibri"/>
                <w:color w:val="auto"/>
                <w:sz w:val="22"/>
              </w:rPr>
              <w:t xml:space="preserve"> are the most common place</w:t>
            </w:r>
            <w:r w:rsidR="00A63B5D">
              <w:rPr>
                <w:rFonts w:ascii="Calibri" w:hAnsi="Calibri" w:cs="Calibri"/>
                <w:color w:val="auto"/>
                <w:sz w:val="22"/>
              </w:rPr>
              <w:t>s</w:t>
            </w:r>
            <w:r w:rsidRPr="00844C99">
              <w:rPr>
                <w:rFonts w:ascii="Calibri" w:hAnsi="Calibri" w:cs="Calibri"/>
                <w:color w:val="auto"/>
                <w:sz w:val="22"/>
              </w:rPr>
              <w:t xml:space="preserve"> to receive these (delayed/cancelled services)</w:t>
            </w:r>
          </w:p>
        </w:tc>
        <w:tc>
          <w:tcPr>
            <w:tcW w:w="1701" w:type="dxa"/>
          </w:tcPr>
          <w:p w14:paraId="5ACD7DF0"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18653CCD"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Having visual aids as well </w:t>
            </w:r>
          </w:p>
          <w:p w14:paraId="7EDA4B6D"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Screens are good </w:t>
            </w:r>
            <w:proofErr w:type="gramStart"/>
            <w:r w:rsidRPr="00844C99">
              <w:rPr>
                <w:rFonts w:ascii="Calibri" w:hAnsi="Calibri" w:cs="Calibri"/>
                <w:color w:val="auto"/>
                <w:sz w:val="22"/>
              </w:rPr>
              <w:t>to show</w:t>
            </w:r>
            <w:proofErr w:type="gramEnd"/>
            <w:r w:rsidRPr="00844C99">
              <w:rPr>
                <w:rFonts w:ascii="Calibri" w:hAnsi="Calibri" w:cs="Calibri"/>
                <w:color w:val="auto"/>
                <w:sz w:val="22"/>
              </w:rPr>
              <w:t xml:space="preserve"> real-time updates</w:t>
            </w:r>
          </w:p>
          <w:p w14:paraId="178C9554"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Clear signage needed to where people are being re-directed</w:t>
            </w:r>
          </w:p>
        </w:tc>
      </w:tr>
      <w:tr w:rsidR="00844C99" w:rsidRPr="00844C99" w14:paraId="697ADFFE" w14:textId="77777777" w:rsidTr="00A44D43">
        <w:tc>
          <w:tcPr>
            <w:tcW w:w="568" w:type="dxa"/>
          </w:tcPr>
          <w:p w14:paraId="26F65FCF"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14</w:t>
            </w:r>
          </w:p>
        </w:tc>
        <w:tc>
          <w:tcPr>
            <w:tcW w:w="4394" w:type="dxa"/>
          </w:tcPr>
          <w:p w14:paraId="54C650CE"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DIA digital accessibility group offers Q&amp;A and resources, could the same be done for building accessibility</w:t>
            </w:r>
          </w:p>
        </w:tc>
        <w:tc>
          <w:tcPr>
            <w:tcW w:w="1701" w:type="dxa"/>
          </w:tcPr>
          <w:p w14:paraId="5716C90C"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202BC5E0" w14:textId="78831658"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A program of implementation is integral to the application of the standard. The standard is made with the assumption that the people using it understand what it’s about</w:t>
            </w:r>
          </w:p>
          <w:p w14:paraId="4A52E729"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lastRenderedPageBreak/>
              <w:t>NZ in general is falling behind internationally accepted standards</w:t>
            </w:r>
          </w:p>
        </w:tc>
      </w:tr>
      <w:tr w:rsidR="00844C99" w:rsidRPr="00844C99" w14:paraId="2DFF60AE" w14:textId="77777777" w:rsidTr="00A44D43">
        <w:tc>
          <w:tcPr>
            <w:tcW w:w="568" w:type="dxa"/>
          </w:tcPr>
          <w:p w14:paraId="29EFF3C8"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lastRenderedPageBreak/>
              <w:t>15</w:t>
            </w:r>
          </w:p>
        </w:tc>
        <w:tc>
          <w:tcPr>
            <w:tcW w:w="4394" w:type="dxa"/>
          </w:tcPr>
          <w:p w14:paraId="756817B2" w14:textId="57FD2029"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Consider intersectionality (e.g., wheelchair + low vision, parents with disabilities)</w:t>
            </w:r>
          </w:p>
          <w:p w14:paraId="3561F1EA" w14:textId="24C797D8"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Cultural needs (e.g., Muslim bathroom and parent’s room requirements)</w:t>
            </w:r>
          </w:p>
          <w:p w14:paraId="098A675E" w14:textId="1818EFDF"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Rainbow community considerations</w:t>
            </w:r>
          </w:p>
        </w:tc>
        <w:tc>
          <w:tcPr>
            <w:tcW w:w="1701" w:type="dxa"/>
          </w:tcPr>
          <w:p w14:paraId="1DAC2DF5"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716BDB4E"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Reference NZS 8134 approach: Māori workstream and future-proofing standards.</w:t>
            </w:r>
          </w:p>
          <w:p w14:paraId="51C92E3B"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Sanitary Facilities research initiated by BRANZ and conducted by WSP</w:t>
            </w:r>
          </w:p>
        </w:tc>
      </w:tr>
      <w:tr w:rsidR="00844C99" w:rsidRPr="00844C99" w14:paraId="4DE8F07D" w14:textId="77777777" w:rsidTr="00A44D43">
        <w:tc>
          <w:tcPr>
            <w:tcW w:w="568" w:type="dxa"/>
          </w:tcPr>
          <w:p w14:paraId="392CC57C"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16</w:t>
            </w:r>
          </w:p>
        </w:tc>
        <w:tc>
          <w:tcPr>
            <w:tcW w:w="4394" w:type="dxa"/>
          </w:tcPr>
          <w:p w14:paraId="05A0EA76" w14:textId="6BDD243B"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Marae accessibility unclear; historic vs modern marae differ</w:t>
            </w:r>
          </w:p>
        </w:tc>
        <w:tc>
          <w:tcPr>
            <w:tcW w:w="1701" w:type="dxa"/>
          </w:tcPr>
          <w:p w14:paraId="094F5E21"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p w14:paraId="44DAC060"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w:t>
            </w:r>
          </w:p>
        </w:tc>
        <w:tc>
          <w:tcPr>
            <w:tcW w:w="7371" w:type="dxa"/>
          </w:tcPr>
          <w:p w14:paraId="1712F90C"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Te </w:t>
            </w:r>
            <w:proofErr w:type="spellStart"/>
            <w:r w:rsidRPr="00844C99">
              <w:rPr>
                <w:rFonts w:ascii="Calibri" w:hAnsi="Calibri" w:cs="Calibri"/>
                <w:color w:val="auto"/>
                <w:sz w:val="22"/>
              </w:rPr>
              <w:t>Whakaaheitanga</w:t>
            </w:r>
            <w:proofErr w:type="spellEnd"/>
            <w:r w:rsidRPr="00844C99">
              <w:rPr>
                <w:rFonts w:ascii="Calibri" w:hAnsi="Calibri" w:cs="Calibri"/>
                <w:color w:val="auto"/>
                <w:sz w:val="22"/>
              </w:rPr>
              <w:t xml:space="preserve"> Marae Accessibility Toolkit</w:t>
            </w:r>
          </w:p>
        </w:tc>
      </w:tr>
      <w:tr w:rsidR="00844C99" w:rsidRPr="00844C99" w14:paraId="58630896" w14:textId="77777777" w:rsidTr="00A44D43">
        <w:tc>
          <w:tcPr>
            <w:tcW w:w="568" w:type="dxa"/>
          </w:tcPr>
          <w:p w14:paraId="7C5ECEE9"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17</w:t>
            </w:r>
          </w:p>
        </w:tc>
        <w:tc>
          <w:tcPr>
            <w:tcW w:w="4394" w:type="dxa"/>
          </w:tcPr>
          <w:p w14:paraId="5C34C93D" w14:textId="0FB6EC8C"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Disabled people concentrated in smaller towns with fewer resources; design must address social isolation, bus stops, libraries, and low-cost recreation spaces critical for inclusion</w:t>
            </w:r>
          </w:p>
        </w:tc>
        <w:tc>
          <w:tcPr>
            <w:tcW w:w="1701" w:type="dxa"/>
          </w:tcPr>
          <w:p w14:paraId="70190817"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0B585FE2" w14:textId="44ED4CEE" w:rsidR="00844C99" w:rsidRPr="00CA468A" w:rsidRDefault="00CA468A" w:rsidP="00CA468A">
            <w:pPr>
              <w:pStyle w:val="ListParagraph"/>
              <w:numPr>
                <w:ilvl w:val="0"/>
                <w:numId w:val="11"/>
              </w:numPr>
              <w:spacing w:after="0" w:line="240" w:lineRule="auto"/>
              <w:rPr>
                <w:rFonts w:ascii="Calibri" w:hAnsi="Calibri" w:cs="Calibri"/>
                <w:color w:val="auto"/>
                <w:sz w:val="22"/>
              </w:rPr>
            </w:pPr>
            <w:r>
              <w:rPr>
                <w:rFonts w:ascii="Calibri" w:hAnsi="Calibri" w:cs="Calibri"/>
                <w:color w:val="auto"/>
                <w:sz w:val="22"/>
              </w:rPr>
              <w:t>This issue cannot be neither addressed by improvements to NZS 4121 nor by changes to the Building Regulations</w:t>
            </w:r>
          </w:p>
        </w:tc>
      </w:tr>
      <w:tr w:rsidR="00844C99" w:rsidRPr="00844C99" w14:paraId="44E0E0FD" w14:textId="77777777" w:rsidTr="00A44D43">
        <w:tc>
          <w:tcPr>
            <w:tcW w:w="568" w:type="dxa"/>
          </w:tcPr>
          <w:p w14:paraId="6A4D5821"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18</w:t>
            </w:r>
          </w:p>
        </w:tc>
        <w:tc>
          <w:tcPr>
            <w:tcW w:w="4394" w:type="dxa"/>
          </w:tcPr>
          <w:p w14:paraId="343ACA92" w14:textId="00841A58"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Accessibility requirements scattered across multiple codes make it hard for architects to design compliant buildings</w:t>
            </w:r>
          </w:p>
        </w:tc>
        <w:tc>
          <w:tcPr>
            <w:tcW w:w="1701" w:type="dxa"/>
          </w:tcPr>
          <w:p w14:paraId="4E7A220C"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3E790C7D"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Relates back to education within the industry</w:t>
            </w:r>
          </w:p>
        </w:tc>
      </w:tr>
      <w:tr w:rsidR="00844C99" w:rsidRPr="00844C99" w14:paraId="310A0EEE" w14:textId="77777777" w:rsidTr="00A44D43">
        <w:tc>
          <w:tcPr>
            <w:tcW w:w="568" w:type="dxa"/>
          </w:tcPr>
          <w:p w14:paraId="022431FD"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19</w:t>
            </w:r>
          </w:p>
        </w:tc>
        <w:tc>
          <w:tcPr>
            <w:tcW w:w="4394" w:type="dxa"/>
          </w:tcPr>
          <w:p w14:paraId="419E75DA" w14:textId="66F35BA9"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Old MBIE “Code Words” guidance (e.g., tactile buttons for lifts) </w:t>
            </w:r>
            <w:proofErr w:type="gramStart"/>
            <w:r w:rsidRPr="00844C99">
              <w:rPr>
                <w:rFonts w:ascii="Calibri" w:hAnsi="Calibri" w:cs="Calibri"/>
                <w:color w:val="auto"/>
                <w:sz w:val="22"/>
                <w:lang w:eastAsia="en-NZ"/>
              </w:rPr>
              <w:t>is</w:t>
            </w:r>
            <w:proofErr w:type="gramEnd"/>
            <w:r w:rsidRPr="00844C99">
              <w:rPr>
                <w:rFonts w:ascii="Calibri" w:hAnsi="Calibri" w:cs="Calibri"/>
                <w:color w:val="auto"/>
                <w:sz w:val="22"/>
                <w:lang w:eastAsia="en-NZ"/>
              </w:rPr>
              <w:t xml:space="preserve"> hard to find</w:t>
            </w:r>
          </w:p>
        </w:tc>
        <w:tc>
          <w:tcPr>
            <w:tcW w:w="1701" w:type="dxa"/>
          </w:tcPr>
          <w:p w14:paraId="771BF5D9"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06B38BE2"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MBIE is aware that this needs to be update</w:t>
            </w:r>
          </w:p>
        </w:tc>
      </w:tr>
      <w:tr w:rsidR="00844C99" w:rsidRPr="00844C99" w14:paraId="47A83E27" w14:textId="77777777" w:rsidTr="00A44D43">
        <w:tc>
          <w:tcPr>
            <w:tcW w:w="568" w:type="dxa"/>
          </w:tcPr>
          <w:p w14:paraId="69EB9248"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20</w:t>
            </w:r>
          </w:p>
        </w:tc>
        <w:tc>
          <w:tcPr>
            <w:tcW w:w="4394" w:type="dxa"/>
          </w:tcPr>
          <w:p w14:paraId="0D57BB7C" w14:textId="21105D5B"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Suggest creating a centralized database for accessibility-related clarifications</w:t>
            </w:r>
          </w:p>
        </w:tc>
        <w:tc>
          <w:tcPr>
            <w:tcW w:w="1701" w:type="dxa"/>
          </w:tcPr>
          <w:p w14:paraId="79C04A07"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60E4E168"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Could be a solution to point 19</w:t>
            </w:r>
          </w:p>
        </w:tc>
      </w:tr>
      <w:tr w:rsidR="00484849" w:rsidRPr="00844C99" w14:paraId="19F76818" w14:textId="77777777" w:rsidTr="00844C99">
        <w:tc>
          <w:tcPr>
            <w:tcW w:w="568" w:type="dxa"/>
            <w:shd w:val="clear" w:color="auto" w:fill="FFFFFF"/>
          </w:tcPr>
          <w:p w14:paraId="1C65432C"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21</w:t>
            </w:r>
          </w:p>
        </w:tc>
        <w:tc>
          <w:tcPr>
            <w:tcW w:w="4394" w:type="dxa"/>
            <w:shd w:val="clear" w:color="auto" w:fill="FFFFFF"/>
          </w:tcPr>
          <w:p w14:paraId="73CEC320"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Current NZS 4121 is a design solution, not a performance-based specification.</w:t>
            </w:r>
          </w:p>
          <w:p w14:paraId="5E20A227"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Note that this can be very subjective and prescription solutions provide much more certainty</w:t>
            </w:r>
          </w:p>
          <w:p w14:paraId="24F99201"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proofErr w:type="gramStart"/>
            <w:r w:rsidRPr="00844C99">
              <w:rPr>
                <w:rFonts w:ascii="Calibri" w:hAnsi="Calibri" w:cs="Calibri"/>
                <w:color w:val="auto"/>
                <w:sz w:val="22"/>
                <w:lang w:eastAsia="en-NZ"/>
              </w:rPr>
              <w:t>Consistency</w:t>
            </w:r>
            <w:proofErr w:type="gramEnd"/>
            <w:r w:rsidRPr="00844C99">
              <w:rPr>
                <w:rFonts w:ascii="Calibri" w:hAnsi="Calibri" w:cs="Calibri"/>
                <w:color w:val="auto"/>
                <w:sz w:val="22"/>
                <w:lang w:eastAsia="en-NZ"/>
              </w:rPr>
              <w:t xml:space="preserve"> is useful for people to know what to expect and then leaves space for performance-based when required.</w:t>
            </w:r>
          </w:p>
        </w:tc>
        <w:tc>
          <w:tcPr>
            <w:tcW w:w="1701" w:type="dxa"/>
            <w:shd w:val="clear" w:color="auto" w:fill="FFFFFF"/>
          </w:tcPr>
          <w:p w14:paraId="1562F00E"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shd w:val="clear" w:color="auto" w:fill="FFFFFF"/>
          </w:tcPr>
          <w:p w14:paraId="0FA00BB3"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Move to performance requirements to allow multiple acceptable solutions but also requires more knowledge of application</w:t>
            </w:r>
          </w:p>
          <w:p w14:paraId="09ED97DD"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Move from prescriptive solutions to problem-based design.</w:t>
            </w:r>
          </w:p>
          <w:p w14:paraId="7AE7B7D9"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lang w:eastAsia="en-NZ"/>
              </w:rPr>
              <w:t>Develop overarching principles for equity and inclusion.</w:t>
            </w:r>
          </w:p>
          <w:p w14:paraId="2684F360"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lang w:eastAsia="en-NZ"/>
              </w:rPr>
              <w:t xml:space="preserve">Using a balance of the two allows </w:t>
            </w:r>
            <w:proofErr w:type="gramStart"/>
            <w:r w:rsidRPr="00844C99">
              <w:rPr>
                <w:rFonts w:ascii="Calibri" w:hAnsi="Calibri" w:cs="Calibri"/>
                <w:color w:val="auto"/>
                <w:sz w:val="22"/>
                <w:lang w:eastAsia="en-NZ"/>
              </w:rPr>
              <w:t>flexibilities</w:t>
            </w:r>
            <w:proofErr w:type="gramEnd"/>
            <w:r w:rsidRPr="00844C99">
              <w:rPr>
                <w:rFonts w:ascii="Calibri" w:hAnsi="Calibri" w:cs="Calibri"/>
                <w:color w:val="auto"/>
                <w:sz w:val="22"/>
                <w:lang w:eastAsia="en-NZ"/>
              </w:rPr>
              <w:t xml:space="preserve"> in unique cases, encourages innovation </w:t>
            </w:r>
            <w:r w:rsidRPr="00844C99">
              <w:rPr>
                <w:rFonts w:ascii="Calibri" w:hAnsi="Calibri" w:cs="Calibri"/>
                <w:b/>
                <w:bCs/>
                <w:color w:val="auto"/>
                <w:sz w:val="22"/>
                <w:lang w:eastAsia="en-NZ"/>
              </w:rPr>
              <w:t>Fire C Clauses</w:t>
            </w:r>
          </w:p>
          <w:p w14:paraId="557960F2"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lang w:eastAsia="en-NZ"/>
              </w:rPr>
              <w:t>This standard is the opportunity to put prescriptive designs in as the minimum accessibility requirement and other “companion” guides</w:t>
            </w:r>
          </w:p>
          <w:p w14:paraId="2C891129"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lang w:eastAsia="en-NZ"/>
              </w:rPr>
              <w:t>Not all disabilities are the same and need different requirements</w:t>
            </w:r>
          </w:p>
          <w:p w14:paraId="2164254B"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lang w:eastAsia="en-NZ"/>
              </w:rPr>
              <w:t>Space again for disability consultants to sign off on designs</w:t>
            </w:r>
          </w:p>
        </w:tc>
      </w:tr>
      <w:tr w:rsidR="00484849" w:rsidRPr="00844C99" w14:paraId="6C70470D" w14:textId="77777777" w:rsidTr="00844C99">
        <w:tc>
          <w:tcPr>
            <w:tcW w:w="568" w:type="dxa"/>
            <w:shd w:val="clear" w:color="auto" w:fill="FFFFFF"/>
          </w:tcPr>
          <w:p w14:paraId="43611CE3"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lastRenderedPageBreak/>
              <w:t>22</w:t>
            </w:r>
          </w:p>
        </w:tc>
        <w:tc>
          <w:tcPr>
            <w:tcW w:w="4394" w:type="dxa"/>
            <w:shd w:val="clear" w:color="auto" w:fill="FFFFFF"/>
          </w:tcPr>
          <w:p w14:paraId="7F9E04D5" w14:textId="0BDA2DC6"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Councils prefer prescriptive “cookbook” standards for enforcement</w:t>
            </w:r>
          </w:p>
          <w:p w14:paraId="6C2C4D72" w14:textId="4C1AC3DE"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Avoid overly prescriptive rules that discourage compliance</w:t>
            </w:r>
          </w:p>
          <w:p w14:paraId="7AA4082B"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Risk: Loosely worded standards require high expertise, leading to inconsistent compliance.</w:t>
            </w:r>
          </w:p>
          <w:p w14:paraId="01DA6045" w14:textId="39D90BAB"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Suggest balance between prescriptive detail and flexibility</w:t>
            </w:r>
          </w:p>
        </w:tc>
        <w:tc>
          <w:tcPr>
            <w:tcW w:w="1701" w:type="dxa"/>
            <w:shd w:val="clear" w:color="auto" w:fill="FFFFFF"/>
          </w:tcPr>
          <w:p w14:paraId="31ABFA47"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shd w:val="clear" w:color="auto" w:fill="FFFFFF"/>
          </w:tcPr>
          <w:p w14:paraId="5E387C46" w14:textId="77777777" w:rsidR="00844C99" w:rsidRPr="00803F71" w:rsidRDefault="00844C99" w:rsidP="000F03A2">
            <w:pPr>
              <w:pStyle w:val="ListParagraph"/>
              <w:numPr>
                <w:ilvl w:val="0"/>
                <w:numId w:val="69"/>
              </w:numPr>
              <w:spacing w:after="0" w:line="240" w:lineRule="auto"/>
              <w:rPr>
                <w:rFonts w:ascii="Calibri" w:hAnsi="Calibri" w:cs="Calibri"/>
                <w:color w:val="auto"/>
                <w:sz w:val="22"/>
              </w:rPr>
            </w:pPr>
            <w:r w:rsidRPr="00803F71">
              <w:rPr>
                <w:rFonts w:ascii="Calibri" w:hAnsi="Calibri" w:cs="Calibri"/>
                <w:color w:val="auto"/>
                <w:sz w:val="22"/>
              </w:rPr>
              <w:t>Avoid the use of terms like “should” and instead state “must”.</w:t>
            </w:r>
            <w:r w:rsidR="00CA468A" w:rsidRPr="00803F71">
              <w:rPr>
                <w:rFonts w:ascii="Calibri" w:hAnsi="Calibri" w:cs="Calibri"/>
                <w:color w:val="auto"/>
                <w:sz w:val="22"/>
              </w:rPr>
              <w:t xml:space="preserve"> </w:t>
            </w:r>
          </w:p>
          <w:p w14:paraId="2DAD4D03" w14:textId="56A167CD" w:rsidR="00CA468A" w:rsidRPr="00803F71" w:rsidRDefault="00CA468A" w:rsidP="000F03A2">
            <w:pPr>
              <w:pStyle w:val="ListParagraph"/>
              <w:numPr>
                <w:ilvl w:val="0"/>
                <w:numId w:val="69"/>
              </w:numPr>
              <w:spacing w:after="0" w:line="240" w:lineRule="auto"/>
              <w:rPr>
                <w:rFonts w:ascii="Calibri" w:hAnsi="Calibri" w:cs="Calibri"/>
                <w:i/>
                <w:iCs/>
                <w:color w:val="auto"/>
                <w:sz w:val="22"/>
              </w:rPr>
            </w:pPr>
            <w:r w:rsidRPr="00803F71">
              <w:rPr>
                <w:rFonts w:ascii="Calibri" w:hAnsi="Calibri" w:cs="Calibri"/>
                <w:i/>
                <w:iCs/>
                <w:color w:val="auto"/>
                <w:sz w:val="22"/>
              </w:rPr>
              <w:t xml:space="preserve">Note by SNZ: </w:t>
            </w:r>
            <w:r w:rsidR="003428ED" w:rsidRPr="00803F71">
              <w:rPr>
                <w:rFonts w:ascii="Calibri" w:hAnsi="Calibri" w:cs="Calibri"/>
                <w:i/>
                <w:iCs/>
                <w:color w:val="auto"/>
                <w:sz w:val="22"/>
                <w:lang w:val="en-NZ"/>
              </w:rPr>
              <w:t>In New Zealand standards, the word 'shall' refers to requirements that are essential for compliance with the standard, whereas the word 'should' refers to practices that are advised or recommended</w:t>
            </w:r>
          </w:p>
        </w:tc>
      </w:tr>
      <w:tr w:rsidR="00844C99" w:rsidRPr="00844C99" w14:paraId="6BB5B623" w14:textId="77777777" w:rsidTr="00A44D43">
        <w:tc>
          <w:tcPr>
            <w:tcW w:w="568" w:type="dxa"/>
          </w:tcPr>
          <w:p w14:paraId="2A62AB32"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23</w:t>
            </w:r>
          </w:p>
        </w:tc>
        <w:tc>
          <w:tcPr>
            <w:tcW w:w="4394" w:type="dxa"/>
          </w:tcPr>
          <w:p w14:paraId="264E5F2E" w14:textId="7156AD0D"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Risk of new technologies being accepted without proper disability input</w:t>
            </w:r>
          </w:p>
        </w:tc>
        <w:tc>
          <w:tcPr>
            <w:tcW w:w="1701" w:type="dxa"/>
          </w:tcPr>
          <w:p w14:paraId="27A61C2A"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2A93306E" w14:textId="2539C363"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Disabled community must be involved in assessing alternative solutions under performance-based code</w:t>
            </w:r>
          </w:p>
        </w:tc>
      </w:tr>
      <w:tr w:rsidR="00844C99" w:rsidRPr="00844C99" w14:paraId="0B7AE05B" w14:textId="77777777" w:rsidTr="00A44D43">
        <w:tc>
          <w:tcPr>
            <w:tcW w:w="568" w:type="dxa"/>
          </w:tcPr>
          <w:p w14:paraId="3519562D"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24</w:t>
            </w:r>
          </w:p>
        </w:tc>
        <w:tc>
          <w:tcPr>
            <w:tcW w:w="4394" w:type="dxa"/>
          </w:tcPr>
          <w:p w14:paraId="280BC0C2"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How are dimensions (door size, toilet height) determined?</w:t>
            </w:r>
          </w:p>
        </w:tc>
        <w:tc>
          <w:tcPr>
            <w:tcW w:w="1701" w:type="dxa"/>
          </w:tcPr>
          <w:p w14:paraId="65EEA618"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Other/standard</w:t>
            </w:r>
          </w:p>
        </w:tc>
        <w:tc>
          <w:tcPr>
            <w:tcW w:w="7371" w:type="dxa"/>
          </w:tcPr>
          <w:p w14:paraId="0F66DBD6" w14:textId="015C8E54"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lang w:eastAsia="en-NZ"/>
              </w:rPr>
              <w:t>Need research-based approach, not guesswork</w:t>
            </w:r>
          </w:p>
          <w:p w14:paraId="780C508B"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proofErr w:type="gramStart"/>
            <w:r w:rsidRPr="00844C99">
              <w:rPr>
                <w:rFonts w:ascii="Calibri" w:hAnsi="Calibri" w:cs="Calibri"/>
                <w:color w:val="auto"/>
                <w:sz w:val="22"/>
                <w:lang w:eastAsia="en-NZ"/>
              </w:rPr>
              <w:t>Acknowledge</w:t>
            </w:r>
            <w:proofErr w:type="gramEnd"/>
            <w:r w:rsidRPr="00844C99">
              <w:rPr>
                <w:rFonts w:ascii="Calibri" w:hAnsi="Calibri" w:cs="Calibri"/>
                <w:color w:val="auto"/>
                <w:sz w:val="22"/>
                <w:lang w:eastAsia="en-NZ"/>
              </w:rPr>
              <w:t xml:space="preserve"> that things like standard wheelchair dimensions have increased in recent years</w:t>
            </w:r>
          </w:p>
        </w:tc>
      </w:tr>
      <w:tr w:rsidR="00844C99" w:rsidRPr="00844C99" w14:paraId="7F5687AC" w14:textId="77777777" w:rsidTr="00A44D43">
        <w:tc>
          <w:tcPr>
            <w:tcW w:w="568" w:type="dxa"/>
          </w:tcPr>
          <w:p w14:paraId="03FDC047"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25</w:t>
            </w:r>
          </w:p>
        </w:tc>
        <w:tc>
          <w:tcPr>
            <w:tcW w:w="4394" w:type="dxa"/>
          </w:tcPr>
          <w:p w14:paraId="38C626A1" w14:textId="3409639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Difficulty sourcing New Zealand-compliant products; reliance on Australian standards</w:t>
            </w:r>
          </w:p>
        </w:tc>
        <w:tc>
          <w:tcPr>
            <w:tcW w:w="1701" w:type="dxa"/>
          </w:tcPr>
          <w:p w14:paraId="24C4C93A"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2C688EA3" w14:textId="5E411201"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Align with international standards for ease of supply (e.g., grab rails)</w:t>
            </w:r>
          </w:p>
          <w:p w14:paraId="4234D184" w14:textId="673E5B4A"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Avoid custom New Zealand-only requirements that complicate procurement</w:t>
            </w:r>
          </w:p>
        </w:tc>
      </w:tr>
      <w:tr w:rsidR="00844C99" w:rsidRPr="00844C99" w14:paraId="3CB352A3" w14:textId="77777777" w:rsidTr="00A44D43">
        <w:tc>
          <w:tcPr>
            <w:tcW w:w="568" w:type="dxa"/>
          </w:tcPr>
          <w:p w14:paraId="359FBFB4"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26</w:t>
            </w:r>
          </w:p>
        </w:tc>
        <w:tc>
          <w:tcPr>
            <w:tcW w:w="4394" w:type="dxa"/>
          </w:tcPr>
          <w:p w14:paraId="4C8A3DB9" w14:textId="56CCD773" w:rsidR="00844C99" w:rsidRPr="00844C99" w:rsidRDefault="00844C99" w:rsidP="00844C99">
            <w:pPr>
              <w:spacing w:after="0" w:line="240" w:lineRule="auto"/>
              <w:rPr>
                <w:rFonts w:ascii="Calibri" w:hAnsi="Calibri" w:cs="Calibri"/>
                <w:color w:val="auto"/>
                <w:sz w:val="22"/>
                <w:lang w:eastAsia="en-NZ"/>
              </w:rPr>
            </w:pPr>
            <w:bookmarkStart w:id="33" w:name="_Hlk222923352"/>
            <w:r w:rsidRPr="00844C99">
              <w:rPr>
                <w:rFonts w:ascii="Calibri" w:hAnsi="Calibri" w:cs="Calibri"/>
                <w:color w:val="auto"/>
                <w:sz w:val="22"/>
                <w:lang w:eastAsia="en-NZ"/>
              </w:rPr>
              <w:t>Increasing use of digital controls (lighting, lifts, reception) without accessible features</w:t>
            </w:r>
            <w:bookmarkEnd w:id="33"/>
          </w:p>
        </w:tc>
        <w:tc>
          <w:tcPr>
            <w:tcW w:w="1701" w:type="dxa"/>
          </w:tcPr>
          <w:p w14:paraId="6E6EBA2C"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28E90D44"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Braille buttons and voice announcements aren’t apart </w:t>
            </w:r>
            <w:proofErr w:type="gramStart"/>
            <w:r w:rsidRPr="00844C99">
              <w:rPr>
                <w:rFonts w:ascii="Calibri" w:hAnsi="Calibri" w:cs="Calibri"/>
                <w:color w:val="auto"/>
                <w:sz w:val="22"/>
              </w:rPr>
              <w:t>of</w:t>
            </w:r>
            <w:proofErr w:type="gramEnd"/>
            <w:r w:rsidRPr="00844C99">
              <w:rPr>
                <w:rFonts w:ascii="Calibri" w:hAnsi="Calibri" w:cs="Calibri"/>
                <w:color w:val="auto"/>
                <w:sz w:val="22"/>
              </w:rPr>
              <w:t xml:space="preserve"> the base models of bigger brands</w:t>
            </w:r>
          </w:p>
          <w:p w14:paraId="0FAEB71B"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Spacing requirements are key for braille when letter A and number 1 are very similar</w:t>
            </w:r>
          </w:p>
        </w:tc>
      </w:tr>
      <w:tr w:rsidR="00844C99" w:rsidRPr="00844C99" w14:paraId="4A872AAB" w14:textId="77777777" w:rsidTr="00A44D43">
        <w:tc>
          <w:tcPr>
            <w:tcW w:w="568" w:type="dxa"/>
          </w:tcPr>
          <w:p w14:paraId="46760A29"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27</w:t>
            </w:r>
          </w:p>
        </w:tc>
        <w:tc>
          <w:tcPr>
            <w:tcW w:w="4394" w:type="dxa"/>
          </w:tcPr>
          <w:p w14:paraId="3970A3A8" w14:textId="0B7233B1"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Standards should address usability of digital technologies for all users</w:t>
            </w:r>
          </w:p>
        </w:tc>
        <w:tc>
          <w:tcPr>
            <w:tcW w:w="1701" w:type="dxa"/>
          </w:tcPr>
          <w:p w14:paraId="314338ED"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7AEBAE37"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Defining normal activities and processes</w:t>
            </w:r>
          </w:p>
          <w:p w14:paraId="3E87772E"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Central consoles problematic for trying to find/locate the lift that has been designated (esp. for blind and low vision users)</w:t>
            </w:r>
          </w:p>
          <w:p w14:paraId="6DF3FBA5"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Acknowledge that if digital technologies are used in the function of the building (lights, lifts) they must be accessible and should be referenced (if even by other standards) in 4121</w:t>
            </w:r>
          </w:p>
          <w:p w14:paraId="4409E446"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Reference EN301549 for things like digital accessibility</w:t>
            </w:r>
          </w:p>
        </w:tc>
      </w:tr>
      <w:tr w:rsidR="00844C99" w:rsidRPr="00844C99" w14:paraId="4AF998A2" w14:textId="77777777" w:rsidTr="00A44D43">
        <w:tc>
          <w:tcPr>
            <w:tcW w:w="568" w:type="dxa"/>
          </w:tcPr>
          <w:p w14:paraId="3E7CC8C6"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28</w:t>
            </w:r>
          </w:p>
        </w:tc>
        <w:tc>
          <w:tcPr>
            <w:tcW w:w="4394" w:type="dxa"/>
          </w:tcPr>
          <w:p w14:paraId="542F27EC"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Journey planning apps </w:t>
            </w:r>
            <w:proofErr w:type="gramStart"/>
            <w:r w:rsidRPr="00844C99">
              <w:rPr>
                <w:rFonts w:ascii="Calibri" w:hAnsi="Calibri" w:cs="Calibri"/>
                <w:color w:val="auto"/>
                <w:sz w:val="22"/>
                <w:lang w:eastAsia="en-NZ"/>
              </w:rPr>
              <w:t>often</w:t>
            </w:r>
            <w:proofErr w:type="gramEnd"/>
            <w:r w:rsidRPr="00844C99">
              <w:rPr>
                <w:rFonts w:ascii="Calibri" w:hAnsi="Calibri" w:cs="Calibri"/>
                <w:color w:val="auto"/>
                <w:sz w:val="22"/>
                <w:lang w:eastAsia="en-NZ"/>
              </w:rPr>
              <w:t xml:space="preserve"> inaccessible (poor contrast, no voice-over)</w:t>
            </w:r>
          </w:p>
        </w:tc>
        <w:tc>
          <w:tcPr>
            <w:tcW w:w="1701" w:type="dxa"/>
          </w:tcPr>
          <w:p w14:paraId="301B7A54"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2930AA14" w14:textId="50CBFB1F"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Will be covered in Web Standards (not </w:t>
            </w:r>
            <w:r w:rsidR="002C25C0">
              <w:rPr>
                <w:rFonts w:ascii="Calibri" w:hAnsi="Calibri" w:cs="Calibri"/>
                <w:color w:val="auto"/>
                <w:sz w:val="22"/>
              </w:rPr>
              <w:t>Standards New Zealand</w:t>
            </w:r>
            <w:r w:rsidRPr="00844C99">
              <w:rPr>
                <w:rFonts w:ascii="Calibri" w:hAnsi="Calibri" w:cs="Calibri"/>
                <w:color w:val="auto"/>
                <w:sz w:val="22"/>
              </w:rPr>
              <w:t>)</w:t>
            </w:r>
          </w:p>
        </w:tc>
      </w:tr>
      <w:tr w:rsidR="00844C99" w:rsidRPr="00844C99" w14:paraId="0683C13E" w14:textId="77777777" w:rsidTr="00A44D43">
        <w:tc>
          <w:tcPr>
            <w:tcW w:w="568" w:type="dxa"/>
          </w:tcPr>
          <w:p w14:paraId="646150BF"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lastRenderedPageBreak/>
              <w:t>29</w:t>
            </w:r>
          </w:p>
        </w:tc>
        <w:tc>
          <w:tcPr>
            <w:tcW w:w="4394" w:type="dxa"/>
          </w:tcPr>
          <w:p w14:paraId="04639DAF" w14:textId="3735D53C"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Digital payment systems (touchscreens, PayWave) create barriers for older and disabled users</w:t>
            </w:r>
          </w:p>
        </w:tc>
        <w:tc>
          <w:tcPr>
            <w:tcW w:w="1701" w:type="dxa"/>
          </w:tcPr>
          <w:p w14:paraId="7CA5046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61A80990"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Everyone needs to be able to participate in the normal functions of the building without “special” processes (paying for groceries, buying a train ticket, etc.)</w:t>
            </w:r>
          </w:p>
        </w:tc>
      </w:tr>
      <w:tr w:rsidR="00844C99" w:rsidRPr="00844C99" w14:paraId="73749685" w14:textId="77777777" w:rsidTr="00A44D43">
        <w:tc>
          <w:tcPr>
            <w:tcW w:w="568" w:type="dxa"/>
          </w:tcPr>
          <w:p w14:paraId="07991888"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30</w:t>
            </w:r>
          </w:p>
        </w:tc>
        <w:tc>
          <w:tcPr>
            <w:tcW w:w="4394" w:type="dxa"/>
          </w:tcPr>
          <w:p w14:paraId="174EC4F1" w14:textId="629649F3"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Ensure standards keep pace with </w:t>
            </w:r>
            <w:proofErr w:type="gramStart"/>
            <w:r w:rsidRPr="00844C99">
              <w:rPr>
                <w:rFonts w:ascii="Calibri" w:hAnsi="Calibri" w:cs="Calibri"/>
                <w:color w:val="auto"/>
                <w:sz w:val="22"/>
                <w:lang w:eastAsia="en-NZ"/>
              </w:rPr>
              <w:t>technology</w:t>
            </w:r>
            <w:proofErr w:type="gramEnd"/>
            <w:r w:rsidRPr="00844C99">
              <w:rPr>
                <w:rFonts w:ascii="Calibri" w:hAnsi="Calibri" w:cs="Calibri"/>
                <w:color w:val="auto"/>
                <w:sz w:val="22"/>
                <w:lang w:eastAsia="en-NZ"/>
              </w:rPr>
              <w:t xml:space="preserve"> changes</w:t>
            </w:r>
          </w:p>
        </w:tc>
        <w:tc>
          <w:tcPr>
            <w:tcW w:w="1701" w:type="dxa"/>
          </w:tcPr>
          <w:p w14:paraId="43E6197B"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6D6C6BE8"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Consider regular (5 yearly) updates for the high-tech areas that change quickly</w:t>
            </w:r>
          </w:p>
        </w:tc>
      </w:tr>
      <w:tr w:rsidR="00844C99" w:rsidRPr="00844C99" w14:paraId="2626E6AC" w14:textId="77777777" w:rsidTr="00A44D43">
        <w:tc>
          <w:tcPr>
            <w:tcW w:w="568" w:type="dxa"/>
          </w:tcPr>
          <w:p w14:paraId="5ABF543E"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31</w:t>
            </w:r>
          </w:p>
        </w:tc>
        <w:tc>
          <w:tcPr>
            <w:tcW w:w="4394" w:type="dxa"/>
          </w:tcPr>
          <w:p w14:paraId="790FA5F6" w14:textId="62E20541"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Move from “extra for disabled” to “design for all”.</w:t>
            </w:r>
            <w:r w:rsidR="00296634">
              <w:rPr>
                <w:rFonts w:ascii="Calibri" w:hAnsi="Calibri" w:cs="Calibri"/>
                <w:color w:val="auto"/>
                <w:sz w:val="22"/>
                <w:lang w:eastAsia="en-NZ"/>
              </w:rPr>
              <w:t xml:space="preserve"> </w:t>
            </w:r>
            <w:r w:rsidRPr="00844C99">
              <w:rPr>
                <w:rFonts w:ascii="Calibri" w:hAnsi="Calibri" w:cs="Calibri"/>
                <w:color w:val="auto"/>
                <w:sz w:val="22"/>
                <w:lang w:eastAsia="en-NZ"/>
              </w:rPr>
              <w:t>Accessibility benefits everyone (e.g., prams, ESL users)</w:t>
            </w:r>
          </w:p>
        </w:tc>
        <w:tc>
          <w:tcPr>
            <w:tcW w:w="1701" w:type="dxa"/>
          </w:tcPr>
          <w:p w14:paraId="685ECD98"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2063809D" w14:textId="52BF12D0" w:rsidR="00DF2648"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Push for universal design principles</w:t>
            </w:r>
          </w:p>
          <w:p w14:paraId="711BEFFE" w14:textId="77777777" w:rsidR="00844C99" w:rsidRDefault="00DF2648" w:rsidP="00EB678A">
            <w:pPr>
              <w:numPr>
                <w:ilvl w:val="0"/>
                <w:numId w:val="11"/>
              </w:numPr>
              <w:spacing w:after="0" w:line="240" w:lineRule="auto"/>
              <w:contextualSpacing/>
              <w:rPr>
                <w:rFonts w:ascii="Calibri" w:hAnsi="Calibri" w:cs="Calibri"/>
                <w:color w:val="auto"/>
                <w:sz w:val="22"/>
                <w:lang w:eastAsia="en-NZ"/>
              </w:rPr>
            </w:pPr>
            <w:r>
              <w:rPr>
                <w:rFonts w:ascii="Calibri" w:hAnsi="Calibri" w:cs="Calibri"/>
                <w:color w:val="auto"/>
                <w:sz w:val="22"/>
                <w:lang w:eastAsia="en-NZ"/>
              </w:rPr>
              <w:t>Use</w:t>
            </w:r>
            <w:r w:rsidR="0021538E">
              <w:rPr>
                <w:rFonts w:ascii="Calibri" w:hAnsi="Calibri" w:cs="Calibri"/>
                <w:color w:val="auto"/>
                <w:sz w:val="22"/>
                <w:lang w:eastAsia="en-NZ"/>
              </w:rPr>
              <w:t xml:space="preserve"> language that acknowledges that accessibility is for everyone</w:t>
            </w:r>
            <w:r w:rsidR="00844C99" w:rsidRPr="00844C99">
              <w:rPr>
                <w:rFonts w:ascii="Calibri" w:hAnsi="Calibri" w:cs="Calibri"/>
                <w:color w:val="auto"/>
                <w:sz w:val="22"/>
                <w:lang w:eastAsia="en-NZ"/>
              </w:rPr>
              <w:t>.</w:t>
            </w:r>
          </w:p>
          <w:p w14:paraId="18022A8B" w14:textId="15A04FDE" w:rsidR="000D31F7" w:rsidRPr="00844C99" w:rsidRDefault="000D31F7" w:rsidP="00EB678A">
            <w:pPr>
              <w:numPr>
                <w:ilvl w:val="0"/>
                <w:numId w:val="11"/>
              </w:numPr>
              <w:spacing w:after="0" w:line="240" w:lineRule="auto"/>
              <w:contextualSpacing/>
              <w:rPr>
                <w:rFonts w:ascii="Calibri" w:hAnsi="Calibri" w:cs="Calibri"/>
                <w:color w:val="auto"/>
                <w:sz w:val="22"/>
                <w:lang w:eastAsia="en-NZ"/>
              </w:rPr>
            </w:pPr>
            <w:proofErr w:type="gramStart"/>
            <w:r>
              <w:rPr>
                <w:rFonts w:ascii="Calibri" w:hAnsi="Calibri" w:cs="Calibri"/>
                <w:color w:val="auto"/>
                <w:sz w:val="22"/>
                <w:lang w:eastAsia="en-NZ"/>
              </w:rPr>
              <w:t>Could</w:t>
            </w:r>
            <w:proofErr w:type="gramEnd"/>
            <w:r>
              <w:rPr>
                <w:rFonts w:ascii="Calibri" w:hAnsi="Calibri" w:cs="Calibri"/>
                <w:color w:val="auto"/>
                <w:sz w:val="22"/>
                <w:lang w:eastAsia="en-NZ"/>
              </w:rPr>
              <w:t xml:space="preserve"> be beneficial to note the economic benefit of making public spaces accessible?</w:t>
            </w:r>
          </w:p>
        </w:tc>
      </w:tr>
      <w:tr w:rsidR="00844C99" w:rsidRPr="00844C99" w14:paraId="7CD6C5A2" w14:textId="77777777" w:rsidTr="00A44D43">
        <w:tc>
          <w:tcPr>
            <w:tcW w:w="568" w:type="dxa"/>
          </w:tcPr>
          <w:p w14:paraId="3D6C1599"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32</w:t>
            </w:r>
          </w:p>
        </w:tc>
        <w:tc>
          <w:tcPr>
            <w:tcW w:w="4394" w:type="dxa"/>
          </w:tcPr>
          <w:p w14:paraId="76856280" w14:textId="68794269"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Accessibility treated as an “extra” rather than integral or “too expensive”; needs cultural shift. Accessibility is a human right, not an optional extra</w:t>
            </w:r>
          </w:p>
        </w:tc>
        <w:tc>
          <w:tcPr>
            <w:tcW w:w="1701" w:type="dxa"/>
          </w:tcPr>
          <w:p w14:paraId="7620B31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 Other</w:t>
            </w:r>
          </w:p>
        </w:tc>
        <w:tc>
          <w:tcPr>
            <w:tcW w:w="7371" w:type="dxa"/>
          </w:tcPr>
          <w:p w14:paraId="5F849862" w14:textId="3098942D"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 xml:space="preserve">Consider introducing an Accessibility Act </w:t>
            </w:r>
            <w:proofErr w:type="gramStart"/>
            <w:r w:rsidRPr="00844C99">
              <w:rPr>
                <w:rFonts w:ascii="Calibri" w:hAnsi="Calibri" w:cs="Calibri"/>
                <w:color w:val="auto"/>
                <w:sz w:val="22"/>
                <w:lang w:eastAsia="en-NZ"/>
              </w:rPr>
              <w:t>similar to</w:t>
            </w:r>
            <w:proofErr w:type="gramEnd"/>
            <w:r w:rsidRPr="00844C99">
              <w:rPr>
                <w:rFonts w:ascii="Calibri" w:hAnsi="Calibri" w:cs="Calibri"/>
                <w:color w:val="auto"/>
                <w:sz w:val="22"/>
                <w:lang w:eastAsia="en-NZ"/>
              </w:rPr>
              <w:t xml:space="preserve"> Australia’s Access to Premises Act</w:t>
            </w:r>
          </w:p>
        </w:tc>
      </w:tr>
      <w:tr w:rsidR="00844C99" w:rsidRPr="00844C99" w14:paraId="2F0149CA" w14:textId="77777777" w:rsidTr="00A44D43">
        <w:tc>
          <w:tcPr>
            <w:tcW w:w="568" w:type="dxa"/>
          </w:tcPr>
          <w:p w14:paraId="5668D67B"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33</w:t>
            </w:r>
          </w:p>
        </w:tc>
        <w:tc>
          <w:tcPr>
            <w:tcW w:w="4394" w:type="dxa"/>
          </w:tcPr>
          <w:p w14:paraId="0EF905A0" w14:textId="0EF59B9A"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Some institutions (e.g., universities) have higher internal standards (living documents)</w:t>
            </w:r>
          </w:p>
        </w:tc>
        <w:tc>
          <w:tcPr>
            <w:tcW w:w="1701" w:type="dxa"/>
          </w:tcPr>
          <w:p w14:paraId="025995E8"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41D8A366" w14:textId="64BF3C24" w:rsidR="00844C99" w:rsidRPr="00770055" w:rsidRDefault="00770055" w:rsidP="000F03A2">
            <w:pPr>
              <w:pStyle w:val="ListParagraph"/>
              <w:numPr>
                <w:ilvl w:val="0"/>
                <w:numId w:val="71"/>
              </w:numPr>
              <w:spacing w:after="0" w:line="240" w:lineRule="auto"/>
              <w:rPr>
                <w:rFonts w:ascii="Calibri" w:hAnsi="Calibri" w:cs="Calibri"/>
                <w:color w:val="auto"/>
                <w:sz w:val="22"/>
              </w:rPr>
            </w:pPr>
            <w:r w:rsidRPr="00770055">
              <w:rPr>
                <w:rFonts w:ascii="Calibri" w:hAnsi="Calibri" w:cs="Calibri"/>
                <w:color w:val="auto"/>
                <w:sz w:val="22"/>
              </w:rPr>
              <w:t>Noted</w:t>
            </w:r>
          </w:p>
        </w:tc>
      </w:tr>
      <w:tr w:rsidR="00844C99" w:rsidRPr="00844C99" w14:paraId="43466F68" w14:textId="77777777" w:rsidTr="00A44D43">
        <w:tc>
          <w:tcPr>
            <w:tcW w:w="568" w:type="dxa"/>
          </w:tcPr>
          <w:p w14:paraId="5F788AAB"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34</w:t>
            </w:r>
          </w:p>
        </w:tc>
        <w:tc>
          <w:tcPr>
            <w:tcW w:w="4394" w:type="dxa"/>
          </w:tcPr>
          <w:p w14:paraId="2E6CBC7B" w14:textId="7F5F142B"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Need flexibility based on context</w:t>
            </w:r>
          </w:p>
        </w:tc>
        <w:tc>
          <w:tcPr>
            <w:tcW w:w="1701" w:type="dxa"/>
          </w:tcPr>
          <w:p w14:paraId="1C8785EA"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16292393"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The need for variations of the standard for different building typologies such as childcare </w:t>
            </w:r>
            <w:proofErr w:type="spellStart"/>
            <w:r w:rsidRPr="00844C99">
              <w:rPr>
                <w:rFonts w:ascii="Calibri" w:hAnsi="Calibri" w:cs="Calibri"/>
                <w:color w:val="auto"/>
                <w:sz w:val="22"/>
              </w:rPr>
              <w:t>centres</w:t>
            </w:r>
            <w:proofErr w:type="spellEnd"/>
            <w:r w:rsidRPr="00844C99">
              <w:rPr>
                <w:rFonts w:ascii="Calibri" w:hAnsi="Calibri" w:cs="Calibri"/>
                <w:color w:val="auto"/>
                <w:sz w:val="22"/>
              </w:rPr>
              <w:t xml:space="preserve">, schools, justice, hospital care </w:t>
            </w:r>
            <w:proofErr w:type="spellStart"/>
            <w:r w:rsidRPr="00844C99">
              <w:rPr>
                <w:rFonts w:ascii="Calibri" w:hAnsi="Calibri" w:cs="Calibri"/>
                <w:color w:val="auto"/>
                <w:sz w:val="22"/>
              </w:rPr>
              <w:t>etc</w:t>
            </w:r>
            <w:proofErr w:type="spellEnd"/>
            <w:r w:rsidRPr="00844C99">
              <w:rPr>
                <w:rFonts w:ascii="Calibri" w:hAnsi="Calibri" w:cs="Calibri"/>
                <w:color w:val="auto"/>
                <w:sz w:val="22"/>
              </w:rPr>
              <w:t> </w:t>
            </w:r>
          </w:p>
        </w:tc>
      </w:tr>
      <w:tr w:rsidR="00844C99" w:rsidRPr="00844C99" w14:paraId="092A3794" w14:textId="77777777" w:rsidTr="00A44D43">
        <w:tc>
          <w:tcPr>
            <w:tcW w:w="568" w:type="dxa"/>
          </w:tcPr>
          <w:p w14:paraId="002CBAAF"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35</w:t>
            </w:r>
          </w:p>
        </w:tc>
        <w:tc>
          <w:tcPr>
            <w:tcW w:w="4394" w:type="dxa"/>
          </w:tcPr>
          <w:p w14:paraId="4F026D24" w14:textId="7D95C2C8"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Wheelchair international symbol of access is outdated; consider alternatives</w:t>
            </w:r>
          </w:p>
        </w:tc>
        <w:tc>
          <w:tcPr>
            <w:tcW w:w="1701" w:type="dxa"/>
          </w:tcPr>
          <w:p w14:paraId="2B21E64E"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377D6E0C" w14:textId="77777777" w:rsidR="00CF0C43" w:rsidRDefault="00844C99" w:rsidP="00CF0C43">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Australia has better info on signage about where grab rails are, what direction to go, difference between a changing place and toilet</w:t>
            </w:r>
          </w:p>
          <w:p w14:paraId="161BE591" w14:textId="525E1F49" w:rsidR="00844C99" w:rsidRPr="00196BDC" w:rsidRDefault="00CF0C43" w:rsidP="00CF0C43">
            <w:pPr>
              <w:numPr>
                <w:ilvl w:val="0"/>
                <w:numId w:val="11"/>
              </w:numPr>
              <w:spacing w:after="0" w:line="240" w:lineRule="auto"/>
              <w:contextualSpacing/>
              <w:rPr>
                <w:rFonts w:ascii="Calibri" w:hAnsi="Calibri" w:cs="Calibri"/>
                <w:color w:val="auto"/>
                <w:sz w:val="22"/>
              </w:rPr>
            </w:pPr>
            <w:r w:rsidRPr="00CF0C43">
              <w:rPr>
                <w:rFonts w:ascii="Calibri" w:hAnsi="Calibri" w:cs="Calibri"/>
                <w:color w:val="auto"/>
                <w:sz w:val="22"/>
                <w:lang w:val="en-NZ"/>
              </w:rPr>
              <w:t>International Symbol of Access</w:t>
            </w:r>
            <w:r>
              <w:rPr>
                <w:rFonts w:ascii="Calibri" w:hAnsi="Calibri" w:cs="Calibri"/>
                <w:color w:val="auto"/>
                <w:sz w:val="22"/>
              </w:rPr>
              <w:t xml:space="preserve"> (</w:t>
            </w:r>
            <w:r w:rsidR="00844C99" w:rsidRPr="00CF0C43">
              <w:rPr>
                <w:rFonts w:ascii="Calibri" w:hAnsi="Calibri" w:cs="Calibri"/>
                <w:color w:val="auto"/>
                <w:sz w:val="22"/>
              </w:rPr>
              <w:t>ISA</w:t>
            </w:r>
            <w:r>
              <w:rPr>
                <w:rFonts w:ascii="Calibri" w:hAnsi="Calibri" w:cs="Calibri"/>
                <w:color w:val="auto"/>
                <w:sz w:val="22"/>
              </w:rPr>
              <w:t>)</w:t>
            </w:r>
            <w:r w:rsidR="00844C99" w:rsidRPr="00CF0C43">
              <w:rPr>
                <w:rFonts w:ascii="Calibri" w:hAnsi="Calibri" w:cs="Calibri"/>
                <w:color w:val="auto"/>
                <w:sz w:val="22"/>
              </w:rPr>
              <w:t xml:space="preserve"> is owned by </w:t>
            </w:r>
            <w:r w:rsidR="00844C99" w:rsidRPr="00196BDC">
              <w:rPr>
                <w:rFonts w:ascii="Calibri" w:hAnsi="Calibri" w:cs="Calibri"/>
                <w:color w:val="auto"/>
                <w:sz w:val="22"/>
              </w:rPr>
              <w:t xml:space="preserve">Rehab International and would need to be consulted about any change, especially when altering the existing international symbol could then be </w:t>
            </w:r>
            <w:proofErr w:type="spellStart"/>
            <w:r w:rsidR="00844C99" w:rsidRPr="00196BDC">
              <w:rPr>
                <w:rFonts w:ascii="Calibri" w:hAnsi="Calibri" w:cs="Calibri"/>
                <w:color w:val="auto"/>
                <w:sz w:val="22"/>
              </w:rPr>
              <w:t>unrecognisable</w:t>
            </w:r>
            <w:proofErr w:type="spellEnd"/>
          </w:p>
          <w:p w14:paraId="47429D21" w14:textId="77777777" w:rsidR="00844C99" w:rsidRPr="00196BDC" w:rsidRDefault="00844C99" w:rsidP="00EB678A">
            <w:pPr>
              <w:numPr>
                <w:ilvl w:val="0"/>
                <w:numId w:val="11"/>
              </w:numPr>
              <w:spacing w:after="0" w:line="240" w:lineRule="auto"/>
              <w:contextualSpacing/>
              <w:rPr>
                <w:rFonts w:ascii="Calibri" w:hAnsi="Calibri" w:cs="Calibri"/>
                <w:color w:val="auto"/>
                <w:sz w:val="22"/>
              </w:rPr>
            </w:pPr>
            <w:r w:rsidRPr="00196BDC">
              <w:rPr>
                <w:rFonts w:ascii="Calibri" w:hAnsi="Calibri" w:cs="Calibri"/>
                <w:color w:val="auto"/>
                <w:sz w:val="22"/>
              </w:rPr>
              <w:t>Need to agree NZ applicable signage for: Health NZ Fire Guide</w:t>
            </w:r>
          </w:p>
          <w:p w14:paraId="6192D054" w14:textId="77777777" w:rsidR="00844C99" w:rsidRPr="00196BDC" w:rsidRDefault="00844C99" w:rsidP="000F03A2">
            <w:pPr>
              <w:numPr>
                <w:ilvl w:val="0"/>
                <w:numId w:val="70"/>
              </w:numPr>
              <w:spacing w:after="0" w:line="240" w:lineRule="auto"/>
              <w:rPr>
                <w:rFonts w:ascii="Calibri" w:hAnsi="Calibri" w:cs="Calibri"/>
                <w:color w:val="auto"/>
                <w:sz w:val="22"/>
              </w:rPr>
            </w:pPr>
            <w:r w:rsidRPr="00196BDC">
              <w:rPr>
                <w:rFonts w:ascii="Calibri" w:hAnsi="Calibri" w:cs="Calibri"/>
                <w:color w:val="auto"/>
                <w:sz w:val="22"/>
              </w:rPr>
              <w:t>Evacuation Lifts (positive and negative reinforcement signs)</w:t>
            </w:r>
          </w:p>
          <w:p w14:paraId="584F2272" w14:textId="77777777" w:rsidR="00844C99" w:rsidRPr="00196BDC" w:rsidRDefault="00844C99" w:rsidP="000F03A2">
            <w:pPr>
              <w:numPr>
                <w:ilvl w:val="0"/>
                <w:numId w:val="70"/>
              </w:numPr>
              <w:spacing w:after="0" w:line="240" w:lineRule="auto"/>
              <w:rPr>
                <w:rFonts w:ascii="Calibri" w:hAnsi="Calibri" w:cs="Calibri"/>
                <w:color w:val="auto"/>
                <w:sz w:val="22"/>
              </w:rPr>
            </w:pPr>
            <w:r w:rsidRPr="00196BDC">
              <w:rPr>
                <w:rFonts w:ascii="Calibri" w:hAnsi="Calibri" w:cs="Calibri"/>
                <w:color w:val="auto"/>
                <w:sz w:val="22"/>
              </w:rPr>
              <w:t>Internal Refuges / Muster Points (Otago Uni Guide)</w:t>
            </w:r>
          </w:p>
          <w:p w14:paraId="6EE959E2" w14:textId="77777777" w:rsidR="00844C99" w:rsidRPr="00844C99" w:rsidRDefault="00844C99" w:rsidP="000F03A2">
            <w:pPr>
              <w:numPr>
                <w:ilvl w:val="0"/>
                <w:numId w:val="70"/>
              </w:numPr>
              <w:spacing w:after="0" w:line="240" w:lineRule="auto"/>
              <w:rPr>
                <w:rFonts w:ascii="Calibri" w:hAnsi="Calibri" w:cs="Calibri"/>
                <w:color w:val="auto"/>
                <w:sz w:val="22"/>
              </w:rPr>
            </w:pPr>
            <w:r w:rsidRPr="00844C99">
              <w:rPr>
                <w:rFonts w:ascii="Calibri" w:hAnsi="Calibri" w:cs="Calibri"/>
                <w:color w:val="auto"/>
                <w:sz w:val="22"/>
              </w:rPr>
              <w:t>Wayfinding signage to Internal Refuges / Muster Points</w:t>
            </w:r>
          </w:p>
        </w:tc>
      </w:tr>
      <w:tr w:rsidR="00844C99" w:rsidRPr="00844C99" w14:paraId="6FF26CD8" w14:textId="77777777" w:rsidTr="00A44D43">
        <w:tc>
          <w:tcPr>
            <w:tcW w:w="568" w:type="dxa"/>
          </w:tcPr>
          <w:p w14:paraId="33A2E1A3"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36</w:t>
            </w:r>
          </w:p>
        </w:tc>
        <w:tc>
          <w:tcPr>
            <w:tcW w:w="4394" w:type="dxa"/>
          </w:tcPr>
          <w:p w14:paraId="0AB6FEE3" w14:textId="755E7AF3"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Design for more than one disabled person at a time (e.g., car parks)</w:t>
            </w:r>
          </w:p>
        </w:tc>
        <w:tc>
          <w:tcPr>
            <w:tcW w:w="1701" w:type="dxa"/>
          </w:tcPr>
          <w:p w14:paraId="295D07A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70FC8768"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When more than one disabled person is in the car, when the need to open the back door for a child or access the boot</w:t>
            </w:r>
          </w:p>
          <w:p w14:paraId="22E3A1E3"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Majority of users are the ageing population, making a larger need for increased size and quantities</w:t>
            </w:r>
          </w:p>
          <w:p w14:paraId="11C633BF"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lastRenderedPageBreak/>
              <w:t>Ratios for disabled parking can vary (and based on lower statistics), increased number needed for hospitals/care facilities/accommodation/schools</w:t>
            </w:r>
          </w:p>
          <w:p w14:paraId="7BBBD54A"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Buildings that have no car parking need drop-off car spaces, and the accessible route should start from when someone would have to get out of a car (pedestrian only walkways also)</w:t>
            </w:r>
          </w:p>
        </w:tc>
      </w:tr>
      <w:tr w:rsidR="00844C99" w:rsidRPr="00844C99" w14:paraId="2374EBB3" w14:textId="77777777" w:rsidTr="00A44D43">
        <w:tc>
          <w:tcPr>
            <w:tcW w:w="568" w:type="dxa"/>
          </w:tcPr>
          <w:p w14:paraId="42468923"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lastRenderedPageBreak/>
              <w:t>37</w:t>
            </w:r>
          </w:p>
        </w:tc>
        <w:tc>
          <w:tcPr>
            <w:tcW w:w="4394" w:type="dxa"/>
          </w:tcPr>
          <w:p w14:paraId="2707E87F" w14:textId="2E4E5B25"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Address conflicts (e.g., bright light for low vision vs sensory overload for autistic users)</w:t>
            </w:r>
          </w:p>
        </w:tc>
        <w:tc>
          <w:tcPr>
            <w:tcW w:w="1701" w:type="dxa"/>
          </w:tcPr>
          <w:p w14:paraId="756F0F60"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40ADBB67"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Zone lighting, have brighter lights in some areas (</w:t>
            </w:r>
            <w:proofErr w:type="spellStart"/>
            <w:r w:rsidRPr="00844C99">
              <w:rPr>
                <w:rFonts w:ascii="Calibri" w:hAnsi="Calibri" w:cs="Calibri"/>
                <w:color w:val="auto"/>
                <w:sz w:val="22"/>
              </w:rPr>
              <w:t>ie</w:t>
            </w:r>
            <w:proofErr w:type="spellEnd"/>
            <w:r w:rsidRPr="00844C99">
              <w:rPr>
                <w:rFonts w:ascii="Calibri" w:hAnsi="Calibri" w:cs="Calibri"/>
                <w:color w:val="auto"/>
                <w:sz w:val="22"/>
              </w:rPr>
              <w:t>. Office space) and lower lights in other</w:t>
            </w:r>
          </w:p>
          <w:p w14:paraId="63FB3D0D" w14:textId="53E596C3"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Conflicting access needs are a key reason why there needs to be some flexibility in standards (</w:t>
            </w:r>
            <w:r w:rsidR="006128F9">
              <w:rPr>
                <w:rFonts w:ascii="Calibri" w:hAnsi="Calibri" w:cs="Calibri"/>
                <w:color w:val="auto"/>
                <w:sz w:val="22"/>
              </w:rPr>
              <w:t xml:space="preserve">in other words, </w:t>
            </w:r>
            <w:r w:rsidRPr="00844C99">
              <w:rPr>
                <w:rFonts w:ascii="Calibri" w:hAnsi="Calibri" w:cs="Calibri"/>
                <w:color w:val="auto"/>
                <w:sz w:val="22"/>
              </w:rPr>
              <w:t>flashing fire alarms can set off seizures if they</w:t>
            </w:r>
            <w:r w:rsidR="00995EB8">
              <w:rPr>
                <w:rFonts w:ascii="Calibri" w:hAnsi="Calibri" w:cs="Calibri"/>
                <w:color w:val="auto"/>
                <w:sz w:val="22"/>
              </w:rPr>
              <w:t xml:space="preserve"> are</w:t>
            </w:r>
            <w:r w:rsidRPr="00844C99">
              <w:rPr>
                <w:rFonts w:ascii="Calibri" w:hAnsi="Calibri" w:cs="Calibri"/>
                <w:color w:val="auto"/>
                <w:sz w:val="22"/>
              </w:rPr>
              <w:t xml:space="preserve"> not programmed to flash in a specific way, someone might need a service dog but another person in their office might have a severe allergy)</w:t>
            </w:r>
          </w:p>
          <w:p w14:paraId="3862055F"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“Reasonable accommodations” can be put into place in working environments</w:t>
            </w:r>
          </w:p>
        </w:tc>
      </w:tr>
      <w:tr w:rsidR="00844C99" w:rsidRPr="00844C99" w14:paraId="6AAC5FFE" w14:textId="77777777" w:rsidTr="00A44D43">
        <w:tc>
          <w:tcPr>
            <w:tcW w:w="568" w:type="dxa"/>
          </w:tcPr>
          <w:p w14:paraId="5782F1DD"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38</w:t>
            </w:r>
          </w:p>
        </w:tc>
        <w:tc>
          <w:tcPr>
            <w:tcW w:w="4394" w:type="dxa"/>
          </w:tcPr>
          <w:p w14:paraId="5585A232" w14:textId="0F0B7435"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Lighting and contrast have insufficient guidance; needs clear standards for glare, patterning, visual </w:t>
            </w:r>
            <w:proofErr w:type="gramStart"/>
            <w:r w:rsidRPr="00844C99">
              <w:rPr>
                <w:rFonts w:ascii="Calibri" w:hAnsi="Calibri" w:cs="Calibri"/>
                <w:color w:val="auto"/>
                <w:sz w:val="22"/>
                <w:lang w:eastAsia="en-NZ"/>
              </w:rPr>
              <w:t>clutter</w:t>
            </w:r>
            <w:proofErr w:type="gramEnd"/>
          </w:p>
          <w:p w14:paraId="02AC3C1F"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Controls and fittings should contrast for visibility</w:t>
            </w:r>
          </w:p>
        </w:tc>
        <w:tc>
          <w:tcPr>
            <w:tcW w:w="1701" w:type="dxa"/>
          </w:tcPr>
          <w:p w14:paraId="248B3094"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0AD363E8" w14:textId="735DDFC8" w:rsidR="00844C99" w:rsidRPr="00770055" w:rsidRDefault="00844C99" w:rsidP="000F03A2">
            <w:pPr>
              <w:pStyle w:val="ListParagraph"/>
              <w:numPr>
                <w:ilvl w:val="0"/>
                <w:numId w:val="72"/>
              </w:numPr>
              <w:spacing w:after="0" w:line="240" w:lineRule="auto"/>
              <w:rPr>
                <w:rFonts w:ascii="Calibri" w:hAnsi="Calibri" w:cs="Calibri"/>
                <w:color w:val="auto"/>
                <w:sz w:val="22"/>
              </w:rPr>
            </w:pPr>
            <w:r w:rsidRPr="00770055">
              <w:rPr>
                <w:rFonts w:ascii="Calibri" w:hAnsi="Calibri" w:cs="Calibri"/>
                <w:color w:val="auto"/>
                <w:sz w:val="22"/>
              </w:rPr>
              <w:t>AS/NZS 1680.5:2012 (Interior and workplace lighting) provides extensive guidance and recommendations for controlling glare</w:t>
            </w:r>
          </w:p>
        </w:tc>
      </w:tr>
      <w:tr w:rsidR="00844C99" w:rsidRPr="00844C99" w14:paraId="0AC2E487" w14:textId="77777777" w:rsidTr="00A44D43">
        <w:tc>
          <w:tcPr>
            <w:tcW w:w="568" w:type="dxa"/>
          </w:tcPr>
          <w:p w14:paraId="71EB939F"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39</w:t>
            </w:r>
          </w:p>
        </w:tc>
        <w:tc>
          <w:tcPr>
            <w:tcW w:w="4394" w:type="dxa"/>
          </w:tcPr>
          <w:p w14:paraId="758B40BB" w14:textId="735EF364"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Include tactile signage and Braille placement improvements (braille next to buttons not on them)</w:t>
            </w:r>
          </w:p>
        </w:tc>
        <w:tc>
          <w:tcPr>
            <w:tcW w:w="1701" w:type="dxa"/>
          </w:tcPr>
          <w:p w14:paraId="7A3F3D71"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67250D76"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Making this mandatory instead of “nice to have”</w:t>
            </w:r>
          </w:p>
          <w:p w14:paraId="138259FC" w14:textId="4043A790"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Further specification on font styles and placement so non-tactile signage is easily legible (</w:t>
            </w:r>
            <w:proofErr w:type="spellStart"/>
            <w:r w:rsidR="00196BDC">
              <w:rPr>
                <w:rFonts w:ascii="Calibri" w:hAnsi="Calibri" w:cs="Calibri"/>
                <w:color w:val="auto"/>
                <w:sz w:val="22"/>
              </w:rPr>
              <w:t>s</w:t>
            </w:r>
            <w:r w:rsidR="00196BDC" w:rsidRPr="00844C99">
              <w:rPr>
                <w:rFonts w:ascii="Calibri" w:hAnsi="Calibri" w:cs="Calibri"/>
                <w:color w:val="auto"/>
                <w:sz w:val="22"/>
              </w:rPr>
              <w:t>an</w:t>
            </w:r>
            <w:proofErr w:type="spellEnd"/>
            <w:r w:rsidRPr="00844C99">
              <w:rPr>
                <w:rFonts w:ascii="Calibri" w:hAnsi="Calibri" w:cs="Calibri"/>
                <w:color w:val="auto"/>
                <w:sz w:val="22"/>
              </w:rPr>
              <w:t>-serif vs serif)</w:t>
            </w:r>
          </w:p>
        </w:tc>
      </w:tr>
      <w:tr w:rsidR="00844C99" w:rsidRPr="00844C99" w14:paraId="0E3AB4F8" w14:textId="77777777" w:rsidTr="00A44D43">
        <w:tc>
          <w:tcPr>
            <w:tcW w:w="568" w:type="dxa"/>
          </w:tcPr>
          <w:p w14:paraId="71C5C98F"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40</w:t>
            </w:r>
          </w:p>
        </w:tc>
        <w:tc>
          <w:tcPr>
            <w:tcW w:w="4394" w:type="dxa"/>
          </w:tcPr>
          <w:p w14:paraId="4BD26DD5" w14:textId="4DF827F5"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Acoustics aren’t mentioned - Hard surfaces </w:t>
            </w:r>
            <w:r w:rsidR="003A1C83">
              <w:rPr>
                <w:rFonts w:ascii="Calibri" w:hAnsi="Calibri" w:cs="Calibri"/>
                <w:color w:val="auto"/>
                <w:sz w:val="22"/>
                <w:lang w:eastAsia="en-NZ"/>
              </w:rPr>
              <w:t xml:space="preserve">can </w:t>
            </w:r>
            <w:r w:rsidRPr="00844C99">
              <w:rPr>
                <w:rFonts w:ascii="Calibri" w:hAnsi="Calibri" w:cs="Calibri"/>
                <w:color w:val="auto"/>
                <w:sz w:val="22"/>
                <w:lang w:eastAsia="en-NZ"/>
              </w:rPr>
              <w:t xml:space="preserve">create noise issues for autistic and </w:t>
            </w:r>
            <w:r w:rsidR="003A1C83">
              <w:rPr>
                <w:rFonts w:ascii="Calibri" w:hAnsi="Calibri" w:cs="Calibri"/>
                <w:color w:val="auto"/>
                <w:sz w:val="22"/>
                <w:lang w:eastAsia="en-NZ"/>
              </w:rPr>
              <w:t xml:space="preserve">hard of hearing </w:t>
            </w:r>
            <w:r w:rsidRPr="00844C99">
              <w:rPr>
                <w:rFonts w:ascii="Calibri" w:hAnsi="Calibri" w:cs="Calibri"/>
                <w:color w:val="auto"/>
                <w:sz w:val="22"/>
                <w:lang w:eastAsia="en-NZ"/>
              </w:rPr>
              <w:t>users</w:t>
            </w:r>
          </w:p>
        </w:tc>
        <w:tc>
          <w:tcPr>
            <w:tcW w:w="1701" w:type="dxa"/>
          </w:tcPr>
          <w:p w14:paraId="62CC5A05"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54A66342"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 xml:space="preserve">Classrooms </w:t>
            </w:r>
            <w:proofErr w:type="spellStart"/>
            <w:r w:rsidRPr="00844C99">
              <w:rPr>
                <w:rFonts w:ascii="Calibri" w:hAnsi="Calibri" w:cs="Calibri"/>
                <w:color w:val="auto"/>
                <w:sz w:val="22"/>
              </w:rPr>
              <w:t>emphasised</w:t>
            </w:r>
            <w:proofErr w:type="spellEnd"/>
            <w:r w:rsidRPr="00844C99">
              <w:rPr>
                <w:rFonts w:ascii="Calibri" w:hAnsi="Calibri" w:cs="Calibri"/>
                <w:color w:val="auto"/>
                <w:sz w:val="22"/>
              </w:rPr>
              <w:t xml:space="preserve"> here</w:t>
            </w:r>
          </w:p>
        </w:tc>
      </w:tr>
      <w:tr w:rsidR="00844C99" w:rsidRPr="00844C99" w14:paraId="1C9FC633" w14:textId="77777777" w:rsidTr="00A44D43">
        <w:tc>
          <w:tcPr>
            <w:tcW w:w="568" w:type="dxa"/>
          </w:tcPr>
          <w:p w14:paraId="7D3D4756"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41</w:t>
            </w:r>
          </w:p>
        </w:tc>
        <w:tc>
          <w:tcPr>
            <w:tcW w:w="4394" w:type="dxa"/>
          </w:tcPr>
          <w:p w14:paraId="32E6A5C1"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Need low sensory spaces for neurodiverse users</w:t>
            </w:r>
          </w:p>
        </w:tc>
        <w:tc>
          <w:tcPr>
            <w:tcW w:w="1701" w:type="dxa"/>
          </w:tcPr>
          <w:p w14:paraId="5571AC29"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04E692F0"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proofErr w:type="gramStart"/>
            <w:r w:rsidRPr="00844C99">
              <w:rPr>
                <w:rFonts w:ascii="Calibri" w:hAnsi="Calibri" w:cs="Calibri"/>
                <w:color w:val="auto"/>
                <w:sz w:val="22"/>
              </w:rPr>
              <w:t>Can</w:t>
            </w:r>
            <w:proofErr w:type="gramEnd"/>
            <w:r w:rsidRPr="00844C99">
              <w:rPr>
                <w:rFonts w:ascii="Calibri" w:hAnsi="Calibri" w:cs="Calibri"/>
                <w:color w:val="auto"/>
                <w:sz w:val="22"/>
              </w:rPr>
              <w:t xml:space="preserve"> be multi-</w:t>
            </w:r>
            <w:proofErr w:type="gramStart"/>
            <w:r w:rsidRPr="00844C99">
              <w:rPr>
                <w:rFonts w:ascii="Calibri" w:hAnsi="Calibri" w:cs="Calibri"/>
                <w:color w:val="auto"/>
                <w:sz w:val="22"/>
              </w:rPr>
              <w:t>purpose</w:t>
            </w:r>
            <w:proofErr w:type="gramEnd"/>
            <w:r w:rsidRPr="00844C99">
              <w:rPr>
                <w:rFonts w:ascii="Calibri" w:hAnsi="Calibri" w:cs="Calibri"/>
                <w:color w:val="auto"/>
                <w:sz w:val="22"/>
              </w:rPr>
              <w:t xml:space="preserve"> but providing a space for low-light, noise softening and low-impact for people with sensory needs to reset</w:t>
            </w:r>
          </w:p>
        </w:tc>
      </w:tr>
      <w:tr w:rsidR="00844C99" w:rsidRPr="00844C99" w14:paraId="48E8367F" w14:textId="77777777" w:rsidTr="00A44D43">
        <w:tc>
          <w:tcPr>
            <w:tcW w:w="568" w:type="dxa"/>
          </w:tcPr>
          <w:p w14:paraId="3883512B"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42</w:t>
            </w:r>
          </w:p>
        </w:tc>
        <w:tc>
          <w:tcPr>
            <w:tcW w:w="4394" w:type="dxa"/>
          </w:tcPr>
          <w:p w14:paraId="20CDB2C5" w14:textId="4421B626" w:rsidR="00844C99" w:rsidRPr="00844C99" w:rsidRDefault="00844C99" w:rsidP="00844C99">
            <w:pPr>
              <w:spacing w:after="0" w:line="240" w:lineRule="auto"/>
              <w:rPr>
                <w:rFonts w:ascii="Calibri" w:hAnsi="Calibri" w:cs="Calibri"/>
                <w:color w:val="auto"/>
                <w:sz w:val="22"/>
                <w:lang w:eastAsia="en-NZ"/>
              </w:rPr>
            </w:pPr>
            <w:proofErr w:type="spellStart"/>
            <w:r w:rsidRPr="00844C99">
              <w:rPr>
                <w:rFonts w:ascii="Calibri" w:hAnsi="Calibri" w:cs="Calibri"/>
                <w:color w:val="auto"/>
                <w:sz w:val="22"/>
                <w:lang w:eastAsia="en-NZ"/>
              </w:rPr>
              <w:t>Kerb</w:t>
            </w:r>
            <w:proofErr w:type="spellEnd"/>
            <w:r w:rsidRPr="00844C99">
              <w:rPr>
                <w:rFonts w:ascii="Calibri" w:hAnsi="Calibri" w:cs="Calibri"/>
                <w:color w:val="auto"/>
                <w:sz w:val="22"/>
                <w:lang w:eastAsia="en-NZ"/>
              </w:rPr>
              <w:t xml:space="preserve"> ramps initially meet standards but become hazardous after road resurfacing (steeper slopes, lips, gutters) and gutters can </w:t>
            </w:r>
            <w:r w:rsidRPr="00844C99">
              <w:rPr>
                <w:rFonts w:ascii="Calibri" w:hAnsi="Calibri" w:cs="Calibri"/>
                <w:color w:val="auto"/>
                <w:sz w:val="22"/>
                <w:lang w:eastAsia="en-NZ"/>
              </w:rPr>
              <w:lastRenderedPageBreak/>
              <w:t>negate usability – dangerous for wheelchair users</w:t>
            </w:r>
          </w:p>
        </w:tc>
        <w:tc>
          <w:tcPr>
            <w:tcW w:w="1701" w:type="dxa"/>
          </w:tcPr>
          <w:p w14:paraId="0E4FE25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lastRenderedPageBreak/>
              <w:t>Other</w:t>
            </w:r>
          </w:p>
        </w:tc>
        <w:tc>
          <w:tcPr>
            <w:tcW w:w="7371" w:type="dxa"/>
          </w:tcPr>
          <w:p w14:paraId="29AC0FD5" w14:textId="29D5A5F6"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Ties into the maintenance of the building, B</w:t>
            </w:r>
            <w:r w:rsidR="00F0267C">
              <w:rPr>
                <w:rFonts w:ascii="Calibri" w:hAnsi="Calibri" w:cs="Calibri"/>
                <w:color w:val="auto"/>
                <w:sz w:val="22"/>
              </w:rPr>
              <w:t xml:space="preserve">uilding </w:t>
            </w:r>
            <w:r w:rsidRPr="00844C99">
              <w:rPr>
                <w:rFonts w:ascii="Calibri" w:hAnsi="Calibri" w:cs="Calibri"/>
                <w:color w:val="auto"/>
                <w:sz w:val="22"/>
              </w:rPr>
              <w:t>W</w:t>
            </w:r>
            <w:r w:rsidR="00F0267C">
              <w:rPr>
                <w:rFonts w:ascii="Calibri" w:hAnsi="Calibri" w:cs="Calibri"/>
                <w:color w:val="auto"/>
                <w:sz w:val="22"/>
              </w:rPr>
              <w:t xml:space="preserve">arrant </w:t>
            </w:r>
            <w:proofErr w:type="gramStart"/>
            <w:r w:rsidR="00F0267C">
              <w:rPr>
                <w:rFonts w:ascii="Calibri" w:hAnsi="Calibri" w:cs="Calibri"/>
                <w:color w:val="auto"/>
                <w:sz w:val="22"/>
              </w:rPr>
              <w:t>Of</w:t>
            </w:r>
            <w:proofErr w:type="gramEnd"/>
            <w:r w:rsidR="00F0267C">
              <w:rPr>
                <w:rFonts w:ascii="Calibri" w:hAnsi="Calibri" w:cs="Calibri"/>
                <w:color w:val="auto"/>
                <w:sz w:val="22"/>
              </w:rPr>
              <w:t xml:space="preserve"> </w:t>
            </w:r>
            <w:r w:rsidRPr="00844C99">
              <w:rPr>
                <w:rFonts w:ascii="Calibri" w:hAnsi="Calibri" w:cs="Calibri"/>
                <w:color w:val="auto"/>
                <w:sz w:val="22"/>
              </w:rPr>
              <w:t>F</w:t>
            </w:r>
            <w:r w:rsidR="00F0267C">
              <w:rPr>
                <w:rFonts w:ascii="Calibri" w:hAnsi="Calibri" w:cs="Calibri"/>
                <w:color w:val="auto"/>
                <w:sz w:val="22"/>
              </w:rPr>
              <w:t>itness</w:t>
            </w:r>
            <w:r w:rsidRPr="00844C99">
              <w:rPr>
                <w:rFonts w:ascii="Calibri" w:hAnsi="Calibri" w:cs="Calibri"/>
                <w:color w:val="auto"/>
                <w:sz w:val="22"/>
              </w:rPr>
              <w:t xml:space="preserve"> would help here as there</w:t>
            </w:r>
            <w:r w:rsidR="00F35BE0">
              <w:rPr>
                <w:rFonts w:ascii="Calibri" w:hAnsi="Calibri" w:cs="Calibri"/>
                <w:color w:val="auto"/>
                <w:sz w:val="22"/>
              </w:rPr>
              <w:t xml:space="preserve"> is</w:t>
            </w:r>
            <w:r w:rsidRPr="00844C99">
              <w:rPr>
                <w:rFonts w:ascii="Calibri" w:hAnsi="Calibri" w:cs="Calibri"/>
                <w:color w:val="auto"/>
                <w:sz w:val="22"/>
              </w:rPr>
              <w:t xml:space="preserve"> no real way to assess the future condition of accessibility aids</w:t>
            </w:r>
          </w:p>
        </w:tc>
      </w:tr>
      <w:tr w:rsidR="00844C99" w:rsidRPr="00844C99" w14:paraId="52811E00" w14:textId="77777777" w:rsidTr="00A44D43">
        <w:tc>
          <w:tcPr>
            <w:tcW w:w="568" w:type="dxa"/>
          </w:tcPr>
          <w:p w14:paraId="0F7F70FE"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43</w:t>
            </w:r>
          </w:p>
        </w:tc>
        <w:tc>
          <w:tcPr>
            <w:tcW w:w="4394" w:type="dxa"/>
          </w:tcPr>
          <w:p w14:paraId="271E855C"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Current code requires channel drains even when unnecessary, which adds cost and complexity</w:t>
            </w:r>
          </w:p>
        </w:tc>
        <w:tc>
          <w:tcPr>
            <w:tcW w:w="1701" w:type="dxa"/>
          </w:tcPr>
          <w:p w14:paraId="58EEE007"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w:t>
            </w:r>
          </w:p>
        </w:tc>
        <w:tc>
          <w:tcPr>
            <w:tcW w:w="7371" w:type="dxa"/>
          </w:tcPr>
          <w:p w14:paraId="5F1562EE" w14:textId="28A01ABF" w:rsidR="00844C99" w:rsidRPr="00770055" w:rsidRDefault="00844C99" w:rsidP="000F03A2">
            <w:pPr>
              <w:pStyle w:val="ListParagraph"/>
              <w:numPr>
                <w:ilvl w:val="0"/>
                <w:numId w:val="73"/>
              </w:numPr>
              <w:spacing w:after="0" w:line="240" w:lineRule="auto"/>
              <w:rPr>
                <w:rFonts w:ascii="Calibri" w:hAnsi="Calibri" w:cs="Calibri"/>
                <w:color w:val="auto"/>
                <w:sz w:val="22"/>
              </w:rPr>
            </w:pPr>
            <w:r w:rsidRPr="00770055">
              <w:rPr>
                <w:rFonts w:ascii="Calibri" w:hAnsi="Calibri" w:cs="Calibri"/>
                <w:color w:val="auto"/>
                <w:sz w:val="22"/>
              </w:rPr>
              <w:t xml:space="preserve">Channel drains are drains with a grate cover on paved areas. </w:t>
            </w:r>
            <w:r w:rsidR="00D7776D" w:rsidRPr="00770055">
              <w:rPr>
                <w:rFonts w:ascii="Calibri" w:hAnsi="Calibri" w:cs="Calibri"/>
                <w:color w:val="auto"/>
                <w:sz w:val="22"/>
              </w:rPr>
              <w:t xml:space="preserve">Uneven pavement and </w:t>
            </w:r>
            <w:r w:rsidR="00126ED2" w:rsidRPr="00770055">
              <w:rPr>
                <w:rFonts w:ascii="Calibri" w:hAnsi="Calibri" w:cs="Calibri"/>
                <w:color w:val="auto"/>
                <w:sz w:val="22"/>
              </w:rPr>
              <w:t>grate covers can cause additional hazards for some disabled people</w:t>
            </w:r>
          </w:p>
        </w:tc>
      </w:tr>
      <w:tr w:rsidR="00844C99" w:rsidRPr="00844C99" w14:paraId="50BB8D4C" w14:textId="77777777" w:rsidTr="00A44D43">
        <w:tc>
          <w:tcPr>
            <w:tcW w:w="568" w:type="dxa"/>
          </w:tcPr>
          <w:p w14:paraId="3E68C22A"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44</w:t>
            </w:r>
          </w:p>
        </w:tc>
        <w:tc>
          <w:tcPr>
            <w:tcW w:w="4394" w:type="dxa"/>
          </w:tcPr>
          <w:p w14:paraId="53ED88C4" w14:textId="212ED5A6"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Current manifestation designs (low height, opaque) are ineffective and fail to meet viewing zone standards. Higher balustrades must allow visibility for wheelchair users</w:t>
            </w:r>
          </w:p>
        </w:tc>
        <w:tc>
          <w:tcPr>
            <w:tcW w:w="1701" w:type="dxa"/>
          </w:tcPr>
          <w:p w14:paraId="5AA4BA4B"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7C8BA915" w14:textId="77777777"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Clearance above disabled parking must allow for vehicles with hoists.</w:t>
            </w:r>
          </w:p>
          <w:p w14:paraId="14E282AB" w14:textId="7D4E93BF" w:rsidR="00844C99" w:rsidRPr="00844C99" w:rsidRDefault="00844C99" w:rsidP="00EB678A">
            <w:pPr>
              <w:numPr>
                <w:ilvl w:val="0"/>
                <w:numId w:val="11"/>
              </w:numPr>
              <w:spacing w:after="0" w:line="240" w:lineRule="auto"/>
              <w:contextualSpacing/>
              <w:rPr>
                <w:rFonts w:ascii="Calibri" w:hAnsi="Calibri" w:cs="Calibri"/>
                <w:color w:val="auto"/>
                <w:sz w:val="22"/>
              </w:rPr>
            </w:pPr>
            <w:r w:rsidRPr="00844C99">
              <w:rPr>
                <w:rFonts w:ascii="Calibri" w:hAnsi="Calibri" w:cs="Calibri"/>
                <w:color w:val="auto"/>
                <w:sz w:val="22"/>
              </w:rPr>
              <w:t>Transparent glass doors must have clear, contrasting marking showing “Entrance” and direction of opening</w:t>
            </w:r>
          </w:p>
        </w:tc>
      </w:tr>
      <w:tr w:rsidR="00844C99" w:rsidRPr="00844C99" w14:paraId="015A2B93" w14:textId="77777777" w:rsidTr="00A44D43">
        <w:tc>
          <w:tcPr>
            <w:tcW w:w="568" w:type="dxa"/>
          </w:tcPr>
          <w:p w14:paraId="462878C5"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45</w:t>
            </w:r>
          </w:p>
        </w:tc>
        <w:tc>
          <w:tcPr>
            <w:tcW w:w="4394" w:type="dxa"/>
          </w:tcPr>
          <w:p w14:paraId="19AE0771" w14:textId="4A86FA86"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Balustrades and balconies in multi-</w:t>
            </w:r>
            <w:proofErr w:type="spellStart"/>
            <w:r w:rsidRPr="00844C99">
              <w:rPr>
                <w:rFonts w:ascii="Calibri" w:hAnsi="Calibri" w:cs="Calibri"/>
                <w:color w:val="auto"/>
                <w:sz w:val="22"/>
                <w:lang w:eastAsia="en-NZ"/>
              </w:rPr>
              <w:t>storey</w:t>
            </w:r>
            <w:proofErr w:type="spellEnd"/>
            <w:r w:rsidRPr="00844C99">
              <w:rPr>
                <w:rFonts w:ascii="Calibri" w:hAnsi="Calibri" w:cs="Calibri"/>
                <w:color w:val="auto"/>
                <w:sz w:val="22"/>
                <w:lang w:eastAsia="en-NZ"/>
              </w:rPr>
              <w:t xml:space="preserve"> buildings lack anti-climb features for children with special needs</w:t>
            </w:r>
          </w:p>
        </w:tc>
        <w:tc>
          <w:tcPr>
            <w:tcW w:w="1701" w:type="dxa"/>
          </w:tcPr>
          <w:p w14:paraId="446046C7"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Standards/</w:t>
            </w:r>
          </w:p>
          <w:p w14:paraId="3C881A22"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w:t>
            </w:r>
          </w:p>
        </w:tc>
        <w:tc>
          <w:tcPr>
            <w:tcW w:w="7371" w:type="dxa"/>
          </w:tcPr>
          <w:p w14:paraId="4C5F5C06" w14:textId="77777777" w:rsidR="00844C99" w:rsidRPr="00770055" w:rsidRDefault="00844C99" w:rsidP="000F03A2">
            <w:pPr>
              <w:pStyle w:val="ListParagraph"/>
              <w:numPr>
                <w:ilvl w:val="0"/>
                <w:numId w:val="74"/>
              </w:numPr>
              <w:spacing w:after="0" w:line="240" w:lineRule="auto"/>
              <w:rPr>
                <w:rFonts w:ascii="Calibri" w:hAnsi="Calibri" w:cs="Calibri"/>
                <w:color w:val="auto"/>
                <w:sz w:val="22"/>
              </w:rPr>
            </w:pPr>
            <w:r w:rsidRPr="00770055">
              <w:rPr>
                <w:rFonts w:ascii="Calibri" w:hAnsi="Calibri" w:cs="Calibri"/>
                <w:color w:val="auto"/>
                <w:sz w:val="22"/>
              </w:rPr>
              <w:t>Parental control</w:t>
            </w:r>
          </w:p>
        </w:tc>
      </w:tr>
      <w:tr w:rsidR="00844C99" w:rsidRPr="00844C99" w14:paraId="18CCED40" w14:textId="77777777" w:rsidTr="00A44D43">
        <w:tc>
          <w:tcPr>
            <w:tcW w:w="568" w:type="dxa"/>
          </w:tcPr>
          <w:p w14:paraId="7B464E43"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46</w:t>
            </w:r>
          </w:p>
        </w:tc>
        <w:tc>
          <w:tcPr>
            <w:tcW w:w="4394" w:type="dxa"/>
          </w:tcPr>
          <w:p w14:paraId="53355275" w14:textId="7BD58696"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Motorized chairs </w:t>
            </w:r>
            <w:proofErr w:type="gramStart"/>
            <w:r w:rsidRPr="00844C99">
              <w:rPr>
                <w:rFonts w:ascii="Calibri" w:hAnsi="Calibri" w:cs="Calibri"/>
                <w:color w:val="auto"/>
                <w:sz w:val="22"/>
                <w:lang w:eastAsia="en-NZ"/>
              </w:rPr>
              <w:t>now</w:t>
            </w:r>
            <w:proofErr w:type="gramEnd"/>
            <w:r w:rsidRPr="00844C99">
              <w:rPr>
                <w:rFonts w:ascii="Calibri" w:hAnsi="Calibri" w:cs="Calibri"/>
                <w:color w:val="auto"/>
                <w:sz w:val="22"/>
                <w:lang w:eastAsia="en-NZ"/>
              </w:rPr>
              <w:t xml:space="preserve"> larger; update specs for doorways and hallways. Wider mobility devices not considered in current specs</w:t>
            </w:r>
          </w:p>
        </w:tc>
        <w:tc>
          <w:tcPr>
            <w:tcW w:w="1701" w:type="dxa"/>
          </w:tcPr>
          <w:p w14:paraId="3FA92A18"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57C0C185" w14:textId="22BDB832" w:rsidR="00844C99" w:rsidRPr="008769B4" w:rsidRDefault="00844C99" w:rsidP="000F03A2">
            <w:pPr>
              <w:pStyle w:val="ListParagraph"/>
              <w:numPr>
                <w:ilvl w:val="0"/>
                <w:numId w:val="75"/>
              </w:numPr>
              <w:spacing w:after="0" w:line="240" w:lineRule="auto"/>
              <w:rPr>
                <w:rFonts w:ascii="Calibri" w:hAnsi="Calibri" w:cs="Calibri"/>
                <w:color w:val="auto"/>
                <w:sz w:val="22"/>
                <w:lang w:eastAsia="en-NZ"/>
              </w:rPr>
            </w:pPr>
            <w:r w:rsidRPr="008769B4">
              <w:rPr>
                <w:rFonts w:ascii="Calibri" w:hAnsi="Calibri" w:cs="Calibri"/>
                <w:color w:val="auto"/>
                <w:sz w:val="22"/>
                <w:lang w:eastAsia="en-NZ"/>
              </w:rPr>
              <w:t>Current minimum (760 mm) inadequate; increase to 860 mm or more (1000 mm recommended)</w:t>
            </w:r>
          </w:p>
        </w:tc>
      </w:tr>
      <w:tr w:rsidR="00844C99" w:rsidRPr="00844C99" w14:paraId="3FA9B4EF" w14:textId="77777777" w:rsidTr="00A44D43">
        <w:tc>
          <w:tcPr>
            <w:tcW w:w="568" w:type="dxa"/>
          </w:tcPr>
          <w:p w14:paraId="08B6733D"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47</w:t>
            </w:r>
          </w:p>
        </w:tc>
        <w:tc>
          <w:tcPr>
            <w:tcW w:w="4394" w:type="dxa"/>
          </w:tcPr>
          <w:p w14:paraId="5A6FAD78" w14:textId="48FB272B"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Encourage use of sensory/automatic doors</w:t>
            </w:r>
          </w:p>
        </w:tc>
        <w:tc>
          <w:tcPr>
            <w:tcW w:w="1701" w:type="dxa"/>
          </w:tcPr>
          <w:p w14:paraId="095ECB49"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14A95835" w14:textId="2F9DD425"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Mandate automatic doors. Be aware that these have auto-close function e.g. in the event of fire for smoke control. It would be good to have some signage (visual and audio) at the door indicating this state</w:t>
            </w:r>
          </w:p>
        </w:tc>
      </w:tr>
      <w:tr w:rsidR="00844C99" w:rsidRPr="00844C99" w14:paraId="379BCCE8" w14:textId="77777777" w:rsidTr="00A44D43">
        <w:tc>
          <w:tcPr>
            <w:tcW w:w="568" w:type="dxa"/>
          </w:tcPr>
          <w:p w14:paraId="6C8EF9D5"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48</w:t>
            </w:r>
          </w:p>
        </w:tc>
        <w:tc>
          <w:tcPr>
            <w:tcW w:w="4394" w:type="dxa"/>
          </w:tcPr>
          <w:p w14:paraId="44134562" w14:textId="661A7350"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Small lips at doors and steep gutters create hazards</w:t>
            </w:r>
          </w:p>
        </w:tc>
        <w:tc>
          <w:tcPr>
            <w:tcW w:w="1701" w:type="dxa"/>
          </w:tcPr>
          <w:p w14:paraId="325994B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31AC3C8D" w14:textId="149F93F0"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 xml:space="preserve">NZS4121 currently limits door threshold lips to max 20mm. This is the same max as </w:t>
            </w:r>
            <w:proofErr w:type="gramStart"/>
            <w:r w:rsidRPr="00844C99">
              <w:rPr>
                <w:rFonts w:ascii="Calibri" w:hAnsi="Calibri" w:cs="Calibri"/>
                <w:color w:val="auto"/>
                <w:sz w:val="22"/>
              </w:rPr>
              <w:t>Japan</w:t>
            </w:r>
            <w:proofErr w:type="gramEnd"/>
            <w:r w:rsidRPr="00844C99">
              <w:rPr>
                <w:rFonts w:ascii="Calibri" w:hAnsi="Calibri" w:cs="Calibri"/>
                <w:color w:val="auto"/>
                <w:sz w:val="22"/>
              </w:rPr>
              <w:t xml:space="preserve"> but they also specify that any threshold higher than 6mm must be </w:t>
            </w:r>
            <w:r w:rsidR="00AC2BF2" w:rsidRPr="00844C99">
              <w:rPr>
                <w:rFonts w:ascii="Calibri" w:hAnsi="Calibri" w:cs="Calibri"/>
                <w:color w:val="auto"/>
                <w:sz w:val="22"/>
              </w:rPr>
              <w:t>beveled</w:t>
            </w:r>
            <w:r w:rsidRPr="00844C99">
              <w:rPr>
                <w:rFonts w:ascii="Calibri" w:hAnsi="Calibri" w:cs="Calibri"/>
                <w:color w:val="auto"/>
                <w:sz w:val="22"/>
              </w:rPr>
              <w:t xml:space="preserve"> to facilitate wheelchairs</w:t>
            </w:r>
          </w:p>
        </w:tc>
      </w:tr>
      <w:tr w:rsidR="00844C99" w:rsidRPr="00844C99" w14:paraId="6B1FB32E" w14:textId="77777777" w:rsidTr="00A44D43">
        <w:tc>
          <w:tcPr>
            <w:tcW w:w="568" w:type="dxa"/>
          </w:tcPr>
          <w:p w14:paraId="6F10B865"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49</w:t>
            </w:r>
          </w:p>
        </w:tc>
        <w:tc>
          <w:tcPr>
            <w:tcW w:w="4394" w:type="dxa"/>
          </w:tcPr>
          <w:p w14:paraId="6F7EEBE8" w14:textId="1FC6A3F9"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Heavy doors and poor handle design create barriers</w:t>
            </w:r>
          </w:p>
          <w:p w14:paraId="732D0ECD" w14:textId="228D4E1E"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Fire doors </w:t>
            </w:r>
            <w:proofErr w:type="gramStart"/>
            <w:r w:rsidRPr="00844C99">
              <w:rPr>
                <w:rFonts w:ascii="Calibri" w:hAnsi="Calibri" w:cs="Calibri"/>
                <w:color w:val="auto"/>
                <w:sz w:val="22"/>
                <w:lang w:eastAsia="en-NZ"/>
              </w:rPr>
              <w:t>too</w:t>
            </w:r>
            <w:proofErr w:type="gramEnd"/>
            <w:r w:rsidRPr="00844C99">
              <w:rPr>
                <w:rFonts w:ascii="Calibri" w:hAnsi="Calibri" w:cs="Calibri"/>
                <w:color w:val="auto"/>
                <w:sz w:val="22"/>
                <w:lang w:eastAsia="en-NZ"/>
              </w:rPr>
              <w:t xml:space="preserve"> heavy; conflicts between fire safety and accessibility</w:t>
            </w:r>
          </w:p>
        </w:tc>
        <w:tc>
          <w:tcPr>
            <w:tcW w:w="1701" w:type="dxa"/>
          </w:tcPr>
          <w:p w14:paraId="229DC17D"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p w14:paraId="1914AB5C"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Regulations</w:t>
            </w:r>
          </w:p>
        </w:tc>
        <w:tc>
          <w:tcPr>
            <w:tcW w:w="7371" w:type="dxa"/>
          </w:tcPr>
          <w:p w14:paraId="48FE9ED2" w14:textId="45613975"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Automated doors, properly marked</w:t>
            </w:r>
          </w:p>
        </w:tc>
      </w:tr>
      <w:tr w:rsidR="00844C99" w:rsidRPr="00844C99" w14:paraId="7DDF1D0D" w14:textId="77777777" w:rsidTr="00A44D43">
        <w:tc>
          <w:tcPr>
            <w:tcW w:w="568" w:type="dxa"/>
          </w:tcPr>
          <w:p w14:paraId="3A29E432"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50</w:t>
            </w:r>
          </w:p>
        </w:tc>
        <w:tc>
          <w:tcPr>
            <w:tcW w:w="4394" w:type="dxa"/>
          </w:tcPr>
          <w:p w14:paraId="74242EFF"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Equitable/dignified entrances - avoid sending disabled users through back entrances.</w:t>
            </w:r>
          </w:p>
        </w:tc>
        <w:tc>
          <w:tcPr>
            <w:tcW w:w="1701" w:type="dxa"/>
          </w:tcPr>
          <w:p w14:paraId="2B2BEEDD"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p w14:paraId="4F77626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Regulations</w:t>
            </w:r>
          </w:p>
        </w:tc>
        <w:tc>
          <w:tcPr>
            <w:tcW w:w="7371" w:type="dxa"/>
          </w:tcPr>
          <w:p w14:paraId="32082779" w14:textId="77777777"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Consider mandatory miniature elevators e.g. LULAs (Limited Use/Limited Application) or VPLs (vertical platform lifts) at the main entrance if there is insufficient space for a ramp</w:t>
            </w:r>
          </w:p>
        </w:tc>
      </w:tr>
      <w:tr w:rsidR="00844C99" w:rsidRPr="00844C99" w14:paraId="1A712012" w14:textId="77777777" w:rsidTr="00A44D43">
        <w:tc>
          <w:tcPr>
            <w:tcW w:w="568" w:type="dxa"/>
          </w:tcPr>
          <w:p w14:paraId="736A8297"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51</w:t>
            </w:r>
          </w:p>
        </w:tc>
        <w:tc>
          <w:tcPr>
            <w:tcW w:w="4394" w:type="dxa"/>
          </w:tcPr>
          <w:p w14:paraId="5820D942" w14:textId="194AD39D"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Increase </w:t>
            </w:r>
            <w:r w:rsidR="00F0267C">
              <w:rPr>
                <w:rFonts w:ascii="Calibri" w:hAnsi="Calibri" w:cs="Calibri"/>
                <w:color w:val="auto"/>
                <w:sz w:val="22"/>
                <w:lang w:eastAsia="en-NZ"/>
              </w:rPr>
              <w:t xml:space="preserve">doorway </w:t>
            </w:r>
            <w:r w:rsidRPr="00844C99">
              <w:rPr>
                <w:rFonts w:ascii="Calibri" w:hAnsi="Calibri" w:cs="Calibri"/>
                <w:color w:val="auto"/>
                <w:sz w:val="22"/>
                <w:lang w:eastAsia="en-NZ"/>
              </w:rPr>
              <w:t>height to accommodate taller population.</w:t>
            </w:r>
          </w:p>
        </w:tc>
        <w:tc>
          <w:tcPr>
            <w:tcW w:w="1701" w:type="dxa"/>
          </w:tcPr>
          <w:p w14:paraId="7F3BA34C"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2DF49126" w14:textId="3D9CD9ED" w:rsidR="00844C99" w:rsidRPr="00AC2BF2" w:rsidRDefault="00844C99" w:rsidP="000F03A2">
            <w:pPr>
              <w:pStyle w:val="ListParagraph"/>
              <w:numPr>
                <w:ilvl w:val="0"/>
                <w:numId w:val="76"/>
              </w:numPr>
              <w:spacing w:after="0" w:line="240" w:lineRule="auto"/>
              <w:rPr>
                <w:rFonts w:ascii="Calibri" w:hAnsi="Calibri" w:cs="Calibri"/>
                <w:color w:val="auto"/>
                <w:sz w:val="22"/>
              </w:rPr>
            </w:pPr>
            <w:r w:rsidRPr="00AC2BF2">
              <w:rPr>
                <w:rFonts w:ascii="Calibri" w:hAnsi="Calibri" w:cs="Calibri"/>
                <w:color w:val="auto"/>
                <w:sz w:val="22"/>
              </w:rPr>
              <w:t>Not practical to implement</w:t>
            </w:r>
          </w:p>
        </w:tc>
      </w:tr>
      <w:tr w:rsidR="00844C99" w:rsidRPr="00844C99" w14:paraId="219EA4AA" w14:textId="77777777" w:rsidTr="00A44D43">
        <w:tc>
          <w:tcPr>
            <w:tcW w:w="568" w:type="dxa"/>
          </w:tcPr>
          <w:p w14:paraId="00E80E09"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lastRenderedPageBreak/>
              <w:t>52</w:t>
            </w:r>
          </w:p>
        </w:tc>
        <w:tc>
          <w:tcPr>
            <w:tcW w:w="4394" w:type="dxa"/>
          </w:tcPr>
          <w:p w14:paraId="616F2B49" w14:textId="2EA28D3F"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Corridor/hallway/walkway size should </w:t>
            </w:r>
            <w:r w:rsidR="00F0267C">
              <w:rPr>
                <w:rFonts w:ascii="Calibri" w:hAnsi="Calibri" w:cs="Calibri"/>
                <w:color w:val="auto"/>
                <w:sz w:val="22"/>
                <w:lang w:eastAsia="en-NZ"/>
              </w:rPr>
              <w:t>accommodate taller people</w:t>
            </w:r>
            <w:r w:rsidRPr="00844C99">
              <w:rPr>
                <w:rFonts w:ascii="Calibri" w:hAnsi="Calibri" w:cs="Calibri"/>
                <w:color w:val="auto"/>
                <w:sz w:val="22"/>
                <w:lang w:eastAsia="en-NZ"/>
              </w:rPr>
              <w:t>.</w:t>
            </w:r>
          </w:p>
        </w:tc>
        <w:tc>
          <w:tcPr>
            <w:tcW w:w="1701" w:type="dxa"/>
          </w:tcPr>
          <w:p w14:paraId="00DC7C52"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259A0AD7" w14:textId="3DE6079C" w:rsidR="00844C99" w:rsidRPr="00AC2BF2" w:rsidRDefault="00844C99" w:rsidP="000F03A2">
            <w:pPr>
              <w:pStyle w:val="ListParagraph"/>
              <w:numPr>
                <w:ilvl w:val="0"/>
                <w:numId w:val="77"/>
              </w:numPr>
              <w:spacing w:after="0" w:line="240" w:lineRule="auto"/>
              <w:rPr>
                <w:rFonts w:ascii="Calibri" w:hAnsi="Calibri" w:cs="Calibri"/>
                <w:color w:val="auto"/>
                <w:sz w:val="22"/>
              </w:rPr>
            </w:pPr>
            <w:r w:rsidRPr="00AC2BF2">
              <w:rPr>
                <w:rFonts w:ascii="Calibri" w:hAnsi="Calibri" w:cs="Calibri"/>
                <w:color w:val="auto"/>
                <w:sz w:val="22"/>
              </w:rPr>
              <w:t>Not practical to implement</w:t>
            </w:r>
          </w:p>
        </w:tc>
      </w:tr>
      <w:tr w:rsidR="00844C99" w:rsidRPr="00844C99" w14:paraId="49014B37" w14:textId="77777777" w:rsidTr="00A44D43">
        <w:tc>
          <w:tcPr>
            <w:tcW w:w="568" w:type="dxa"/>
          </w:tcPr>
          <w:p w14:paraId="5E1FC278"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53</w:t>
            </w:r>
          </w:p>
        </w:tc>
        <w:tc>
          <w:tcPr>
            <w:tcW w:w="4394" w:type="dxa"/>
          </w:tcPr>
          <w:p w14:paraId="03745A57" w14:textId="4569F831"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Equal focus on egress and access</w:t>
            </w:r>
          </w:p>
        </w:tc>
        <w:tc>
          <w:tcPr>
            <w:tcW w:w="1701" w:type="dxa"/>
          </w:tcPr>
          <w:p w14:paraId="21BA6438"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w:t>
            </w:r>
          </w:p>
        </w:tc>
        <w:tc>
          <w:tcPr>
            <w:tcW w:w="7371" w:type="dxa"/>
          </w:tcPr>
          <w:p w14:paraId="06A37D0F" w14:textId="77777777"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Single standard for both.</w:t>
            </w:r>
          </w:p>
        </w:tc>
      </w:tr>
      <w:tr w:rsidR="00844C99" w:rsidRPr="00844C99" w14:paraId="4EB32FF2" w14:textId="77777777" w:rsidTr="00A44D43">
        <w:tc>
          <w:tcPr>
            <w:tcW w:w="568" w:type="dxa"/>
          </w:tcPr>
          <w:p w14:paraId="51AF619C"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54</w:t>
            </w:r>
          </w:p>
        </w:tc>
        <w:tc>
          <w:tcPr>
            <w:tcW w:w="4394" w:type="dxa"/>
          </w:tcPr>
          <w:p w14:paraId="50407556" w14:textId="044C9028"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Disabled people told to wait during evacuation</w:t>
            </w:r>
            <w:r w:rsidR="004A4DE3">
              <w:rPr>
                <w:rFonts w:ascii="Calibri" w:hAnsi="Calibri" w:cs="Calibri"/>
                <w:color w:val="auto"/>
                <w:sz w:val="22"/>
                <w:lang w:eastAsia="en-NZ"/>
              </w:rPr>
              <w:t>–</w:t>
            </w:r>
            <w:r w:rsidRPr="00844C99">
              <w:rPr>
                <w:rFonts w:ascii="Calibri" w:hAnsi="Calibri" w:cs="Calibri"/>
                <w:color w:val="auto"/>
                <w:sz w:val="22"/>
                <w:lang w:eastAsia="en-NZ"/>
              </w:rPr>
              <w:t>unacceptable, need integrated fire safety solutions for all users</w:t>
            </w:r>
          </w:p>
        </w:tc>
        <w:tc>
          <w:tcPr>
            <w:tcW w:w="1701" w:type="dxa"/>
          </w:tcPr>
          <w:p w14:paraId="53E25203"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w:t>
            </w:r>
          </w:p>
        </w:tc>
        <w:tc>
          <w:tcPr>
            <w:tcW w:w="7371" w:type="dxa"/>
          </w:tcPr>
          <w:p w14:paraId="2C711AE7" w14:textId="77777777" w:rsidR="00844C99" w:rsidRPr="00AC2BF2" w:rsidRDefault="00844C99" w:rsidP="000F03A2">
            <w:pPr>
              <w:pStyle w:val="ListParagraph"/>
              <w:numPr>
                <w:ilvl w:val="0"/>
                <w:numId w:val="78"/>
              </w:numPr>
              <w:spacing w:after="0" w:line="240" w:lineRule="auto"/>
              <w:rPr>
                <w:rFonts w:ascii="Calibri" w:hAnsi="Calibri" w:cs="Calibri"/>
                <w:color w:val="auto"/>
                <w:sz w:val="22"/>
                <w:lang w:eastAsia="en-NZ"/>
              </w:rPr>
            </w:pPr>
            <w:r w:rsidRPr="00AC2BF2">
              <w:rPr>
                <w:rFonts w:ascii="Calibri" w:hAnsi="Calibri" w:cs="Calibri"/>
                <w:color w:val="auto"/>
                <w:sz w:val="22"/>
                <w:lang w:eastAsia="en-NZ"/>
              </w:rPr>
              <w:t>Integrate accessibility into fire plans (e.g., evac chairs) and provide training</w:t>
            </w:r>
          </w:p>
          <w:p w14:paraId="0A21D348" w14:textId="30F5CA59" w:rsidR="00844C99" w:rsidRPr="00AC2BF2" w:rsidRDefault="00844C99" w:rsidP="000F03A2">
            <w:pPr>
              <w:pStyle w:val="ListParagraph"/>
              <w:numPr>
                <w:ilvl w:val="0"/>
                <w:numId w:val="78"/>
              </w:numPr>
              <w:spacing w:after="0" w:line="240" w:lineRule="auto"/>
              <w:rPr>
                <w:rFonts w:ascii="Calibri" w:hAnsi="Calibri" w:cs="Calibri"/>
                <w:color w:val="auto"/>
                <w:sz w:val="22"/>
                <w:lang w:eastAsia="en-NZ"/>
              </w:rPr>
            </w:pPr>
            <w:r w:rsidRPr="00AC2BF2">
              <w:rPr>
                <w:rFonts w:ascii="Calibri" w:hAnsi="Calibri" w:cs="Calibri"/>
                <w:color w:val="auto"/>
                <w:sz w:val="22"/>
                <w:lang w:eastAsia="en-NZ"/>
              </w:rPr>
              <w:t>Collaborate with Fire &amp; Emergency New Zealand for inclusive evacuation plans</w:t>
            </w:r>
          </w:p>
        </w:tc>
      </w:tr>
      <w:tr w:rsidR="00844C99" w:rsidRPr="00844C99" w14:paraId="048C2DBA" w14:textId="77777777" w:rsidTr="00A44D43">
        <w:tc>
          <w:tcPr>
            <w:tcW w:w="568" w:type="dxa"/>
          </w:tcPr>
          <w:p w14:paraId="4B4338FF"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55</w:t>
            </w:r>
          </w:p>
        </w:tc>
        <w:tc>
          <w:tcPr>
            <w:tcW w:w="4394" w:type="dxa"/>
          </w:tcPr>
          <w:p w14:paraId="6CEE5F8F" w14:textId="36435C49"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Consider scenarios requiring evacuation to higher floors</w:t>
            </w:r>
          </w:p>
        </w:tc>
        <w:tc>
          <w:tcPr>
            <w:tcW w:w="1701" w:type="dxa"/>
          </w:tcPr>
          <w:p w14:paraId="0FD4D163"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w:t>
            </w:r>
          </w:p>
        </w:tc>
        <w:tc>
          <w:tcPr>
            <w:tcW w:w="7371" w:type="dxa"/>
          </w:tcPr>
          <w:p w14:paraId="72716DBF" w14:textId="5B85A41D" w:rsidR="00844C99" w:rsidRPr="00AC2BF2" w:rsidRDefault="00BD4732" w:rsidP="000F03A2">
            <w:pPr>
              <w:pStyle w:val="ListParagraph"/>
              <w:numPr>
                <w:ilvl w:val="0"/>
                <w:numId w:val="79"/>
              </w:numPr>
              <w:spacing w:after="0" w:line="240" w:lineRule="auto"/>
              <w:rPr>
                <w:rFonts w:ascii="Calibri" w:hAnsi="Calibri" w:cs="Calibri"/>
                <w:color w:val="auto"/>
                <w:sz w:val="22"/>
              </w:rPr>
            </w:pPr>
            <w:r w:rsidRPr="00AC2BF2">
              <w:rPr>
                <w:rFonts w:ascii="Calibri" w:hAnsi="Calibri" w:cs="Calibri"/>
                <w:color w:val="auto"/>
                <w:sz w:val="22"/>
              </w:rPr>
              <w:t>No additional comments</w:t>
            </w:r>
          </w:p>
        </w:tc>
      </w:tr>
      <w:tr w:rsidR="00844C99" w:rsidRPr="00844C99" w14:paraId="65B3061A" w14:textId="77777777" w:rsidTr="00A44D43">
        <w:tc>
          <w:tcPr>
            <w:tcW w:w="568" w:type="dxa"/>
          </w:tcPr>
          <w:p w14:paraId="10C2FD6F"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56</w:t>
            </w:r>
          </w:p>
        </w:tc>
        <w:tc>
          <w:tcPr>
            <w:tcW w:w="4394" w:type="dxa"/>
          </w:tcPr>
          <w:p w14:paraId="23813C08" w14:textId="7103A1B3"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Adequate fire alarms for people with hearing disabilities who may not hear the acoustic alarm</w:t>
            </w:r>
          </w:p>
        </w:tc>
        <w:tc>
          <w:tcPr>
            <w:tcW w:w="1701" w:type="dxa"/>
          </w:tcPr>
          <w:p w14:paraId="2FE8B4EE"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w:t>
            </w:r>
          </w:p>
        </w:tc>
        <w:tc>
          <w:tcPr>
            <w:tcW w:w="7371" w:type="dxa"/>
          </w:tcPr>
          <w:p w14:paraId="0D71E6E1" w14:textId="60607BB1"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Digital signs e.g. placed next to the Exit signs in a building, or flashing Exit signs or a strobe light on Exit signs, activated by the fire alarm system</w:t>
            </w:r>
          </w:p>
        </w:tc>
      </w:tr>
      <w:tr w:rsidR="00844C99" w:rsidRPr="00844C99" w14:paraId="044E2930" w14:textId="77777777" w:rsidTr="00A44D43">
        <w:tc>
          <w:tcPr>
            <w:tcW w:w="568" w:type="dxa"/>
          </w:tcPr>
          <w:p w14:paraId="1FFDEE69"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57</w:t>
            </w:r>
          </w:p>
        </w:tc>
        <w:tc>
          <w:tcPr>
            <w:tcW w:w="4394" w:type="dxa"/>
          </w:tcPr>
          <w:p w14:paraId="6BAFF940" w14:textId="70761A74"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Current tactile designs can be hazardous for wheelchair users</w:t>
            </w:r>
          </w:p>
        </w:tc>
        <w:tc>
          <w:tcPr>
            <w:tcW w:w="1701" w:type="dxa"/>
          </w:tcPr>
          <w:p w14:paraId="58F9F48D"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p w14:paraId="08279912"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Regulations</w:t>
            </w:r>
          </w:p>
        </w:tc>
        <w:tc>
          <w:tcPr>
            <w:tcW w:w="7371" w:type="dxa"/>
          </w:tcPr>
          <w:p w14:paraId="722804D4" w14:textId="7DE1B638" w:rsidR="00844C99" w:rsidRPr="00AC2BF2" w:rsidRDefault="00844C99" w:rsidP="000F03A2">
            <w:pPr>
              <w:pStyle w:val="ListParagraph"/>
              <w:numPr>
                <w:ilvl w:val="0"/>
                <w:numId w:val="80"/>
              </w:numPr>
              <w:spacing w:after="0" w:line="240" w:lineRule="auto"/>
              <w:rPr>
                <w:rFonts w:ascii="Calibri" w:hAnsi="Calibri" w:cs="Calibri"/>
                <w:color w:val="auto"/>
                <w:sz w:val="22"/>
                <w:lang w:eastAsia="en-NZ"/>
              </w:rPr>
            </w:pPr>
            <w:r w:rsidRPr="00AC2BF2">
              <w:rPr>
                <w:rFonts w:ascii="Calibri" w:hAnsi="Calibri" w:cs="Calibri"/>
                <w:color w:val="auto"/>
                <w:sz w:val="22"/>
                <w:lang w:eastAsia="en-NZ"/>
              </w:rPr>
              <w:t>Suggest better overall design to reduce reliance on directional tiles, which cause the most harm</w:t>
            </w:r>
          </w:p>
        </w:tc>
      </w:tr>
      <w:tr w:rsidR="00844C99" w:rsidRPr="00844C99" w14:paraId="651F804E" w14:textId="77777777" w:rsidTr="00A44D43">
        <w:tc>
          <w:tcPr>
            <w:tcW w:w="568" w:type="dxa"/>
          </w:tcPr>
          <w:p w14:paraId="458EC6C4"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58</w:t>
            </w:r>
          </w:p>
        </w:tc>
        <w:tc>
          <w:tcPr>
            <w:tcW w:w="4394" w:type="dxa"/>
          </w:tcPr>
          <w:p w14:paraId="116C2D1D" w14:textId="2E161E19"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Size/layout </w:t>
            </w:r>
            <w:proofErr w:type="gramStart"/>
            <w:r w:rsidRPr="00844C99">
              <w:rPr>
                <w:rFonts w:ascii="Calibri" w:hAnsi="Calibri" w:cs="Calibri"/>
                <w:color w:val="auto"/>
                <w:sz w:val="22"/>
                <w:lang w:eastAsia="en-NZ"/>
              </w:rPr>
              <w:t>often</w:t>
            </w:r>
            <w:proofErr w:type="gramEnd"/>
            <w:r w:rsidRPr="00844C99">
              <w:rPr>
                <w:rFonts w:ascii="Calibri" w:hAnsi="Calibri" w:cs="Calibri"/>
                <w:color w:val="auto"/>
                <w:sz w:val="22"/>
                <w:lang w:eastAsia="en-NZ"/>
              </w:rPr>
              <w:t xml:space="preserve"> inadequate and the design included in the standard is too rigid, not allowing for multiple layout options or modern design</w:t>
            </w:r>
          </w:p>
        </w:tc>
        <w:tc>
          <w:tcPr>
            <w:tcW w:w="1701" w:type="dxa"/>
          </w:tcPr>
          <w:p w14:paraId="7E0B7830"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190ED4A8" w14:textId="4255B4F7" w:rsidR="00844C99" w:rsidRPr="00AC2BF2" w:rsidRDefault="00844C99" w:rsidP="000F03A2">
            <w:pPr>
              <w:pStyle w:val="ListParagraph"/>
              <w:numPr>
                <w:ilvl w:val="0"/>
                <w:numId w:val="80"/>
              </w:numPr>
              <w:spacing w:after="0" w:line="240" w:lineRule="auto"/>
              <w:rPr>
                <w:rFonts w:ascii="Calibri" w:hAnsi="Calibri" w:cs="Calibri"/>
                <w:color w:val="auto"/>
                <w:sz w:val="22"/>
              </w:rPr>
            </w:pPr>
            <w:r w:rsidRPr="00AC2BF2">
              <w:rPr>
                <w:rFonts w:ascii="Calibri" w:hAnsi="Calibri" w:cs="Calibri"/>
                <w:color w:val="auto"/>
                <w:sz w:val="22"/>
              </w:rPr>
              <w:t>The problem is budget – commercial building space costs money. It’s very hard to modify existing buildings</w:t>
            </w:r>
          </w:p>
          <w:p w14:paraId="6900F763" w14:textId="6D0C435E"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Make clearances bigger for new builds</w:t>
            </w:r>
          </w:p>
        </w:tc>
      </w:tr>
      <w:tr w:rsidR="00844C99" w:rsidRPr="00844C99" w14:paraId="1E8A1FDE" w14:textId="77777777" w:rsidTr="00A44D43">
        <w:tc>
          <w:tcPr>
            <w:tcW w:w="568" w:type="dxa"/>
          </w:tcPr>
          <w:p w14:paraId="048A2D65"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59</w:t>
            </w:r>
          </w:p>
        </w:tc>
        <w:tc>
          <w:tcPr>
            <w:tcW w:w="4394" w:type="dxa"/>
          </w:tcPr>
          <w:p w14:paraId="43FC353D" w14:textId="41DBF36B" w:rsidR="00844C99" w:rsidRPr="00844C99" w:rsidRDefault="00BD4732" w:rsidP="00844C99">
            <w:pPr>
              <w:spacing w:after="0" w:line="240" w:lineRule="auto"/>
              <w:rPr>
                <w:rFonts w:ascii="Calibri" w:hAnsi="Calibri" w:cs="Calibri"/>
                <w:color w:val="auto"/>
                <w:sz w:val="22"/>
                <w:lang w:eastAsia="en-NZ"/>
              </w:rPr>
            </w:pPr>
            <w:r>
              <w:rPr>
                <w:rFonts w:ascii="Calibri" w:hAnsi="Calibri" w:cs="Calibri"/>
                <w:color w:val="auto"/>
                <w:sz w:val="22"/>
                <w:lang w:eastAsia="en-NZ"/>
              </w:rPr>
              <w:t>Accessible toilets are o</w:t>
            </w:r>
            <w:r w:rsidR="00844C99" w:rsidRPr="00844C99">
              <w:rPr>
                <w:rFonts w:ascii="Calibri" w:hAnsi="Calibri" w:cs="Calibri"/>
                <w:color w:val="auto"/>
                <w:sz w:val="22"/>
                <w:lang w:eastAsia="en-NZ"/>
              </w:rPr>
              <w:t>ften misused as unisex toilets; disrespectful and impractical</w:t>
            </w:r>
          </w:p>
        </w:tc>
        <w:tc>
          <w:tcPr>
            <w:tcW w:w="1701" w:type="dxa"/>
          </w:tcPr>
          <w:p w14:paraId="3D932BD1"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5204D5C7" w14:textId="77777777" w:rsidR="00844C99" w:rsidRPr="00AC2BF2" w:rsidRDefault="00844C99" w:rsidP="000F03A2">
            <w:pPr>
              <w:pStyle w:val="ListParagraph"/>
              <w:numPr>
                <w:ilvl w:val="0"/>
                <w:numId w:val="12"/>
              </w:numPr>
              <w:spacing w:after="0" w:line="240" w:lineRule="auto"/>
              <w:rPr>
                <w:rFonts w:ascii="Calibri" w:hAnsi="Calibri" w:cs="Calibri"/>
                <w:color w:val="auto"/>
                <w:sz w:val="22"/>
              </w:rPr>
            </w:pPr>
            <w:proofErr w:type="gramStart"/>
            <w:r w:rsidRPr="00AC2BF2">
              <w:rPr>
                <w:rFonts w:ascii="Calibri" w:hAnsi="Calibri" w:cs="Calibri"/>
                <w:color w:val="auto"/>
                <w:sz w:val="22"/>
              </w:rPr>
              <w:t>Not</w:t>
            </w:r>
            <w:proofErr w:type="gramEnd"/>
            <w:r w:rsidRPr="00AC2BF2">
              <w:rPr>
                <w:rFonts w:ascii="Calibri" w:hAnsi="Calibri" w:cs="Calibri"/>
                <w:color w:val="auto"/>
                <w:sz w:val="22"/>
              </w:rPr>
              <w:t xml:space="preserve"> practical to change this, and people may have invisible disabilities.</w:t>
            </w:r>
          </w:p>
        </w:tc>
      </w:tr>
      <w:tr w:rsidR="00844C99" w:rsidRPr="00844C99" w14:paraId="47C86C2B" w14:textId="77777777" w:rsidTr="00A44D43">
        <w:tc>
          <w:tcPr>
            <w:tcW w:w="568" w:type="dxa"/>
          </w:tcPr>
          <w:p w14:paraId="33F542B1"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60</w:t>
            </w:r>
          </w:p>
        </w:tc>
        <w:tc>
          <w:tcPr>
            <w:tcW w:w="4394" w:type="dxa"/>
          </w:tcPr>
          <w:p w14:paraId="630C5F3C" w14:textId="218D70D6"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Air dryers create sensory issues; prefer paper towels</w:t>
            </w:r>
          </w:p>
        </w:tc>
        <w:tc>
          <w:tcPr>
            <w:tcW w:w="1701" w:type="dxa"/>
          </w:tcPr>
          <w:p w14:paraId="6CAE5FF4"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78A407B4" w14:textId="77777777"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Have both options</w:t>
            </w:r>
          </w:p>
        </w:tc>
      </w:tr>
      <w:tr w:rsidR="00844C99" w:rsidRPr="00844C99" w14:paraId="1F15F998" w14:textId="77777777" w:rsidTr="00A44D43">
        <w:tc>
          <w:tcPr>
            <w:tcW w:w="568" w:type="dxa"/>
          </w:tcPr>
          <w:p w14:paraId="6EEA7720"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61</w:t>
            </w:r>
          </w:p>
        </w:tc>
        <w:tc>
          <w:tcPr>
            <w:tcW w:w="4394" w:type="dxa"/>
          </w:tcPr>
          <w:p w14:paraId="33E8E7BC" w14:textId="4A2E8DB8"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Avoid clutter (bins, baby tables) in transfer space</w:t>
            </w:r>
          </w:p>
        </w:tc>
        <w:tc>
          <w:tcPr>
            <w:tcW w:w="1701" w:type="dxa"/>
          </w:tcPr>
          <w:p w14:paraId="090EDA5D"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19DBC4B4" w14:textId="49923017"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BWOF should check that the accessible bathroom spaces are kept clear plus large fines to teach building managers to check them regularly</w:t>
            </w:r>
          </w:p>
        </w:tc>
      </w:tr>
      <w:tr w:rsidR="00844C99" w:rsidRPr="00844C99" w14:paraId="3E7669A7" w14:textId="77777777" w:rsidTr="00A44D43">
        <w:tc>
          <w:tcPr>
            <w:tcW w:w="568" w:type="dxa"/>
          </w:tcPr>
          <w:p w14:paraId="29150BA5"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62</w:t>
            </w:r>
          </w:p>
        </w:tc>
        <w:tc>
          <w:tcPr>
            <w:tcW w:w="4394" w:type="dxa"/>
          </w:tcPr>
          <w:p w14:paraId="276C8119" w14:textId="76FFACB9"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Need flexibility for different disabilities</w:t>
            </w:r>
          </w:p>
        </w:tc>
        <w:tc>
          <w:tcPr>
            <w:tcW w:w="1701" w:type="dxa"/>
          </w:tcPr>
          <w:p w14:paraId="08A172DA"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34BFD5B6" w14:textId="0C067A92" w:rsidR="00844C99" w:rsidRPr="00AC2BF2" w:rsidRDefault="00844C99" w:rsidP="000F03A2">
            <w:pPr>
              <w:pStyle w:val="ListParagraph"/>
              <w:numPr>
                <w:ilvl w:val="0"/>
                <w:numId w:val="12"/>
              </w:numPr>
              <w:spacing w:after="0" w:line="240" w:lineRule="auto"/>
              <w:rPr>
                <w:rFonts w:ascii="Calibri" w:hAnsi="Calibri" w:cs="Calibri"/>
                <w:color w:val="auto"/>
                <w:sz w:val="22"/>
              </w:rPr>
            </w:pPr>
            <w:r w:rsidRPr="00AC2BF2">
              <w:rPr>
                <w:rFonts w:ascii="Calibri" w:hAnsi="Calibri" w:cs="Calibri"/>
                <w:color w:val="auto"/>
                <w:sz w:val="22"/>
              </w:rPr>
              <w:t>Non-specific comment, but perhaps just indicating that multi-mode signage is needed so the message is both visual (large enough) and aural (loud enough)</w:t>
            </w:r>
          </w:p>
        </w:tc>
      </w:tr>
      <w:tr w:rsidR="00844C99" w:rsidRPr="00844C99" w14:paraId="1F0FFBEC" w14:textId="77777777" w:rsidTr="00A44D43">
        <w:tc>
          <w:tcPr>
            <w:tcW w:w="568" w:type="dxa"/>
          </w:tcPr>
          <w:p w14:paraId="5FC010E5"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63</w:t>
            </w:r>
          </w:p>
        </w:tc>
        <w:tc>
          <w:tcPr>
            <w:tcW w:w="4394" w:type="dxa"/>
          </w:tcPr>
          <w:p w14:paraId="66550A3D" w14:textId="30DD3694"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Visual alerting devices are misapplied; often only in accessible toilets, not benefiting </w:t>
            </w:r>
            <w:r w:rsidRPr="00844C99">
              <w:rPr>
                <w:rFonts w:ascii="Calibri" w:hAnsi="Calibri" w:cs="Calibri"/>
                <w:color w:val="auto"/>
                <w:sz w:val="22"/>
                <w:lang w:eastAsia="en-NZ"/>
              </w:rPr>
              <w:lastRenderedPageBreak/>
              <w:t>d</w:t>
            </w:r>
            <w:r w:rsidR="006C57F9">
              <w:rPr>
                <w:rFonts w:ascii="Calibri" w:hAnsi="Calibri" w:cs="Calibri"/>
                <w:color w:val="auto"/>
                <w:sz w:val="22"/>
                <w:lang w:eastAsia="en-NZ"/>
              </w:rPr>
              <w:t>/D</w:t>
            </w:r>
            <w:r w:rsidRPr="00844C99">
              <w:rPr>
                <w:rFonts w:ascii="Calibri" w:hAnsi="Calibri" w:cs="Calibri"/>
                <w:color w:val="auto"/>
                <w:sz w:val="22"/>
                <w:lang w:eastAsia="en-NZ"/>
              </w:rPr>
              <w:t>eaf</w:t>
            </w:r>
            <w:r w:rsidR="00BD4732">
              <w:rPr>
                <w:rFonts w:ascii="Calibri" w:hAnsi="Calibri" w:cs="Calibri"/>
                <w:color w:val="auto"/>
                <w:sz w:val="22"/>
                <w:lang w:eastAsia="en-NZ"/>
              </w:rPr>
              <w:t xml:space="preserve"> or </w:t>
            </w:r>
            <w:r w:rsidRPr="00844C99">
              <w:rPr>
                <w:rFonts w:ascii="Calibri" w:hAnsi="Calibri" w:cs="Calibri"/>
                <w:color w:val="auto"/>
                <w:sz w:val="22"/>
                <w:lang w:eastAsia="en-NZ"/>
              </w:rPr>
              <w:t>hard-of-hearing users during emergencies.</w:t>
            </w:r>
          </w:p>
        </w:tc>
        <w:tc>
          <w:tcPr>
            <w:tcW w:w="1701" w:type="dxa"/>
          </w:tcPr>
          <w:p w14:paraId="6776B953"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lastRenderedPageBreak/>
              <w:t>Standard</w:t>
            </w:r>
          </w:p>
        </w:tc>
        <w:tc>
          <w:tcPr>
            <w:tcW w:w="7371" w:type="dxa"/>
          </w:tcPr>
          <w:p w14:paraId="50B085F6" w14:textId="6F98EB3C"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Same as 56, with additional multi-mode signage in accessible toilets</w:t>
            </w:r>
          </w:p>
        </w:tc>
      </w:tr>
      <w:tr w:rsidR="00844C99" w:rsidRPr="00844C99" w14:paraId="5A3E6D5D" w14:textId="77777777" w:rsidTr="00A44D43">
        <w:tc>
          <w:tcPr>
            <w:tcW w:w="568" w:type="dxa"/>
          </w:tcPr>
          <w:p w14:paraId="43404023"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64</w:t>
            </w:r>
          </w:p>
        </w:tc>
        <w:tc>
          <w:tcPr>
            <w:tcW w:w="4394" w:type="dxa"/>
          </w:tcPr>
          <w:p w14:paraId="12E9496C" w14:textId="7AB7C28A"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Research </w:t>
            </w:r>
            <w:proofErr w:type="gramStart"/>
            <w:r w:rsidRPr="00844C99">
              <w:rPr>
                <w:rFonts w:ascii="Calibri" w:hAnsi="Calibri" w:cs="Calibri"/>
                <w:color w:val="auto"/>
                <w:sz w:val="22"/>
                <w:lang w:eastAsia="en-NZ"/>
              </w:rPr>
              <w:t>needed</w:t>
            </w:r>
            <w:proofErr w:type="gramEnd"/>
            <w:r w:rsidRPr="00844C99">
              <w:rPr>
                <w:rFonts w:ascii="Calibri" w:hAnsi="Calibri" w:cs="Calibri"/>
                <w:color w:val="auto"/>
                <w:sz w:val="22"/>
                <w:lang w:eastAsia="en-NZ"/>
              </w:rPr>
              <w:t xml:space="preserve"> into bathroom handrail placement and usability. Toilet paper holders above grab rails in bathrooms limit access</w:t>
            </w:r>
          </w:p>
        </w:tc>
        <w:tc>
          <w:tcPr>
            <w:tcW w:w="1701" w:type="dxa"/>
          </w:tcPr>
          <w:p w14:paraId="1AB26B62"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49CE5C74" w14:textId="77777777" w:rsidR="00844C99" w:rsidRPr="003D504E" w:rsidRDefault="00844C99" w:rsidP="000F03A2">
            <w:pPr>
              <w:pStyle w:val="ListParagraph"/>
              <w:numPr>
                <w:ilvl w:val="0"/>
                <w:numId w:val="12"/>
              </w:numPr>
              <w:spacing w:after="0" w:line="240" w:lineRule="auto"/>
              <w:rPr>
                <w:rFonts w:ascii="Calibri" w:hAnsi="Calibri" w:cs="Calibri"/>
                <w:color w:val="auto"/>
                <w:sz w:val="22"/>
              </w:rPr>
            </w:pPr>
            <w:r w:rsidRPr="003D504E">
              <w:rPr>
                <w:rFonts w:ascii="Calibri" w:hAnsi="Calibri" w:cs="Calibri"/>
                <w:color w:val="auto"/>
                <w:sz w:val="22"/>
              </w:rPr>
              <w:t>Does this happen because bathrooms have not been designed to comply with NZS4121 or is it a problem that arises from the specs in NZS4121?</w:t>
            </w:r>
          </w:p>
          <w:p w14:paraId="0CBD9D6B" w14:textId="1C59DD51"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Follow best practice dimensions e.g. from Japan</w:t>
            </w:r>
          </w:p>
          <w:p w14:paraId="614CCC17" w14:textId="191A2DC0" w:rsidR="00844C99" w:rsidRPr="00844C99" w:rsidRDefault="00844C99" w:rsidP="000F03A2">
            <w:pPr>
              <w:numPr>
                <w:ilvl w:val="0"/>
                <w:numId w:val="12"/>
              </w:numPr>
              <w:spacing w:after="0" w:line="240" w:lineRule="auto"/>
              <w:contextualSpacing/>
              <w:rPr>
                <w:rFonts w:ascii="Calibri" w:hAnsi="Calibri" w:cs="Calibri"/>
                <w:color w:val="auto"/>
                <w:sz w:val="22"/>
              </w:rPr>
            </w:pPr>
            <w:r w:rsidRPr="00844C99">
              <w:rPr>
                <w:rFonts w:ascii="Calibri" w:hAnsi="Calibri" w:cs="Calibri"/>
                <w:color w:val="auto"/>
                <w:sz w:val="22"/>
              </w:rPr>
              <w:t xml:space="preserve">Review of the new standard by </w:t>
            </w:r>
            <w:r w:rsidR="00A37801">
              <w:rPr>
                <w:rFonts w:ascii="Calibri" w:hAnsi="Calibri" w:cs="Calibri"/>
                <w:color w:val="auto"/>
                <w:sz w:val="22"/>
              </w:rPr>
              <w:t>disabled people</w:t>
            </w:r>
            <w:r w:rsidRPr="00844C99">
              <w:rPr>
                <w:rFonts w:ascii="Calibri" w:hAnsi="Calibri" w:cs="Calibri"/>
                <w:color w:val="auto"/>
                <w:sz w:val="22"/>
              </w:rPr>
              <w:t xml:space="preserve"> to catch this sort of error before the new standard is adopted</w:t>
            </w:r>
          </w:p>
        </w:tc>
      </w:tr>
      <w:tr w:rsidR="00844C99" w:rsidRPr="00844C99" w14:paraId="596FDA34" w14:textId="77777777" w:rsidTr="00A44D43">
        <w:tc>
          <w:tcPr>
            <w:tcW w:w="568" w:type="dxa"/>
          </w:tcPr>
          <w:p w14:paraId="27F66EEA"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65</w:t>
            </w:r>
          </w:p>
        </w:tc>
        <w:tc>
          <w:tcPr>
            <w:tcW w:w="4394" w:type="dxa"/>
          </w:tcPr>
          <w:p w14:paraId="3409D097" w14:textId="3E8C399A"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Include hooks, shelves and space for specific needs (e.g., tetraplegic users)</w:t>
            </w:r>
          </w:p>
        </w:tc>
        <w:tc>
          <w:tcPr>
            <w:tcW w:w="1701" w:type="dxa"/>
          </w:tcPr>
          <w:p w14:paraId="7793F291"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01CD89FC" w14:textId="157B61AF" w:rsidR="00844C99" w:rsidRPr="003D504E" w:rsidRDefault="00844C99" w:rsidP="000F03A2">
            <w:pPr>
              <w:pStyle w:val="ListParagraph"/>
              <w:numPr>
                <w:ilvl w:val="0"/>
                <w:numId w:val="81"/>
              </w:numPr>
              <w:spacing w:after="0" w:line="240" w:lineRule="auto"/>
              <w:rPr>
                <w:rFonts w:ascii="Calibri" w:hAnsi="Calibri" w:cs="Calibri"/>
                <w:color w:val="auto"/>
                <w:sz w:val="22"/>
              </w:rPr>
            </w:pPr>
            <w:r w:rsidRPr="003D504E">
              <w:rPr>
                <w:rFonts w:ascii="Calibri" w:hAnsi="Calibri" w:cs="Calibri"/>
                <w:color w:val="auto"/>
                <w:sz w:val="22"/>
              </w:rPr>
              <w:t>NZS4121 specifies heights from 900 mm to 1100 mm for handles/controls while Japan uses 750-800 mm for switches, counters, shelves needed by wheelchair users. Japan also has strict implementation/enforcement</w:t>
            </w:r>
          </w:p>
          <w:p w14:paraId="45332BD7" w14:textId="395F3A76" w:rsidR="00844C99" w:rsidRPr="00844C99" w:rsidRDefault="00844C99" w:rsidP="000F03A2">
            <w:pPr>
              <w:numPr>
                <w:ilvl w:val="0"/>
                <w:numId w:val="81"/>
              </w:numPr>
              <w:spacing w:after="0" w:line="240" w:lineRule="auto"/>
              <w:contextualSpacing/>
              <w:rPr>
                <w:rFonts w:ascii="Calibri" w:hAnsi="Calibri" w:cs="Calibri"/>
                <w:color w:val="auto"/>
                <w:sz w:val="22"/>
              </w:rPr>
            </w:pPr>
            <w:r w:rsidRPr="00844C99">
              <w:rPr>
                <w:rFonts w:ascii="Calibri" w:hAnsi="Calibri" w:cs="Calibri"/>
                <w:color w:val="auto"/>
                <w:sz w:val="22"/>
              </w:rPr>
              <w:t>Use lower heights such as those in Japan</w:t>
            </w:r>
          </w:p>
          <w:p w14:paraId="57259FCA" w14:textId="3DC04DF4" w:rsidR="00844C99" w:rsidRPr="00844C99" w:rsidRDefault="00844C99" w:rsidP="000F03A2">
            <w:pPr>
              <w:numPr>
                <w:ilvl w:val="0"/>
                <w:numId w:val="81"/>
              </w:numPr>
              <w:spacing w:after="0" w:line="240" w:lineRule="auto"/>
              <w:contextualSpacing/>
              <w:rPr>
                <w:rFonts w:ascii="Calibri" w:hAnsi="Calibri" w:cs="Calibri"/>
                <w:color w:val="auto"/>
                <w:sz w:val="22"/>
              </w:rPr>
            </w:pPr>
            <w:r w:rsidRPr="00844C99">
              <w:rPr>
                <w:rFonts w:ascii="Calibri" w:hAnsi="Calibri" w:cs="Calibri"/>
                <w:color w:val="auto"/>
                <w:sz w:val="22"/>
              </w:rPr>
              <w:t>Include (in the standard) a diagram of a person in a wheelchair to show their range of movement. This will educate designers on why the heights are necessary – if they understand they are more likely to implement</w:t>
            </w:r>
          </w:p>
        </w:tc>
      </w:tr>
      <w:tr w:rsidR="00844C99" w:rsidRPr="00844C99" w14:paraId="4D1528A8" w14:textId="77777777" w:rsidTr="00A44D43">
        <w:tc>
          <w:tcPr>
            <w:tcW w:w="568" w:type="dxa"/>
          </w:tcPr>
          <w:p w14:paraId="3312E438"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66</w:t>
            </w:r>
          </w:p>
        </w:tc>
        <w:tc>
          <w:tcPr>
            <w:tcW w:w="4394" w:type="dxa"/>
          </w:tcPr>
          <w:p w14:paraId="76C9FE53" w14:textId="248AA63C"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Include assisted change facilities in standard</w:t>
            </w:r>
          </w:p>
        </w:tc>
        <w:tc>
          <w:tcPr>
            <w:tcW w:w="1701" w:type="dxa"/>
          </w:tcPr>
          <w:p w14:paraId="3E2EA905"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1F16E9D4" w14:textId="7E8028BC" w:rsidR="00844C99" w:rsidRPr="00844C99" w:rsidRDefault="00844C99" w:rsidP="000F03A2">
            <w:pPr>
              <w:numPr>
                <w:ilvl w:val="0"/>
                <w:numId w:val="13"/>
              </w:numPr>
              <w:spacing w:after="0" w:line="240" w:lineRule="auto"/>
              <w:contextualSpacing/>
              <w:rPr>
                <w:rFonts w:ascii="Calibri" w:hAnsi="Calibri" w:cs="Calibri"/>
                <w:color w:val="auto"/>
                <w:sz w:val="22"/>
              </w:rPr>
            </w:pPr>
            <w:r w:rsidRPr="00844C99">
              <w:rPr>
                <w:rFonts w:ascii="Calibri" w:hAnsi="Calibri" w:cs="Calibri"/>
                <w:color w:val="auto"/>
                <w:sz w:val="22"/>
              </w:rPr>
              <w:t>Use the Japanese model for accessible bathrooms – they have adult size changing tables, ostomy care facilities, lots of space, grab rails, E-assist buttons, etc</w:t>
            </w:r>
            <w:r w:rsidR="00196BDC">
              <w:rPr>
                <w:rFonts w:ascii="Calibri" w:hAnsi="Calibri" w:cs="Calibri"/>
                <w:color w:val="auto"/>
                <w:sz w:val="22"/>
              </w:rPr>
              <w:t>.</w:t>
            </w:r>
          </w:p>
        </w:tc>
      </w:tr>
      <w:tr w:rsidR="00844C99" w:rsidRPr="00844C99" w14:paraId="68B9BBB6" w14:textId="77777777" w:rsidTr="00A44D43">
        <w:tc>
          <w:tcPr>
            <w:tcW w:w="568" w:type="dxa"/>
          </w:tcPr>
          <w:p w14:paraId="3FC5892D"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67</w:t>
            </w:r>
          </w:p>
        </w:tc>
        <w:tc>
          <w:tcPr>
            <w:tcW w:w="4394" w:type="dxa"/>
          </w:tcPr>
          <w:p w14:paraId="182C5C84" w14:textId="1A87C024"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Ambulant toilets – an option for older people who avoid accessible toilets</w:t>
            </w:r>
          </w:p>
        </w:tc>
        <w:tc>
          <w:tcPr>
            <w:tcW w:w="1701" w:type="dxa"/>
          </w:tcPr>
          <w:p w14:paraId="78E5ED45"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27CC6E8C" w14:textId="4B06B435" w:rsidR="00844C99" w:rsidRPr="00844C99" w:rsidRDefault="00844C99" w:rsidP="000F03A2">
            <w:pPr>
              <w:numPr>
                <w:ilvl w:val="0"/>
                <w:numId w:val="13"/>
              </w:numPr>
              <w:spacing w:after="0" w:line="240" w:lineRule="auto"/>
              <w:contextualSpacing/>
              <w:rPr>
                <w:rFonts w:ascii="Calibri" w:hAnsi="Calibri" w:cs="Calibri"/>
                <w:color w:val="auto"/>
                <w:sz w:val="22"/>
              </w:rPr>
            </w:pPr>
            <w:r w:rsidRPr="00844C99">
              <w:rPr>
                <w:rFonts w:ascii="Calibri" w:hAnsi="Calibri" w:cs="Calibri"/>
                <w:color w:val="auto"/>
                <w:sz w:val="22"/>
              </w:rPr>
              <w:t xml:space="preserve">They have higher toilet </w:t>
            </w:r>
            <w:r w:rsidR="00196BDC" w:rsidRPr="00844C99">
              <w:rPr>
                <w:rFonts w:ascii="Calibri" w:hAnsi="Calibri" w:cs="Calibri"/>
                <w:color w:val="auto"/>
                <w:sz w:val="22"/>
              </w:rPr>
              <w:t>seats</w:t>
            </w:r>
            <w:r w:rsidRPr="00844C99">
              <w:rPr>
                <w:rFonts w:ascii="Calibri" w:hAnsi="Calibri" w:cs="Calibri"/>
                <w:color w:val="auto"/>
                <w:sz w:val="22"/>
              </w:rPr>
              <w:t xml:space="preserve"> and grab</w:t>
            </w:r>
            <w:r w:rsidR="00196BDC">
              <w:rPr>
                <w:rFonts w:ascii="Calibri" w:hAnsi="Calibri" w:cs="Calibri"/>
                <w:color w:val="auto"/>
                <w:sz w:val="22"/>
              </w:rPr>
              <w:t>-</w:t>
            </w:r>
            <w:r w:rsidRPr="00844C99">
              <w:rPr>
                <w:rFonts w:ascii="Calibri" w:hAnsi="Calibri" w:cs="Calibri"/>
                <w:color w:val="auto"/>
                <w:sz w:val="22"/>
              </w:rPr>
              <w:t>bars and easy-</w:t>
            </w:r>
            <w:r w:rsidR="00196BDC">
              <w:rPr>
                <w:rFonts w:ascii="Calibri" w:hAnsi="Calibri" w:cs="Calibri"/>
                <w:color w:val="auto"/>
                <w:sz w:val="22"/>
              </w:rPr>
              <w:t>to-</w:t>
            </w:r>
            <w:r w:rsidRPr="00844C99">
              <w:rPr>
                <w:rFonts w:ascii="Calibri" w:hAnsi="Calibri" w:cs="Calibri"/>
                <w:color w:val="auto"/>
                <w:sz w:val="22"/>
              </w:rPr>
              <w:t>open doors but not the same room as wheelchair accessible toilets. They might be a good option for older people (a lot more of those than there are people in wheelchairs) and would relieve the pressure on the fully accessible bathrooms</w:t>
            </w:r>
          </w:p>
        </w:tc>
      </w:tr>
      <w:tr w:rsidR="00844C99" w:rsidRPr="00844C99" w14:paraId="6AFDCB6E" w14:textId="77777777" w:rsidTr="00A44D43">
        <w:tc>
          <w:tcPr>
            <w:tcW w:w="568" w:type="dxa"/>
          </w:tcPr>
          <w:p w14:paraId="38632091"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68</w:t>
            </w:r>
          </w:p>
        </w:tc>
        <w:tc>
          <w:tcPr>
            <w:tcW w:w="4394" w:type="dxa"/>
          </w:tcPr>
          <w:p w14:paraId="4DE52049" w14:textId="4332CFD8"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Car parks are poorly defined; lacks guidance for parallel parking</w:t>
            </w:r>
          </w:p>
        </w:tc>
        <w:tc>
          <w:tcPr>
            <w:tcW w:w="1701" w:type="dxa"/>
          </w:tcPr>
          <w:p w14:paraId="6A14608A"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46C678EC" w14:textId="77777777" w:rsidR="00844C99" w:rsidRDefault="00844C99" w:rsidP="000F03A2">
            <w:pPr>
              <w:numPr>
                <w:ilvl w:val="0"/>
                <w:numId w:val="13"/>
              </w:numPr>
              <w:spacing w:after="0" w:line="240" w:lineRule="auto"/>
              <w:contextualSpacing/>
              <w:rPr>
                <w:rFonts w:ascii="Calibri" w:hAnsi="Calibri" w:cs="Calibri"/>
                <w:color w:val="auto"/>
                <w:sz w:val="22"/>
              </w:rPr>
            </w:pPr>
            <w:r w:rsidRPr="00844C99">
              <w:rPr>
                <w:rFonts w:ascii="Calibri" w:hAnsi="Calibri" w:cs="Calibri"/>
                <w:color w:val="auto"/>
                <w:sz w:val="22"/>
              </w:rPr>
              <w:t>Follow best practice e.g. Japan on directional signage and markings.</w:t>
            </w:r>
          </w:p>
          <w:p w14:paraId="2AC88E09" w14:textId="1073F896" w:rsidR="009329F4" w:rsidRPr="00844C99" w:rsidRDefault="00275094" w:rsidP="000F03A2">
            <w:pPr>
              <w:numPr>
                <w:ilvl w:val="0"/>
                <w:numId w:val="13"/>
              </w:numPr>
              <w:spacing w:after="0" w:line="240" w:lineRule="auto"/>
              <w:contextualSpacing/>
              <w:rPr>
                <w:rFonts w:ascii="Calibri" w:hAnsi="Calibri" w:cs="Calibri"/>
                <w:color w:val="auto"/>
                <w:sz w:val="22"/>
              </w:rPr>
            </w:pPr>
            <w:r>
              <w:rPr>
                <w:rFonts w:ascii="Calibri" w:hAnsi="Calibri" w:cs="Calibri"/>
                <w:color w:val="auto"/>
                <w:sz w:val="22"/>
              </w:rPr>
              <w:t xml:space="preserve">Buildings without </w:t>
            </w:r>
            <w:r w:rsidR="004B0768">
              <w:rPr>
                <w:rFonts w:ascii="Calibri" w:hAnsi="Calibri" w:cs="Calibri"/>
                <w:color w:val="auto"/>
                <w:sz w:val="22"/>
              </w:rPr>
              <w:t>car park</w:t>
            </w:r>
            <w:r>
              <w:rPr>
                <w:rFonts w:ascii="Calibri" w:hAnsi="Calibri" w:cs="Calibri"/>
                <w:color w:val="auto"/>
                <w:sz w:val="22"/>
              </w:rPr>
              <w:t xml:space="preserve">s should require </w:t>
            </w:r>
            <w:r w:rsidR="004B0768">
              <w:rPr>
                <w:rFonts w:ascii="Calibri" w:hAnsi="Calibri" w:cs="Calibri"/>
                <w:color w:val="auto"/>
                <w:sz w:val="22"/>
              </w:rPr>
              <w:t>drop-off</w:t>
            </w:r>
            <w:r>
              <w:rPr>
                <w:rFonts w:ascii="Calibri" w:hAnsi="Calibri" w:cs="Calibri"/>
                <w:color w:val="auto"/>
                <w:sz w:val="22"/>
              </w:rPr>
              <w:t xml:space="preserve"> zones that meet accessible </w:t>
            </w:r>
            <w:r w:rsidR="002E717F">
              <w:rPr>
                <w:rFonts w:ascii="Calibri" w:hAnsi="Calibri" w:cs="Calibri"/>
                <w:color w:val="auto"/>
                <w:sz w:val="22"/>
              </w:rPr>
              <w:t>vehicle needs</w:t>
            </w:r>
          </w:p>
        </w:tc>
      </w:tr>
      <w:tr w:rsidR="00844C99" w:rsidRPr="00844C99" w14:paraId="5EB61E3A" w14:textId="77777777" w:rsidTr="00A44D43">
        <w:tc>
          <w:tcPr>
            <w:tcW w:w="568" w:type="dxa"/>
          </w:tcPr>
          <w:p w14:paraId="257224D6"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69</w:t>
            </w:r>
          </w:p>
        </w:tc>
        <w:tc>
          <w:tcPr>
            <w:tcW w:w="4394" w:type="dxa"/>
          </w:tcPr>
          <w:p w14:paraId="26FBF28C" w14:textId="0F5C7C8B"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Accessible car parks often too short for large vehicles (e.g., ACC supplied vans), need longer spaces (up to 9m for large vans)</w:t>
            </w:r>
          </w:p>
        </w:tc>
        <w:tc>
          <w:tcPr>
            <w:tcW w:w="1701" w:type="dxa"/>
          </w:tcPr>
          <w:p w14:paraId="2A949F4E"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22B040E4" w14:textId="77777777" w:rsidR="00844C99" w:rsidRPr="00844C99" w:rsidRDefault="00844C99" w:rsidP="000F03A2">
            <w:pPr>
              <w:numPr>
                <w:ilvl w:val="0"/>
                <w:numId w:val="13"/>
              </w:numPr>
              <w:spacing w:after="0" w:line="240" w:lineRule="auto"/>
              <w:contextualSpacing/>
              <w:rPr>
                <w:rFonts w:ascii="Calibri" w:hAnsi="Calibri" w:cs="Calibri"/>
                <w:color w:val="auto"/>
                <w:sz w:val="22"/>
              </w:rPr>
            </w:pPr>
            <w:r w:rsidRPr="00844C99">
              <w:rPr>
                <w:rFonts w:ascii="Calibri" w:hAnsi="Calibri" w:cs="Calibri"/>
                <w:color w:val="auto"/>
                <w:sz w:val="22"/>
              </w:rPr>
              <w:t>Same as 68 and 44</w:t>
            </w:r>
          </w:p>
        </w:tc>
      </w:tr>
      <w:tr w:rsidR="00844C99" w:rsidRPr="00844C99" w14:paraId="68D5084F" w14:textId="77777777" w:rsidTr="00A44D43">
        <w:tc>
          <w:tcPr>
            <w:tcW w:w="568" w:type="dxa"/>
          </w:tcPr>
          <w:p w14:paraId="0BB28824"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lastRenderedPageBreak/>
              <w:t>70</w:t>
            </w:r>
          </w:p>
        </w:tc>
        <w:tc>
          <w:tcPr>
            <w:tcW w:w="4394" w:type="dxa"/>
          </w:tcPr>
          <w:p w14:paraId="5B1D8439" w14:textId="6A22A9A0"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Overseas practice: shaded safe zones around parks</w:t>
            </w:r>
          </w:p>
        </w:tc>
        <w:tc>
          <w:tcPr>
            <w:tcW w:w="1701" w:type="dxa"/>
          </w:tcPr>
          <w:p w14:paraId="166672EC"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73539701" w14:textId="77777777" w:rsidR="00844C99" w:rsidRPr="00844C99" w:rsidRDefault="00844C99" w:rsidP="000F03A2">
            <w:pPr>
              <w:numPr>
                <w:ilvl w:val="0"/>
                <w:numId w:val="13"/>
              </w:numPr>
              <w:spacing w:after="0" w:line="240" w:lineRule="auto"/>
              <w:contextualSpacing/>
              <w:rPr>
                <w:rFonts w:ascii="Calibri" w:hAnsi="Calibri" w:cs="Calibri"/>
                <w:color w:val="auto"/>
                <w:sz w:val="22"/>
              </w:rPr>
            </w:pPr>
            <w:r w:rsidRPr="00844C99">
              <w:rPr>
                <w:rFonts w:ascii="Calibri" w:hAnsi="Calibri" w:cs="Calibri"/>
                <w:color w:val="auto"/>
                <w:sz w:val="22"/>
              </w:rPr>
              <w:t>Australia guidelines recommend at least 70% shade coverage across seating and play areas</w:t>
            </w:r>
          </w:p>
        </w:tc>
      </w:tr>
      <w:tr w:rsidR="00844C99" w:rsidRPr="00844C99" w14:paraId="33D74158" w14:textId="77777777" w:rsidTr="00A44D43">
        <w:tc>
          <w:tcPr>
            <w:tcW w:w="568" w:type="dxa"/>
          </w:tcPr>
          <w:p w14:paraId="4FAC9DC8"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71</w:t>
            </w:r>
          </w:p>
        </w:tc>
        <w:tc>
          <w:tcPr>
            <w:tcW w:w="4394" w:type="dxa"/>
          </w:tcPr>
          <w:p w14:paraId="2C2DEEC1" w14:textId="7B504725"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Underground car parks lack roof height clearance for the large vans that are often needed by </w:t>
            </w:r>
            <w:r w:rsidR="00A37801">
              <w:rPr>
                <w:rFonts w:ascii="Calibri" w:hAnsi="Calibri" w:cs="Calibri"/>
                <w:color w:val="auto"/>
                <w:sz w:val="22"/>
                <w:lang w:eastAsia="en-NZ"/>
              </w:rPr>
              <w:t>disabled people</w:t>
            </w:r>
            <w:r w:rsidRPr="00844C99">
              <w:rPr>
                <w:rFonts w:ascii="Calibri" w:hAnsi="Calibri" w:cs="Calibri"/>
                <w:color w:val="auto"/>
                <w:sz w:val="22"/>
                <w:lang w:eastAsia="en-NZ"/>
              </w:rPr>
              <w:t>.</w:t>
            </w:r>
          </w:p>
        </w:tc>
        <w:tc>
          <w:tcPr>
            <w:tcW w:w="1701" w:type="dxa"/>
          </w:tcPr>
          <w:p w14:paraId="792D2792"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5453F47D" w14:textId="77777777" w:rsidR="00844C99" w:rsidRPr="00844C99" w:rsidRDefault="00844C99" w:rsidP="000F03A2">
            <w:pPr>
              <w:numPr>
                <w:ilvl w:val="0"/>
                <w:numId w:val="13"/>
              </w:numPr>
              <w:spacing w:after="0" w:line="240" w:lineRule="auto"/>
              <w:contextualSpacing/>
              <w:rPr>
                <w:rFonts w:ascii="Calibri" w:hAnsi="Calibri" w:cs="Calibri"/>
                <w:color w:val="auto"/>
                <w:sz w:val="22"/>
              </w:rPr>
            </w:pPr>
            <w:r w:rsidRPr="00844C99">
              <w:rPr>
                <w:rFonts w:ascii="Calibri" w:hAnsi="Calibri" w:cs="Calibri"/>
                <w:color w:val="auto"/>
                <w:sz w:val="22"/>
              </w:rPr>
              <w:t>Same as 68 and 44</w:t>
            </w:r>
          </w:p>
        </w:tc>
      </w:tr>
      <w:tr w:rsidR="00844C99" w:rsidRPr="00844C99" w14:paraId="455CB02D" w14:textId="77777777" w:rsidTr="00A44D43">
        <w:tc>
          <w:tcPr>
            <w:tcW w:w="568" w:type="dxa"/>
          </w:tcPr>
          <w:p w14:paraId="63F28FF4"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72</w:t>
            </w:r>
          </w:p>
        </w:tc>
        <w:tc>
          <w:tcPr>
            <w:tcW w:w="4394" w:type="dxa"/>
          </w:tcPr>
          <w:p w14:paraId="6B896C50" w14:textId="4477609E"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Current formula for accessible parking based on total parking; may reduce accessible spaces as overall parking shrinks</w:t>
            </w:r>
          </w:p>
        </w:tc>
        <w:tc>
          <w:tcPr>
            <w:tcW w:w="1701" w:type="dxa"/>
          </w:tcPr>
          <w:p w14:paraId="120D2FC1"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1EEDA7CD" w14:textId="77777777" w:rsidR="00844C99" w:rsidRPr="00844C99" w:rsidRDefault="00844C99" w:rsidP="000F03A2">
            <w:pPr>
              <w:numPr>
                <w:ilvl w:val="0"/>
                <w:numId w:val="13"/>
              </w:numPr>
              <w:spacing w:after="0" w:line="240" w:lineRule="auto"/>
              <w:contextualSpacing/>
              <w:rPr>
                <w:rFonts w:ascii="Calibri" w:hAnsi="Calibri" w:cs="Calibri"/>
                <w:color w:val="auto"/>
                <w:sz w:val="22"/>
              </w:rPr>
            </w:pPr>
            <w:r w:rsidRPr="00844C99">
              <w:rPr>
                <w:rFonts w:ascii="Calibri" w:hAnsi="Calibri" w:cs="Calibri"/>
                <w:color w:val="auto"/>
                <w:sz w:val="22"/>
              </w:rPr>
              <w:t>NZS4121 specifies 1 per 20, then 1 per 50 thereafter. Japan has various requirements depending on location but around 2% is common and 5-10% is recommended.</w:t>
            </w:r>
          </w:p>
          <w:p w14:paraId="1E4B2F27" w14:textId="77777777" w:rsidR="00844C99" w:rsidRPr="00844C99" w:rsidRDefault="00844C99" w:rsidP="000F03A2">
            <w:pPr>
              <w:numPr>
                <w:ilvl w:val="0"/>
                <w:numId w:val="13"/>
              </w:numPr>
              <w:spacing w:after="0" w:line="240" w:lineRule="auto"/>
              <w:contextualSpacing/>
              <w:rPr>
                <w:rFonts w:ascii="Calibri" w:hAnsi="Calibri" w:cs="Calibri"/>
                <w:color w:val="auto"/>
                <w:sz w:val="22"/>
              </w:rPr>
            </w:pPr>
            <w:r w:rsidRPr="00844C99">
              <w:rPr>
                <w:rFonts w:ascii="Calibri" w:hAnsi="Calibri" w:cs="Calibri"/>
                <w:color w:val="auto"/>
                <w:sz w:val="22"/>
              </w:rPr>
              <w:t xml:space="preserve">Perhaps this could depend on building type e.g. more at hospitals, schools, etc. but this has disadvantages (assumption that people with </w:t>
            </w:r>
            <w:proofErr w:type="gramStart"/>
            <w:r w:rsidRPr="00844C99">
              <w:rPr>
                <w:rFonts w:ascii="Calibri" w:hAnsi="Calibri" w:cs="Calibri"/>
                <w:color w:val="auto"/>
                <w:sz w:val="22"/>
              </w:rPr>
              <w:t>disability</w:t>
            </w:r>
            <w:proofErr w:type="gramEnd"/>
            <w:r w:rsidRPr="00844C99">
              <w:rPr>
                <w:rFonts w:ascii="Calibri" w:hAnsi="Calibri" w:cs="Calibri"/>
                <w:color w:val="auto"/>
                <w:sz w:val="22"/>
              </w:rPr>
              <w:t xml:space="preserve"> don’t have the right to access other buildings).</w:t>
            </w:r>
          </w:p>
        </w:tc>
      </w:tr>
      <w:tr w:rsidR="00844C99" w:rsidRPr="00844C99" w14:paraId="7F3B27DD" w14:textId="77777777" w:rsidTr="00A44D43">
        <w:tc>
          <w:tcPr>
            <w:tcW w:w="568" w:type="dxa"/>
          </w:tcPr>
          <w:p w14:paraId="0FDF935B"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73</w:t>
            </w:r>
          </w:p>
        </w:tc>
        <w:tc>
          <w:tcPr>
            <w:tcW w:w="4394" w:type="dxa"/>
          </w:tcPr>
          <w:p w14:paraId="0F24B7D8" w14:textId="475C8C18"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Hotel/rest home rooms often lack space around beds for mobility devices</w:t>
            </w:r>
          </w:p>
        </w:tc>
        <w:tc>
          <w:tcPr>
            <w:tcW w:w="1701" w:type="dxa"/>
          </w:tcPr>
          <w:p w14:paraId="0EAD8C46"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32EB12C0" w14:textId="5B3C4173" w:rsidR="00844C99" w:rsidRPr="003D504E" w:rsidRDefault="00844C99" w:rsidP="000F03A2">
            <w:pPr>
              <w:pStyle w:val="ListParagraph"/>
              <w:numPr>
                <w:ilvl w:val="0"/>
                <w:numId w:val="82"/>
              </w:numPr>
              <w:spacing w:after="0" w:line="240" w:lineRule="auto"/>
              <w:rPr>
                <w:rFonts w:ascii="Calibri" w:hAnsi="Calibri" w:cs="Calibri"/>
                <w:color w:val="auto"/>
                <w:sz w:val="22"/>
              </w:rPr>
            </w:pPr>
            <w:r w:rsidRPr="003D504E">
              <w:rPr>
                <w:rFonts w:ascii="Calibri" w:hAnsi="Calibri" w:cs="Calibri"/>
                <w:color w:val="auto"/>
                <w:sz w:val="22"/>
              </w:rPr>
              <w:t>NZ is one of the countries listed as using best practice accessible bedrooms</w:t>
            </w:r>
            <w:r w:rsidR="00196BDC">
              <w:rPr>
                <w:rFonts w:ascii="Calibri" w:hAnsi="Calibri" w:cs="Calibri"/>
                <w:color w:val="auto"/>
                <w:sz w:val="22"/>
              </w:rPr>
              <w:t>,</w:t>
            </w:r>
            <w:r w:rsidRPr="003D504E">
              <w:rPr>
                <w:rFonts w:ascii="Calibri" w:hAnsi="Calibri" w:cs="Calibri"/>
                <w:color w:val="auto"/>
                <w:sz w:val="22"/>
              </w:rPr>
              <w:t xml:space="preserve"> </w:t>
            </w:r>
            <w:proofErr w:type="gramStart"/>
            <w:r w:rsidRPr="003D504E">
              <w:rPr>
                <w:rFonts w:ascii="Calibri" w:hAnsi="Calibri" w:cs="Calibri"/>
                <w:color w:val="auto"/>
                <w:sz w:val="22"/>
              </w:rPr>
              <w:t>so</w:t>
            </w:r>
            <w:proofErr w:type="gramEnd"/>
            <w:r w:rsidRPr="003D504E">
              <w:rPr>
                <w:rFonts w:ascii="Calibri" w:hAnsi="Calibri" w:cs="Calibri"/>
                <w:color w:val="auto"/>
                <w:sz w:val="22"/>
              </w:rPr>
              <w:t xml:space="preserve"> not sure if this is a big issue? Internet should find accessible rooms</w:t>
            </w:r>
          </w:p>
        </w:tc>
      </w:tr>
      <w:tr w:rsidR="00844C99" w:rsidRPr="00844C99" w14:paraId="377066E5" w14:textId="77777777" w:rsidTr="00A44D43">
        <w:tc>
          <w:tcPr>
            <w:tcW w:w="568" w:type="dxa"/>
          </w:tcPr>
          <w:p w14:paraId="1B753A81"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74</w:t>
            </w:r>
          </w:p>
        </w:tc>
        <w:tc>
          <w:tcPr>
            <w:tcW w:w="4394" w:type="dxa"/>
          </w:tcPr>
          <w:p w14:paraId="7B522C05"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Assumption that disabled people don’t have families = lack of family-friendly accessible units in hotels</w:t>
            </w:r>
          </w:p>
        </w:tc>
        <w:tc>
          <w:tcPr>
            <w:tcW w:w="1701" w:type="dxa"/>
          </w:tcPr>
          <w:p w14:paraId="1A6FAEC2"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49901487" w14:textId="41590973" w:rsidR="00844C99" w:rsidRPr="003D504E" w:rsidRDefault="00844C99" w:rsidP="000F03A2">
            <w:pPr>
              <w:pStyle w:val="ListParagraph"/>
              <w:numPr>
                <w:ilvl w:val="0"/>
                <w:numId w:val="82"/>
              </w:numPr>
              <w:spacing w:after="0" w:line="240" w:lineRule="auto"/>
              <w:rPr>
                <w:rFonts w:ascii="Calibri" w:hAnsi="Calibri" w:cs="Calibri"/>
                <w:color w:val="auto"/>
                <w:sz w:val="22"/>
              </w:rPr>
            </w:pPr>
            <w:r w:rsidRPr="003D504E">
              <w:rPr>
                <w:rFonts w:ascii="Calibri" w:hAnsi="Calibri" w:cs="Calibri"/>
                <w:color w:val="auto"/>
                <w:sz w:val="22"/>
              </w:rPr>
              <w:t>Presumably</w:t>
            </w:r>
            <w:r w:rsidR="003D504E">
              <w:rPr>
                <w:rFonts w:ascii="Calibri" w:hAnsi="Calibri" w:cs="Calibri"/>
                <w:color w:val="auto"/>
                <w:sz w:val="22"/>
              </w:rPr>
              <w:t>,</w:t>
            </w:r>
            <w:r w:rsidRPr="003D504E">
              <w:rPr>
                <w:rFonts w:ascii="Calibri" w:hAnsi="Calibri" w:cs="Calibri"/>
                <w:color w:val="auto"/>
                <w:sz w:val="22"/>
              </w:rPr>
              <w:t xml:space="preserve"> </w:t>
            </w:r>
            <w:r w:rsidR="003D504E" w:rsidRPr="003D504E">
              <w:rPr>
                <w:rFonts w:ascii="Calibri" w:hAnsi="Calibri" w:cs="Calibri"/>
                <w:color w:val="auto"/>
                <w:sz w:val="22"/>
              </w:rPr>
              <w:t>can family</w:t>
            </w:r>
            <w:r w:rsidRPr="003D504E">
              <w:rPr>
                <w:rFonts w:ascii="Calibri" w:hAnsi="Calibri" w:cs="Calibri"/>
                <w:color w:val="auto"/>
                <w:sz w:val="22"/>
              </w:rPr>
              <w:t xml:space="preserve"> stay in regular rooms near the accessible rooms?</w:t>
            </w:r>
          </w:p>
        </w:tc>
      </w:tr>
      <w:tr w:rsidR="00844C99" w:rsidRPr="00844C99" w14:paraId="65955A58" w14:textId="77777777" w:rsidTr="00A44D43">
        <w:tc>
          <w:tcPr>
            <w:tcW w:w="568" w:type="dxa"/>
          </w:tcPr>
          <w:p w14:paraId="6E282F96"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75</w:t>
            </w:r>
          </w:p>
        </w:tc>
        <w:tc>
          <w:tcPr>
            <w:tcW w:w="4394" w:type="dxa"/>
          </w:tcPr>
          <w:p w14:paraId="16B689E0" w14:textId="508DD051"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Too few accessible hotel rooms; demand exceeds supply</w:t>
            </w:r>
          </w:p>
        </w:tc>
        <w:tc>
          <w:tcPr>
            <w:tcW w:w="1701" w:type="dxa"/>
          </w:tcPr>
          <w:p w14:paraId="73D41DEE"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w:t>
            </w:r>
          </w:p>
        </w:tc>
        <w:tc>
          <w:tcPr>
            <w:tcW w:w="7371" w:type="dxa"/>
          </w:tcPr>
          <w:p w14:paraId="2B8D1F36" w14:textId="29CE9A3B" w:rsidR="00844C99" w:rsidRPr="003D504E" w:rsidRDefault="00844C99" w:rsidP="000F03A2">
            <w:pPr>
              <w:pStyle w:val="ListParagraph"/>
              <w:numPr>
                <w:ilvl w:val="0"/>
                <w:numId w:val="82"/>
              </w:numPr>
              <w:spacing w:after="0" w:line="240" w:lineRule="auto"/>
              <w:rPr>
                <w:rFonts w:ascii="Calibri" w:hAnsi="Calibri" w:cs="Calibri"/>
                <w:color w:val="auto"/>
                <w:sz w:val="22"/>
                <w:lang w:eastAsia="en-NZ"/>
              </w:rPr>
            </w:pPr>
            <w:r w:rsidRPr="003D504E">
              <w:rPr>
                <w:rFonts w:ascii="Calibri" w:hAnsi="Calibri" w:cs="Calibri"/>
                <w:color w:val="auto"/>
                <w:sz w:val="22"/>
                <w:lang w:eastAsia="en-NZ"/>
              </w:rPr>
              <w:t>Increase the number of accessible rooms hotels have available</w:t>
            </w:r>
          </w:p>
          <w:p w14:paraId="5FF315E2" w14:textId="179427FC" w:rsidR="00844C99" w:rsidRPr="003D504E" w:rsidRDefault="00844C99" w:rsidP="000F03A2">
            <w:pPr>
              <w:pStyle w:val="ListParagraph"/>
              <w:numPr>
                <w:ilvl w:val="0"/>
                <w:numId w:val="82"/>
              </w:numPr>
              <w:spacing w:after="0" w:line="240" w:lineRule="auto"/>
              <w:rPr>
                <w:rFonts w:ascii="Calibri" w:hAnsi="Calibri" w:cs="Calibri"/>
                <w:color w:val="auto"/>
                <w:sz w:val="22"/>
              </w:rPr>
            </w:pPr>
            <w:r w:rsidRPr="003D504E">
              <w:rPr>
                <w:rFonts w:ascii="Calibri" w:hAnsi="Calibri" w:cs="Calibri"/>
                <w:color w:val="auto"/>
                <w:sz w:val="22"/>
                <w:lang w:eastAsia="en-NZ"/>
              </w:rPr>
              <w:t>In NZ the B</w:t>
            </w:r>
            <w:r w:rsidR="00451E0B" w:rsidRPr="003D504E">
              <w:rPr>
                <w:rFonts w:ascii="Calibri" w:hAnsi="Calibri" w:cs="Calibri"/>
                <w:color w:val="auto"/>
                <w:sz w:val="22"/>
                <w:lang w:eastAsia="en-NZ"/>
              </w:rPr>
              <w:t xml:space="preserve">uilding </w:t>
            </w:r>
            <w:r w:rsidRPr="003D504E">
              <w:rPr>
                <w:rFonts w:ascii="Calibri" w:hAnsi="Calibri" w:cs="Calibri"/>
                <w:color w:val="auto"/>
                <w:sz w:val="22"/>
                <w:lang w:eastAsia="en-NZ"/>
              </w:rPr>
              <w:t>C</w:t>
            </w:r>
            <w:r w:rsidR="00451E0B" w:rsidRPr="003D504E">
              <w:rPr>
                <w:rFonts w:ascii="Calibri" w:hAnsi="Calibri" w:cs="Calibri"/>
                <w:color w:val="auto"/>
                <w:sz w:val="22"/>
                <w:lang w:eastAsia="en-NZ"/>
              </w:rPr>
              <w:t>ode</w:t>
            </w:r>
            <w:r w:rsidRPr="003D504E">
              <w:rPr>
                <w:rFonts w:ascii="Calibri" w:hAnsi="Calibri" w:cs="Calibri"/>
                <w:color w:val="auto"/>
                <w:sz w:val="22"/>
                <w:lang w:eastAsia="en-NZ"/>
              </w:rPr>
              <w:t xml:space="preserve"> sets this requirement at 1 accessible room for 1-20 rooms, 2 for 21-40 rooms, 3 for 41-60 rooms and 5% for anything larger. </w:t>
            </w:r>
            <w:r w:rsidRPr="003D504E">
              <w:rPr>
                <w:rFonts w:ascii="Calibri" w:hAnsi="Calibri" w:cs="Calibri"/>
                <w:color w:val="auto"/>
                <w:sz w:val="22"/>
              </w:rPr>
              <w:t xml:space="preserve">In the US, the </w:t>
            </w:r>
            <w:r w:rsidR="002602E1" w:rsidRPr="003D504E">
              <w:rPr>
                <w:rFonts w:ascii="Calibri" w:hAnsi="Calibri" w:cs="Calibri"/>
                <w:color w:val="auto"/>
                <w:sz w:val="22"/>
              </w:rPr>
              <w:t>American</w:t>
            </w:r>
            <w:r w:rsidR="00615CF3" w:rsidRPr="003D504E">
              <w:rPr>
                <w:rFonts w:ascii="Calibri" w:hAnsi="Calibri" w:cs="Calibri"/>
                <w:color w:val="auto"/>
                <w:sz w:val="22"/>
              </w:rPr>
              <w:t>s with</w:t>
            </w:r>
            <w:r w:rsidRPr="003D504E">
              <w:rPr>
                <w:rFonts w:ascii="Calibri" w:hAnsi="Calibri" w:cs="Calibri"/>
                <w:color w:val="auto"/>
                <w:sz w:val="22"/>
              </w:rPr>
              <w:t xml:space="preserve"> </w:t>
            </w:r>
            <w:r w:rsidR="002602E1" w:rsidRPr="003D504E">
              <w:rPr>
                <w:rFonts w:ascii="Calibri" w:hAnsi="Calibri" w:cs="Calibri"/>
                <w:color w:val="auto"/>
                <w:sz w:val="22"/>
              </w:rPr>
              <w:t>Disabili</w:t>
            </w:r>
            <w:r w:rsidR="00615CF3" w:rsidRPr="003D504E">
              <w:rPr>
                <w:rFonts w:ascii="Calibri" w:hAnsi="Calibri" w:cs="Calibri"/>
                <w:color w:val="auto"/>
                <w:sz w:val="22"/>
              </w:rPr>
              <w:t>ties</w:t>
            </w:r>
            <w:r w:rsidR="002602E1" w:rsidRPr="003D504E">
              <w:rPr>
                <w:rFonts w:ascii="Calibri" w:hAnsi="Calibri" w:cs="Calibri"/>
                <w:color w:val="auto"/>
                <w:sz w:val="22"/>
              </w:rPr>
              <w:t xml:space="preserve"> Act </w:t>
            </w:r>
            <w:r w:rsidRPr="003D504E">
              <w:rPr>
                <w:rFonts w:ascii="Calibri" w:hAnsi="Calibri" w:cs="Calibri"/>
                <w:color w:val="auto"/>
                <w:sz w:val="22"/>
              </w:rPr>
              <w:t>requires 1 accessible room for hotels with up to 25 room, 2 for hotels with 26-50 room, 3-4 for 51-75 rooms and 2-5% for hotels with more rooms. They must have visual fire alarms, TTY compatibility (teletype facility on phone), amplified phones, visual doorbells for guests who are d</w:t>
            </w:r>
            <w:r w:rsidR="006C57F9" w:rsidRPr="003D504E">
              <w:rPr>
                <w:rFonts w:ascii="Calibri" w:hAnsi="Calibri" w:cs="Calibri"/>
                <w:color w:val="auto"/>
                <w:sz w:val="22"/>
              </w:rPr>
              <w:t>/D</w:t>
            </w:r>
            <w:r w:rsidRPr="003D504E">
              <w:rPr>
                <w:rFonts w:ascii="Calibri" w:hAnsi="Calibri" w:cs="Calibri"/>
                <w:color w:val="auto"/>
                <w:sz w:val="22"/>
              </w:rPr>
              <w:t xml:space="preserve">eaf or hard of hearing. </w:t>
            </w:r>
            <w:proofErr w:type="gramStart"/>
            <w:r w:rsidRPr="003D504E">
              <w:rPr>
                <w:rFonts w:ascii="Calibri" w:hAnsi="Calibri" w:cs="Calibri"/>
                <w:color w:val="auto"/>
                <w:sz w:val="22"/>
              </w:rPr>
              <w:t>So</w:t>
            </w:r>
            <w:proofErr w:type="gramEnd"/>
            <w:r w:rsidRPr="003D504E">
              <w:rPr>
                <w:rFonts w:ascii="Calibri" w:hAnsi="Calibri" w:cs="Calibri"/>
                <w:color w:val="auto"/>
                <w:sz w:val="22"/>
              </w:rPr>
              <w:t xml:space="preserve"> it looks as though NZ is at the high end of provision. Perhaps this </w:t>
            </w:r>
            <w:proofErr w:type="gramStart"/>
            <w:r w:rsidRPr="003D504E">
              <w:rPr>
                <w:rFonts w:ascii="Calibri" w:hAnsi="Calibri" w:cs="Calibri"/>
                <w:color w:val="auto"/>
                <w:sz w:val="22"/>
              </w:rPr>
              <w:t>is a reflection of</w:t>
            </w:r>
            <w:proofErr w:type="gramEnd"/>
            <w:r w:rsidRPr="003D504E">
              <w:rPr>
                <w:rFonts w:ascii="Calibri" w:hAnsi="Calibri" w:cs="Calibri"/>
                <w:color w:val="auto"/>
                <w:sz w:val="22"/>
              </w:rPr>
              <w:t xml:space="preserve"> more </w:t>
            </w:r>
            <w:r w:rsidR="00615CF3" w:rsidRPr="003D504E">
              <w:rPr>
                <w:rFonts w:ascii="Calibri" w:hAnsi="Calibri" w:cs="Calibri"/>
                <w:color w:val="auto"/>
                <w:sz w:val="22"/>
              </w:rPr>
              <w:t>disabled people</w:t>
            </w:r>
            <w:r w:rsidRPr="003D504E">
              <w:rPr>
                <w:rFonts w:ascii="Calibri" w:hAnsi="Calibri" w:cs="Calibri"/>
                <w:color w:val="auto"/>
                <w:sz w:val="22"/>
              </w:rPr>
              <w:t xml:space="preserve"> than when the standards were written</w:t>
            </w:r>
          </w:p>
          <w:p w14:paraId="0B9B72F2" w14:textId="05689120" w:rsidR="00844C99" w:rsidRPr="00844C99" w:rsidRDefault="00844C99" w:rsidP="000F03A2">
            <w:pPr>
              <w:numPr>
                <w:ilvl w:val="0"/>
                <w:numId w:val="82"/>
              </w:numPr>
              <w:spacing w:after="0" w:line="240" w:lineRule="auto"/>
              <w:contextualSpacing/>
              <w:rPr>
                <w:rFonts w:ascii="Calibri" w:hAnsi="Calibri" w:cs="Calibri"/>
                <w:color w:val="auto"/>
                <w:sz w:val="22"/>
              </w:rPr>
            </w:pPr>
            <w:r w:rsidRPr="00844C99">
              <w:rPr>
                <w:rFonts w:ascii="Calibri" w:hAnsi="Calibri" w:cs="Calibri"/>
                <w:color w:val="auto"/>
                <w:sz w:val="22"/>
              </w:rPr>
              <w:t xml:space="preserve">Check % of </w:t>
            </w:r>
            <w:r w:rsidR="00615CF3">
              <w:rPr>
                <w:rFonts w:ascii="Calibri" w:hAnsi="Calibri" w:cs="Calibri"/>
                <w:color w:val="auto"/>
                <w:sz w:val="22"/>
              </w:rPr>
              <w:t>disabled people</w:t>
            </w:r>
            <w:r w:rsidRPr="00844C99">
              <w:rPr>
                <w:rFonts w:ascii="Calibri" w:hAnsi="Calibri" w:cs="Calibri"/>
                <w:color w:val="auto"/>
                <w:sz w:val="22"/>
              </w:rPr>
              <w:t xml:space="preserve"> and increase the number of accessible rooms proportionately with that increase</w:t>
            </w:r>
          </w:p>
        </w:tc>
      </w:tr>
      <w:tr w:rsidR="00844C99" w:rsidRPr="00844C99" w14:paraId="1C9808D8" w14:textId="77777777" w:rsidTr="00A44D43">
        <w:tc>
          <w:tcPr>
            <w:tcW w:w="568" w:type="dxa"/>
          </w:tcPr>
          <w:p w14:paraId="2DB7D728"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lastRenderedPageBreak/>
              <w:t>76</w:t>
            </w:r>
          </w:p>
        </w:tc>
        <w:tc>
          <w:tcPr>
            <w:tcW w:w="4394" w:type="dxa"/>
          </w:tcPr>
          <w:p w14:paraId="00C5F6AC"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Lack of long-term accessible options beyond tourism.</w:t>
            </w:r>
          </w:p>
        </w:tc>
        <w:tc>
          <w:tcPr>
            <w:tcW w:w="1701" w:type="dxa"/>
          </w:tcPr>
          <w:p w14:paraId="4594CF7E"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78E8F8A7" w14:textId="4C145B8C" w:rsidR="00844C99" w:rsidRPr="000F03A2" w:rsidRDefault="00844C99" w:rsidP="000F03A2">
            <w:pPr>
              <w:pStyle w:val="ListParagraph"/>
              <w:numPr>
                <w:ilvl w:val="0"/>
                <w:numId w:val="83"/>
              </w:numPr>
              <w:spacing w:after="0" w:line="240" w:lineRule="auto"/>
              <w:rPr>
                <w:rFonts w:ascii="Calibri" w:hAnsi="Calibri" w:cs="Calibri"/>
                <w:color w:val="auto"/>
                <w:sz w:val="22"/>
                <w:lang w:eastAsia="en-NZ"/>
              </w:rPr>
            </w:pPr>
            <w:r w:rsidRPr="000F03A2">
              <w:rPr>
                <w:rFonts w:ascii="Calibri" w:hAnsi="Calibri" w:cs="Calibri"/>
                <w:color w:val="auto"/>
                <w:sz w:val="22"/>
                <w:lang w:eastAsia="en-NZ"/>
              </w:rPr>
              <w:t xml:space="preserve">Not </w:t>
            </w:r>
            <w:r w:rsidR="000F03A2">
              <w:rPr>
                <w:rFonts w:ascii="Calibri" w:hAnsi="Calibri" w:cs="Calibri"/>
                <w:color w:val="auto"/>
                <w:sz w:val="22"/>
                <w:lang w:eastAsia="en-NZ"/>
              </w:rPr>
              <w:t>clear</w:t>
            </w:r>
            <w:r w:rsidRPr="000F03A2">
              <w:rPr>
                <w:rFonts w:ascii="Calibri" w:hAnsi="Calibri" w:cs="Calibri"/>
                <w:color w:val="auto"/>
                <w:sz w:val="22"/>
                <w:lang w:eastAsia="en-NZ"/>
              </w:rPr>
              <w:t xml:space="preserve"> what this means, long</w:t>
            </w:r>
            <w:r w:rsidR="00DF79CC">
              <w:rPr>
                <w:rFonts w:ascii="Calibri" w:hAnsi="Calibri" w:cs="Calibri"/>
                <w:color w:val="auto"/>
                <w:sz w:val="22"/>
                <w:lang w:eastAsia="en-NZ"/>
              </w:rPr>
              <w:t>-</w:t>
            </w:r>
            <w:r w:rsidRPr="000F03A2">
              <w:rPr>
                <w:rFonts w:ascii="Calibri" w:hAnsi="Calibri" w:cs="Calibri"/>
                <w:color w:val="auto"/>
                <w:sz w:val="22"/>
                <w:lang w:eastAsia="en-NZ"/>
              </w:rPr>
              <w:t>term care facilities?</w:t>
            </w:r>
          </w:p>
        </w:tc>
      </w:tr>
      <w:tr w:rsidR="00844C99" w:rsidRPr="00844C99" w14:paraId="3C2FD185" w14:textId="77777777" w:rsidTr="00A44D43">
        <w:tc>
          <w:tcPr>
            <w:tcW w:w="568" w:type="dxa"/>
          </w:tcPr>
          <w:p w14:paraId="0F9808C9"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77</w:t>
            </w:r>
          </w:p>
        </w:tc>
        <w:tc>
          <w:tcPr>
            <w:tcW w:w="4394" w:type="dxa"/>
          </w:tcPr>
          <w:p w14:paraId="5695B0FA" w14:textId="77777777" w:rsidR="00844C99" w:rsidRPr="00844C99" w:rsidRDefault="00844C99" w:rsidP="00844C99">
            <w:pPr>
              <w:spacing w:after="0" w:line="240" w:lineRule="auto"/>
              <w:rPr>
                <w:rFonts w:ascii="Calibri" w:hAnsi="Calibri" w:cs="Calibri"/>
                <w:b/>
                <w:bCs/>
                <w:color w:val="auto"/>
                <w:sz w:val="22"/>
                <w:lang w:eastAsia="en-NZ"/>
              </w:rPr>
            </w:pPr>
            <w:r w:rsidRPr="00844C99">
              <w:rPr>
                <w:rFonts w:ascii="Calibri" w:hAnsi="Calibri" w:cs="Calibri"/>
                <w:color w:val="auto"/>
                <w:sz w:val="22"/>
                <w:lang w:eastAsia="en-NZ"/>
              </w:rPr>
              <w:t>Lifts are often far from stairs/exits that causes extra pain for ambulatory users.</w:t>
            </w:r>
          </w:p>
        </w:tc>
        <w:tc>
          <w:tcPr>
            <w:tcW w:w="1701" w:type="dxa"/>
          </w:tcPr>
          <w:p w14:paraId="47B35C3C"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p w14:paraId="46E63579"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Regulations</w:t>
            </w:r>
          </w:p>
        </w:tc>
        <w:tc>
          <w:tcPr>
            <w:tcW w:w="7371" w:type="dxa"/>
          </w:tcPr>
          <w:p w14:paraId="089E4E55" w14:textId="23207D91" w:rsidR="00844C99" w:rsidRPr="000F03A2" w:rsidRDefault="00844C99" w:rsidP="000F03A2">
            <w:pPr>
              <w:pStyle w:val="ListParagraph"/>
              <w:numPr>
                <w:ilvl w:val="0"/>
                <w:numId w:val="83"/>
              </w:numPr>
              <w:spacing w:after="0" w:line="240" w:lineRule="auto"/>
              <w:rPr>
                <w:rFonts w:ascii="Calibri" w:hAnsi="Calibri" w:cs="Calibri"/>
                <w:color w:val="auto"/>
                <w:sz w:val="22"/>
                <w:lang w:eastAsia="en-NZ"/>
              </w:rPr>
            </w:pPr>
            <w:r w:rsidRPr="000F03A2">
              <w:rPr>
                <w:rFonts w:ascii="Calibri" w:hAnsi="Calibri" w:cs="Calibri"/>
                <w:color w:val="auto"/>
                <w:sz w:val="22"/>
                <w:lang w:eastAsia="en-NZ"/>
              </w:rPr>
              <w:t>Neither Japan nor NZ specify max distance to lifts, merely that they must be part of accessible routes</w:t>
            </w:r>
          </w:p>
        </w:tc>
      </w:tr>
      <w:tr w:rsidR="00844C99" w:rsidRPr="00844C99" w14:paraId="3BA05C50" w14:textId="77777777" w:rsidTr="00A44D43">
        <w:tc>
          <w:tcPr>
            <w:tcW w:w="568" w:type="dxa"/>
          </w:tcPr>
          <w:p w14:paraId="1185AF77"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78</w:t>
            </w:r>
          </w:p>
        </w:tc>
        <w:tc>
          <w:tcPr>
            <w:tcW w:w="4394" w:type="dxa"/>
          </w:tcPr>
          <w:p w14:paraId="50A91B08"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Destination-controlled touchscreen </w:t>
            </w:r>
            <w:proofErr w:type="gramStart"/>
            <w:r w:rsidRPr="00844C99">
              <w:rPr>
                <w:rFonts w:ascii="Calibri" w:hAnsi="Calibri" w:cs="Calibri"/>
                <w:color w:val="auto"/>
                <w:sz w:val="22"/>
                <w:lang w:eastAsia="en-NZ"/>
              </w:rPr>
              <w:t>lift</w:t>
            </w:r>
            <w:proofErr w:type="gramEnd"/>
            <w:r w:rsidRPr="00844C99">
              <w:rPr>
                <w:rFonts w:ascii="Calibri" w:hAnsi="Calibri" w:cs="Calibri"/>
                <w:color w:val="auto"/>
                <w:sz w:val="22"/>
                <w:lang w:eastAsia="en-NZ"/>
              </w:rPr>
              <w:t xml:space="preserve"> controls introduced without usability assessment.</w:t>
            </w:r>
          </w:p>
        </w:tc>
        <w:tc>
          <w:tcPr>
            <w:tcW w:w="1701" w:type="dxa"/>
          </w:tcPr>
          <w:p w14:paraId="027EE198"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58A135F8" w14:textId="699DCCE8" w:rsidR="00844C99" w:rsidRPr="000F03A2" w:rsidRDefault="00844C99" w:rsidP="000F03A2">
            <w:pPr>
              <w:pStyle w:val="ListParagraph"/>
              <w:numPr>
                <w:ilvl w:val="0"/>
                <w:numId w:val="83"/>
              </w:numPr>
              <w:spacing w:after="0" w:line="240" w:lineRule="auto"/>
              <w:rPr>
                <w:rFonts w:ascii="Calibri" w:hAnsi="Calibri" w:cs="Calibri"/>
                <w:color w:val="auto"/>
                <w:sz w:val="22"/>
                <w:lang w:eastAsia="en-NZ"/>
              </w:rPr>
            </w:pPr>
            <w:r w:rsidRPr="000F03A2">
              <w:rPr>
                <w:rFonts w:ascii="Calibri" w:hAnsi="Calibri" w:cs="Calibri"/>
                <w:color w:val="auto"/>
                <w:sz w:val="22"/>
                <w:lang w:eastAsia="en-NZ"/>
              </w:rPr>
              <w:t xml:space="preserve">This is going to cost more than standard lift </w:t>
            </w:r>
            <w:proofErr w:type="gramStart"/>
            <w:r w:rsidRPr="000F03A2">
              <w:rPr>
                <w:rFonts w:ascii="Calibri" w:hAnsi="Calibri" w:cs="Calibri"/>
                <w:color w:val="auto"/>
                <w:sz w:val="22"/>
                <w:lang w:eastAsia="en-NZ"/>
              </w:rPr>
              <w:t>control</w:t>
            </w:r>
            <w:proofErr w:type="gramEnd"/>
            <w:r w:rsidRPr="000F03A2">
              <w:rPr>
                <w:rFonts w:ascii="Calibri" w:hAnsi="Calibri" w:cs="Calibri"/>
                <w:color w:val="auto"/>
                <w:sz w:val="22"/>
                <w:lang w:eastAsia="en-NZ"/>
              </w:rPr>
              <w:t xml:space="preserve"> but accessibility features must be subsidized by NZ government so that the cost is shared by all taxpayers and doesn’t land unfairly on the construction sector</w:t>
            </w:r>
          </w:p>
        </w:tc>
      </w:tr>
      <w:tr w:rsidR="00844C99" w:rsidRPr="00844C99" w14:paraId="7C53FB4D" w14:textId="77777777" w:rsidTr="00A44D43">
        <w:tc>
          <w:tcPr>
            <w:tcW w:w="568" w:type="dxa"/>
          </w:tcPr>
          <w:p w14:paraId="12024527"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79</w:t>
            </w:r>
          </w:p>
        </w:tc>
        <w:tc>
          <w:tcPr>
            <w:tcW w:w="4394" w:type="dxa"/>
          </w:tcPr>
          <w:p w14:paraId="7C23A5B5"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Lack of audio in lifts disadvantages blind users. </w:t>
            </w:r>
          </w:p>
        </w:tc>
        <w:tc>
          <w:tcPr>
            <w:tcW w:w="1701" w:type="dxa"/>
          </w:tcPr>
          <w:p w14:paraId="7E9907F6"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4FD36845" w14:textId="77777777" w:rsidR="00844C99" w:rsidRPr="00844C99" w:rsidRDefault="00844C99" w:rsidP="000F03A2">
            <w:pPr>
              <w:numPr>
                <w:ilvl w:val="0"/>
                <w:numId w:val="14"/>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Mandatory audio and visual communication in lifts</w:t>
            </w:r>
          </w:p>
        </w:tc>
      </w:tr>
      <w:tr w:rsidR="00844C99" w:rsidRPr="00844C99" w14:paraId="4AFA80F0" w14:textId="77777777" w:rsidTr="00A44D43">
        <w:tc>
          <w:tcPr>
            <w:tcW w:w="568" w:type="dxa"/>
          </w:tcPr>
          <w:p w14:paraId="3CDCA9D1"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80</w:t>
            </w:r>
          </w:p>
        </w:tc>
        <w:tc>
          <w:tcPr>
            <w:tcW w:w="4394" w:type="dxa"/>
          </w:tcPr>
          <w:p w14:paraId="786B7FAE"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Swipe card systems </w:t>
            </w:r>
            <w:proofErr w:type="gramStart"/>
            <w:r w:rsidRPr="00844C99">
              <w:rPr>
                <w:rFonts w:ascii="Calibri" w:hAnsi="Calibri" w:cs="Calibri"/>
                <w:color w:val="auto"/>
                <w:sz w:val="22"/>
                <w:lang w:eastAsia="en-NZ"/>
              </w:rPr>
              <w:t>inaccessible</w:t>
            </w:r>
            <w:proofErr w:type="gramEnd"/>
            <w:r w:rsidRPr="00844C99">
              <w:rPr>
                <w:rFonts w:ascii="Calibri" w:hAnsi="Calibri" w:cs="Calibri"/>
                <w:color w:val="auto"/>
                <w:sz w:val="22"/>
                <w:lang w:eastAsia="en-NZ"/>
              </w:rPr>
              <w:t xml:space="preserve"> (timing issues, no feedback).</w:t>
            </w:r>
          </w:p>
        </w:tc>
        <w:tc>
          <w:tcPr>
            <w:tcW w:w="1701" w:type="dxa"/>
          </w:tcPr>
          <w:p w14:paraId="4F0E1E5C"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Standard/Other</w:t>
            </w:r>
          </w:p>
        </w:tc>
        <w:tc>
          <w:tcPr>
            <w:tcW w:w="7371" w:type="dxa"/>
          </w:tcPr>
          <w:p w14:paraId="6BAF9BD7" w14:textId="77777777" w:rsidR="00844C99" w:rsidRPr="00844C99" w:rsidRDefault="00844C99" w:rsidP="000F03A2">
            <w:pPr>
              <w:numPr>
                <w:ilvl w:val="0"/>
                <w:numId w:val="14"/>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Look at other options or call for assistance buttons (they need to be staffed adequately and have a sign e.</w:t>
            </w:r>
            <w:proofErr w:type="gramStart"/>
            <w:r w:rsidRPr="00844C99">
              <w:rPr>
                <w:rFonts w:ascii="Calibri" w:hAnsi="Calibri" w:cs="Calibri"/>
                <w:color w:val="auto"/>
                <w:sz w:val="22"/>
                <w:lang w:eastAsia="en-NZ"/>
              </w:rPr>
              <w:t>g. ‘</w:t>
            </w:r>
            <w:proofErr w:type="gramEnd"/>
            <w:r w:rsidRPr="00844C99">
              <w:rPr>
                <w:rFonts w:ascii="Calibri" w:hAnsi="Calibri" w:cs="Calibri"/>
                <w:color w:val="auto"/>
                <w:sz w:val="22"/>
                <w:lang w:eastAsia="en-NZ"/>
              </w:rPr>
              <w:t>wait time for personal assistance is approximately 5 minutes’)</w:t>
            </w:r>
          </w:p>
        </w:tc>
      </w:tr>
      <w:tr w:rsidR="00844C99" w:rsidRPr="00844C99" w14:paraId="4CA8B4D5" w14:textId="77777777" w:rsidTr="00A44D43">
        <w:tc>
          <w:tcPr>
            <w:tcW w:w="568" w:type="dxa"/>
          </w:tcPr>
          <w:p w14:paraId="07315E84"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81</w:t>
            </w:r>
          </w:p>
        </w:tc>
        <w:tc>
          <w:tcPr>
            <w:tcW w:w="4394" w:type="dxa"/>
          </w:tcPr>
          <w:p w14:paraId="0C03B3F1"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Centralized consoles </w:t>
            </w:r>
            <w:proofErr w:type="gramStart"/>
            <w:r w:rsidRPr="00844C99">
              <w:rPr>
                <w:rFonts w:ascii="Calibri" w:hAnsi="Calibri" w:cs="Calibri"/>
                <w:color w:val="auto"/>
                <w:sz w:val="22"/>
                <w:lang w:eastAsia="en-NZ"/>
              </w:rPr>
              <w:t>inaccessible</w:t>
            </w:r>
            <w:proofErr w:type="gramEnd"/>
            <w:r w:rsidRPr="00844C99">
              <w:rPr>
                <w:rFonts w:ascii="Calibri" w:hAnsi="Calibri" w:cs="Calibri"/>
                <w:color w:val="auto"/>
                <w:sz w:val="22"/>
                <w:lang w:eastAsia="en-NZ"/>
              </w:rPr>
              <w:t xml:space="preserve"> for vision-impaired users.</w:t>
            </w:r>
          </w:p>
        </w:tc>
        <w:tc>
          <w:tcPr>
            <w:tcW w:w="1701" w:type="dxa"/>
          </w:tcPr>
          <w:p w14:paraId="051ACAB1"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Standard/Other</w:t>
            </w:r>
          </w:p>
        </w:tc>
        <w:tc>
          <w:tcPr>
            <w:tcW w:w="7371" w:type="dxa"/>
          </w:tcPr>
          <w:p w14:paraId="6FDEAD3B" w14:textId="77777777" w:rsidR="00844C99" w:rsidRPr="00844C99" w:rsidRDefault="00844C99" w:rsidP="000F03A2">
            <w:pPr>
              <w:numPr>
                <w:ilvl w:val="0"/>
                <w:numId w:val="14"/>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Look at other options</w:t>
            </w:r>
          </w:p>
        </w:tc>
      </w:tr>
      <w:tr w:rsidR="00844C99" w:rsidRPr="00844C99" w14:paraId="62957DD1" w14:textId="77777777" w:rsidTr="00A44D43">
        <w:tc>
          <w:tcPr>
            <w:tcW w:w="568" w:type="dxa"/>
          </w:tcPr>
          <w:p w14:paraId="7F2E27B7"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82</w:t>
            </w:r>
          </w:p>
        </w:tc>
        <w:tc>
          <w:tcPr>
            <w:tcW w:w="4394" w:type="dxa"/>
          </w:tcPr>
          <w:p w14:paraId="28B69D9B"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Poor quality stairs (uneven risers, no handrails) ignored if alternate options exist.</w:t>
            </w:r>
          </w:p>
        </w:tc>
        <w:tc>
          <w:tcPr>
            <w:tcW w:w="1701" w:type="dxa"/>
          </w:tcPr>
          <w:p w14:paraId="00C8FC2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397F4561" w14:textId="32816B1A" w:rsidR="00844C99" w:rsidRPr="000F03A2" w:rsidRDefault="00844C99" w:rsidP="000F03A2">
            <w:pPr>
              <w:pStyle w:val="ListParagraph"/>
              <w:numPr>
                <w:ilvl w:val="0"/>
                <w:numId w:val="14"/>
              </w:numPr>
              <w:spacing w:after="0" w:line="240" w:lineRule="auto"/>
              <w:rPr>
                <w:rFonts w:ascii="Calibri" w:hAnsi="Calibri" w:cs="Calibri"/>
                <w:color w:val="auto"/>
                <w:sz w:val="22"/>
                <w:lang w:eastAsia="en-NZ"/>
              </w:rPr>
            </w:pPr>
            <w:r w:rsidRPr="000F03A2">
              <w:rPr>
                <w:rFonts w:ascii="Calibri" w:hAnsi="Calibri" w:cs="Calibri"/>
                <w:color w:val="auto"/>
                <w:sz w:val="22"/>
                <w:lang w:eastAsia="en-NZ"/>
              </w:rPr>
              <w:t>This sounds like an older building issue. NZ and Japanese requirements for stairs are similar although NZ allows min width of 900 mm between handrails for “common stairways” (with wider limits for different purpose groups) while in Japan 1200 mm is the minimum. The riser/tread dimensions and the handrail requirements are already well-specified in NZ</w:t>
            </w:r>
          </w:p>
        </w:tc>
      </w:tr>
      <w:tr w:rsidR="00844C99" w:rsidRPr="00844C99" w14:paraId="169DCCD1" w14:textId="77777777" w:rsidTr="00A44D43">
        <w:tc>
          <w:tcPr>
            <w:tcW w:w="568" w:type="dxa"/>
          </w:tcPr>
          <w:p w14:paraId="1C08AF97"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83</w:t>
            </w:r>
          </w:p>
        </w:tc>
        <w:tc>
          <w:tcPr>
            <w:tcW w:w="4394" w:type="dxa"/>
          </w:tcPr>
          <w:p w14:paraId="14450694" w14:textId="1B7C95A9"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Ensure usability in lifts for blind and mobility-impaired users</w:t>
            </w:r>
          </w:p>
        </w:tc>
        <w:tc>
          <w:tcPr>
            <w:tcW w:w="1701" w:type="dxa"/>
          </w:tcPr>
          <w:p w14:paraId="371A239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00D56C06" w14:textId="77777777" w:rsidR="00844C99" w:rsidRPr="000F03A2" w:rsidRDefault="00844C99" w:rsidP="000F03A2">
            <w:pPr>
              <w:pStyle w:val="ListParagraph"/>
              <w:numPr>
                <w:ilvl w:val="0"/>
                <w:numId w:val="14"/>
              </w:numPr>
              <w:spacing w:after="0" w:line="240" w:lineRule="auto"/>
              <w:rPr>
                <w:rFonts w:ascii="Calibri" w:hAnsi="Calibri" w:cs="Calibri"/>
                <w:color w:val="auto"/>
                <w:sz w:val="22"/>
                <w:lang w:eastAsia="en-NZ"/>
              </w:rPr>
            </w:pPr>
            <w:r w:rsidRPr="000F03A2">
              <w:rPr>
                <w:rFonts w:ascii="Calibri" w:hAnsi="Calibri" w:cs="Calibri"/>
                <w:color w:val="auto"/>
                <w:sz w:val="22"/>
                <w:lang w:eastAsia="en-NZ"/>
              </w:rPr>
              <w:t>See 79</w:t>
            </w:r>
          </w:p>
        </w:tc>
      </w:tr>
      <w:tr w:rsidR="00844C99" w:rsidRPr="00844C99" w14:paraId="28DA5664" w14:textId="77777777" w:rsidTr="00A44D43">
        <w:tc>
          <w:tcPr>
            <w:tcW w:w="568" w:type="dxa"/>
          </w:tcPr>
          <w:p w14:paraId="3EC72EF7"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84</w:t>
            </w:r>
          </w:p>
        </w:tc>
        <w:tc>
          <w:tcPr>
            <w:tcW w:w="4394" w:type="dxa"/>
          </w:tcPr>
          <w:p w14:paraId="7A61922E"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The standard is tailored toward certain types of disabilities</w:t>
            </w:r>
          </w:p>
        </w:tc>
        <w:tc>
          <w:tcPr>
            <w:tcW w:w="1701" w:type="dxa"/>
          </w:tcPr>
          <w:p w14:paraId="0C31EC25"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723CFD9D" w14:textId="0FDCFB61" w:rsidR="00844C99" w:rsidRPr="000F03A2" w:rsidRDefault="00844C99" w:rsidP="000F03A2">
            <w:pPr>
              <w:pStyle w:val="ListParagraph"/>
              <w:numPr>
                <w:ilvl w:val="0"/>
                <w:numId w:val="14"/>
              </w:numPr>
              <w:spacing w:after="0" w:line="240" w:lineRule="auto"/>
              <w:rPr>
                <w:rFonts w:ascii="Calibri" w:hAnsi="Calibri" w:cs="Calibri"/>
                <w:color w:val="auto"/>
                <w:sz w:val="22"/>
                <w:lang w:eastAsia="en-NZ"/>
              </w:rPr>
            </w:pPr>
            <w:r w:rsidRPr="000F03A2">
              <w:rPr>
                <w:rFonts w:ascii="Calibri" w:hAnsi="Calibri" w:cs="Calibri"/>
                <w:color w:val="auto"/>
                <w:sz w:val="22"/>
                <w:lang w:eastAsia="en-NZ"/>
              </w:rPr>
              <w:t>Discussed in 1</w:t>
            </w:r>
          </w:p>
        </w:tc>
      </w:tr>
      <w:tr w:rsidR="00844C99" w:rsidRPr="00844C99" w14:paraId="5BED0D5D" w14:textId="77777777" w:rsidTr="00A44D43">
        <w:tc>
          <w:tcPr>
            <w:tcW w:w="568" w:type="dxa"/>
          </w:tcPr>
          <w:p w14:paraId="5B30F299"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85</w:t>
            </w:r>
          </w:p>
        </w:tc>
        <w:tc>
          <w:tcPr>
            <w:tcW w:w="4394" w:type="dxa"/>
          </w:tcPr>
          <w:p w14:paraId="7FD7C13A" w14:textId="158631EA"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Playgrounds should design for disabled parents as well as children</w:t>
            </w:r>
          </w:p>
        </w:tc>
        <w:tc>
          <w:tcPr>
            <w:tcW w:w="1701" w:type="dxa"/>
          </w:tcPr>
          <w:p w14:paraId="131CD29F"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53C8DDAD" w14:textId="7368EDED" w:rsidR="00844C99" w:rsidRPr="000F03A2" w:rsidRDefault="00844C99" w:rsidP="000F03A2">
            <w:pPr>
              <w:pStyle w:val="ListParagraph"/>
              <w:numPr>
                <w:ilvl w:val="0"/>
                <w:numId w:val="14"/>
              </w:numPr>
              <w:spacing w:after="0" w:line="240" w:lineRule="auto"/>
              <w:rPr>
                <w:rFonts w:ascii="Calibri" w:hAnsi="Calibri" w:cs="Calibri"/>
                <w:color w:val="auto"/>
                <w:sz w:val="22"/>
                <w:lang w:eastAsia="en-NZ"/>
              </w:rPr>
            </w:pPr>
            <w:r w:rsidRPr="000F03A2">
              <w:rPr>
                <w:rFonts w:ascii="Calibri" w:hAnsi="Calibri" w:cs="Calibri"/>
                <w:color w:val="auto"/>
                <w:sz w:val="22"/>
                <w:lang w:eastAsia="en-NZ"/>
              </w:rPr>
              <w:t>NZS 5828:2015 Playground equipment and surfacing deals with safety in playgrounds and there are new voluntary guidelines for more inclusive parks (</w:t>
            </w:r>
            <w:hyperlink r:id="rId22" w:history="1">
              <w:r w:rsidRPr="000F03A2">
                <w:rPr>
                  <w:rFonts w:ascii="Calibri" w:hAnsi="Calibri" w:cs="Calibri"/>
                  <w:color w:val="auto"/>
                  <w:sz w:val="22"/>
                  <w:u w:val="single"/>
                  <w:lang w:eastAsia="en-NZ"/>
                </w:rPr>
                <w:t>https://www.rnz.co.nz/news/national/556434/new-guidelines-aim-to-make-outdoors-more-accessible</w:t>
              </w:r>
            </w:hyperlink>
            <w:r w:rsidRPr="000F03A2">
              <w:rPr>
                <w:rFonts w:ascii="Calibri" w:hAnsi="Calibri" w:cs="Calibri"/>
                <w:color w:val="auto"/>
                <w:sz w:val="22"/>
                <w:lang w:eastAsia="en-NZ"/>
              </w:rPr>
              <w:t xml:space="preserve"> ) so this may be outside the scope of NZS4121</w:t>
            </w:r>
          </w:p>
        </w:tc>
      </w:tr>
      <w:tr w:rsidR="00844C99" w:rsidRPr="00844C99" w14:paraId="2496A0D8" w14:textId="77777777" w:rsidTr="00A44D43">
        <w:tc>
          <w:tcPr>
            <w:tcW w:w="568" w:type="dxa"/>
          </w:tcPr>
          <w:p w14:paraId="3026889F"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lastRenderedPageBreak/>
              <w:t>86</w:t>
            </w:r>
          </w:p>
        </w:tc>
        <w:tc>
          <w:tcPr>
            <w:tcW w:w="4394" w:type="dxa"/>
          </w:tcPr>
          <w:p w14:paraId="5153FB73"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The </w:t>
            </w:r>
            <w:proofErr w:type="gramStart"/>
            <w:r w:rsidRPr="00844C99">
              <w:rPr>
                <w:rFonts w:ascii="Calibri" w:hAnsi="Calibri" w:cs="Calibri"/>
                <w:color w:val="auto"/>
                <w:sz w:val="22"/>
                <w:lang w:eastAsia="en-NZ"/>
              </w:rPr>
              <w:t>standard</w:t>
            </w:r>
            <w:proofErr w:type="gramEnd"/>
            <w:r w:rsidRPr="00844C99">
              <w:rPr>
                <w:rFonts w:ascii="Calibri" w:hAnsi="Calibri" w:cs="Calibri"/>
                <w:color w:val="auto"/>
                <w:sz w:val="22"/>
                <w:lang w:eastAsia="en-NZ"/>
              </w:rPr>
              <w:t xml:space="preserve"> should consider the latest in </w:t>
            </w:r>
            <w:proofErr w:type="gramStart"/>
            <w:r w:rsidRPr="00844C99">
              <w:rPr>
                <w:rFonts w:ascii="Calibri" w:hAnsi="Calibri" w:cs="Calibri"/>
                <w:color w:val="auto"/>
                <w:sz w:val="22"/>
                <w:lang w:eastAsia="en-NZ"/>
              </w:rPr>
              <w:t>the wheelchair</w:t>
            </w:r>
            <w:proofErr w:type="gramEnd"/>
            <w:r w:rsidRPr="00844C99">
              <w:rPr>
                <w:rFonts w:ascii="Calibri" w:hAnsi="Calibri" w:cs="Calibri"/>
                <w:color w:val="auto"/>
                <w:sz w:val="22"/>
                <w:lang w:eastAsia="en-NZ"/>
              </w:rPr>
              <w:t xml:space="preserve"> technology.</w:t>
            </w:r>
          </w:p>
        </w:tc>
        <w:tc>
          <w:tcPr>
            <w:tcW w:w="1701" w:type="dxa"/>
          </w:tcPr>
          <w:p w14:paraId="1DE253C1"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Standard</w:t>
            </w:r>
          </w:p>
        </w:tc>
        <w:tc>
          <w:tcPr>
            <w:tcW w:w="7371" w:type="dxa"/>
          </w:tcPr>
          <w:p w14:paraId="0EB3D8F3" w14:textId="5B02A767" w:rsidR="00844C99" w:rsidRPr="000F03A2" w:rsidRDefault="00844C99" w:rsidP="000F03A2">
            <w:pPr>
              <w:pStyle w:val="ListParagraph"/>
              <w:numPr>
                <w:ilvl w:val="0"/>
                <w:numId w:val="14"/>
              </w:numPr>
              <w:spacing w:after="0" w:line="240" w:lineRule="auto"/>
              <w:rPr>
                <w:rFonts w:ascii="Calibri" w:hAnsi="Calibri" w:cs="Calibri"/>
                <w:color w:val="auto"/>
                <w:sz w:val="22"/>
                <w:lang w:eastAsia="en-NZ"/>
              </w:rPr>
            </w:pPr>
            <w:r w:rsidRPr="000F03A2">
              <w:rPr>
                <w:rFonts w:ascii="Calibri" w:hAnsi="Calibri" w:cs="Calibri"/>
                <w:color w:val="auto"/>
                <w:sz w:val="22"/>
                <w:lang w:eastAsia="en-NZ"/>
              </w:rPr>
              <w:t>Same as 24</w:t>
            </w:r>
          </w:p>
        </w:tc>
      </w:tr>
      <w:tr w:rsidR="00844C99" w:rsidRPr="00844C99" w14:paraId="780B02D5" w14:textId="77777777" w:rsidTr="00A44D43">
        <w:tc>
          <w:tcPr>
            <w:tcW w:w="568" w:type="dxa"/>
          </w:tcPr>
          <w:p w14:paraId="41A54BA5"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87</w:t>
            </w:r>
          </w:p>
        </w:tc>
        <w:tc>
          <w:tcPr>
            <w:tcW w:w="4394" w:type="dxa"/>
          </w:tcPr>
          <w:p w14:paraId="7D53D639" w14:textId="7B0017A6"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Balance security requirements with accessibility (e.g., government offices, Parliament)</w:t>
            </w:r>
          </w:p>
        </w:tc>
        <w:tc>
          <w:tcPr>
            <w:tcW w:w="1701" w:type="dxa"/>
          </w:tcPr>
          <w:p w14:paraId="144E4E62"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Regulatory/Other</w:t>
            </w:r>
          </w:p>
        </w:tc>
        <w:tc>
          <w:tcPr>
            <w:tcW w:w="7371" w:type="dxa"/>
          </w:tcPr>
          <w:p w14:paraId="1B21BAE1" w14:textId="77777777" w:rsidR="00844C99" w:rsidRPr="00844C99" w:rsidRDefault="00844C99" w:rsidP="00EB678A">
            <w:pPr>
              <w:numPr>
                <w:ilvl w:val="0"/>
                <w:numId w:val="11"/>
              </w:numPr>
              <w:spacing w:after="0" w:line="240" w:lineRule="auto"/>
              <w:contextualSpacing/>
              <w:rPr>
                <w:rFonts w:ascii="Calibri" w:hAnsi="Calibri" w:cs="Calibri"/>
                <w:color w:val="auto"/>
                <w:sz w:val="22"/>
                <w:lang w:eastAsia="en-NZ"/>
              </w:rPr>
            </w:pPr>
            <w:r w:rsidRPr="00844C99">
              <w:rPr>
                <w:rFonts w:ascii="Calibri" w:hAnsi="Calibri" w:cs="Calibri"/>
                <w:color w:val="auto"/>
                <w:sz w:val="22"/>
                <w:lang w:eastAsia="en-NZ"/>
              </w:rPr>
              <w:t xml:space="preserve">An issue is with anti-ligature points within accessibility </w:t>
            </w:r>
            <w:proofErr w:type="gramStart"/>
            <w:r w:rsidRPr="00844C99">
              <w:rPr>
                <w:rFonts w:ascii="Calibri" w:hAnsi="Calibri" w:cs="Calibri"/>
                <w:color w:val="auto"/>
                <w:sz w:val="22"/>
                <w:lang w:eastAsia="en-NZ"/>
              </w:rPr>
              <w:t>needs,</w:t>
            </w:r>
            <w:proofErr w:type="gramEnd"/>
            <w:r w:rsidRPr="00844C99">
              <w:rPr>
                <w:rFonts w:ascii="Calibri" w:hAnsi="Calibri" w:cs="Calibri"/>
                <w:color w:val="auto"/>
                <w:sz w:val="22"/>
                <w:lang w:eastAsia="en-NZ"/>
              </w:rPr>
              <w:t xml:space="preserve"> police may need to adopt an altered version</w:t>
            </w:r>
          </w:p>
        </w:tc>
      </w:tr>
      <w:tr w:rsidR="00844C99" w:rsidRPr="00844C99" w14:paraId="4BA3A3C0" w14:textId="77777777" w:rsidTr="00A44D43">
        <w:tc>
          <w:tcPr>
            <w:tcW w:w="568" w:type="dxa"/>
          </w:tcPr>
          <w:p w14:paraId="59788EF4"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88</w:t>
            </w:r>
          </w:p>
        </w:tc>
        <w:tc>
          <w:tcPr>
            <w:tcW w:w="4394" w:type="dxa"/>
          </w:tcPr>
          <w:p w14:paraId="0110FDF0" w14:textId="01E2F5E6"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 xml:space="preserve">Accessibility </w:t>
            </w:r>
            <w:proofErr w:type="gramStart"/>
            <w:r w:rsidRPr="00844C99">
              <w:rPr>
                <w:rFonts w:ascii="Calibri" w:hAnsi="Calibri" w:cs="Calibri"/>
                <w:color w:val="auto"/>
                <w:sz w:val="22"/>
                <w:lang w:eastAsia="en-NZ"/>
              </w:rPr>
              <w:t>often</w:t>
            </w:r>
            <w:proofErr w:type="gramEnd"/>
            <w:r w:rsidRPr="00844C99">
              <w:rPr>
                <w:rFonts w:ascii="Calibri" w:hAnsi="Calibri" w:cs="Calibri"/>
                <w:color w:val="auto"/>
                <w:sz w:val="22"/>
                <w:lang w:eastAsia="en-NZ"/>
              </w:rPr>
              <w:t xml:space="preserve"> sacrificed for heritage </w:t>
            </w:r>
            <w:proofErr w:type="gramStart"/>
            <w:r w:rsidRPr="00844C99">
              <w:rPr>
                <w:rFonts w:ascii="Calibri" w:hAnsi="Calibri" w:cs="Calibri"/>
                <w:color w:val="auto"/>
                <w:sz w:val="22"/>
                <w:lang w:eastAsia="en-NZ"/>
              </w:rPr>
              <w:t>preservation,</w:t>
            </w:r>
            <w:proofErr w:type="gramEnd"/>
            <w:r w:rsidRPr="00844C99">
              <w:rPr>
                <w:rFonts w:ascii="Calibri" w:hAnsi="Calibri" w:cs="Calibri"/>
                <w:color w:val="auto"/>
                <w:sz w:val="22"/>
                <w:lang w:eastAsia="en-NZ"/>
              </w:rPr>
              <w:t xml:space="preserve"> historic buildings need proactive retrofitting</w:t>
            </w:r>
          </w:p>
        </w:tc>
        <w:tc>
          <w:tcPr>
            <w:tcW w:w="1701" w:type="dxa"/>
          </w:tcPr>
          <w:p w14:paraId="03EA84C2"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Other</w:t>
            </w:r>
          </w:p>
        </w:tc>
        <w:tc>
          <w:tcPr>
            <w:tcW w:w="7371" w:type="dxa"/>
          </w:tcPr>
          <w:p w14:paraId="56F3AC2A" w14:textId="3486D675" w:rsidR="00844C99" w:rsidRPr="000F03A2" w:rsidRDefault="00844C99" w:rsidP="000F03A2">
            <w:pPr>
              <w:pStyle w:val="ListParagraph"/>
              <w:numPr>
                <w:ilvl w:val="0"/>
                <w:numId w:val="11"/>
              </w:numPr>
              <w:spacing w:after="0" w:line="240" w:lineRule="auto"/>
              <w:rPr>
                <w:rFonts w:ascii="Calibri" w:hAnsi="Calibri" w:cs="Calibri"/>
                <w:color w:val="auto"/>
                <w:sz w:val="22"/>
                <w:lang w:eastAsia="en-NZ"/>
              </w:rPr>
            </w:pPr>
            <w:r w:rsidRPr="000F03A2">
              <w:rPr>
                <w:rFonts w:ascii="Calibri" w:hAnsi="Calibri" w:cs="Calibri"/>
                <w:color w:val="auto"/>
                <w:sz w:val="22"/>
                <w:lang w:eastAsia="en-NZ"/>
              </w:rPr>
              <w:t xml:space="preserve">This issue is global and it may not be practical to address in the new standard, however a recommendation could be made e.g. to follow guidelines like the </w:t>
            </w:r>
            <w:r w:rsidRPr="000F03A2">
              <w:rPr>
                <w:rFonts w:ascii="Calibri" w:hAnsi="Calibri" w:cs="Calibri"/>
                <w:i/>
                <w:iCs/>
                <w:color w:val="auto"/>
                <w:sz w:val="22"/>
                <w:lang w:eastAsia="en-NZ"/>
              </w:rPr>
              <w:t>Burra Charter</w:t>
            </w:r>
            <w:r w:rsidRPr="000F03A2">
              <w:rPr>
                <w:rFonts w:ascii="Calibri" w:hAnsi="Calibri" w:cs="Calibri"/>
                <w:color w:val="auto"/>
                <w:sz w:val="22"/>
                <w:lang w:eastAsia="en-NZ"/>
              </w:rPr>
              <w:t xml:space="preserve"> (Australia) to help manage physical modifications to heritage features</w:t>
            </w:r>
          </w:p>
          <w:p w14:paraId="5D20BA9B" w14:textId="77777777" w:rsidR="00844C99" w:rsidRPr="00844C99" w:rsidRDefault="00844C99" w:rsidP="00844C99">
            <w:pPr>
              <w:spacing w:after="0" w:line="240" w:lineRule="auto"/>
              <w:rPr>
                <w:rFonts w:ascii="Calibri" w:hAnsi="Calibri" w:cs="Calibri"/>
                <w:color w:val="auto"/>
                <w:sz w:val="22"/>
                <w:lang w:eastAsia="en-NZ"/>
              </w:rPr>
            </w:pPr>
          </w:p>
        </w:tc>
      </w:tr>
      <w:tr w:rsidR="00844C99" w:rsidRPr="00844C99" w14:paraId="18EC5141" w14:textId="77777777" w:rsidTr="00A44D43">
        <w:tc>
          <w:tcPr>
            <w:tcW w:w="568" w:type="dxa"/>
          </w:tcPr>
          <w:p w14:paraId="5FCDD59D" w14:textId="77777777"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89</w:t>
            </w:r>
          </w:p>
        </w:tc>
        <w:tc>
          <w:tcPr>
            <w:tcW w:w="4394" w:type="dxa"/>
          </w:tcPr>
          <w:p w14:paraId="7688D235" w14:textId="0FBA873D" w:rsidR="00844C99" w:rsidRPr="00844C99" w:rsidRDefault="00844C99" w:rsidP="00844C99">
            <w:pPr>
              <w:spacing w:after="0" w:line="240" w:lineRule="auto"/>
              <w:rPr>
                <w:rFonts w:ascii="Calibri" w:hAnsi="Calibri" w:cs="Calibri"/>
                <w:color w:val="auto"/>
                <w:sz w:val="22"/>
                <w:lang w:eastAsia="en-NZ"/>
              </w:rPr>
            </w:pPr>
            <w:r w:rsidRPr="00844C99">
              <w:rPr>
                <w:rFonts w:ascii="Calibri" w:hAnsi="Calibri" w:cs="Calibri"/>
                <w:color w:val="auto"/>
                <w:sz w:val="22"/>
                <w:lang w:eastAsia="en-NZ"/>
              </w:rPr>
              <w:t>Residential buildings (</w:t>
            </w:r>
            <w:proofErr w:type="spellStart"/>
            <w:r w:rsidRPr="00844C99">
              <w:rPr>
                <w:rFonts w:ascii="Calibri" w:hAnsi="Calibri" w:cs="Calibri"/>
                <w:color w:val="auto"/>
                <w:sz w:val="22"/>
                <w:lang w:eastAsia="en-NZ"/>
              </w:rPr>
              <w:t>ie</w:t>
            </w:r>
            <w:proofErr w:type="spellEnd"/>
            <w:r w:rsidRPr="00844C99">
              <w:rPr>
                <w:rFonts w:ascii="Calibri" w:hAnsi="Calibri" w:cs="Calibri"/>
                <w:color w:val="auto"/>
                <w:sz w:val="22"/>
                <w:lang w:eastAsia="en-NZ"/>
              </w:rPr>
              <w:t>. Apartment buildings) are exempt from accessibility requirements</w:t>
            </w:r>
          </w:p>
        </w:tc>
        <w:tc>
          <w:tcPr>
            <w:tcW w:w="1701" w:type="dxa"/>
          </w:tcPr>
          <w:p w14:paraId="79F523DA" w14:textId="77777777" w:rsidR="00844C99" w:rsidRPr="00844C99" w:rsidRDefault="00844C99" w:rsidP="00844C99">
            <w:pPr>
              <w:spacing w:after="0" w:line="240" w:lineRule="auto"/>
              <w:rPr>
                <w:rFonts w:ascii="Calibri" w:hAnsi="Calibri" w:cs="Calibri"/>
                <w:color w:val="auto"/>
                <w:sz w:val="22"/>
              </w:rPr>
            </w:pPr>
            <w:r w:rsidRPr="00844C99">
              <w:rPr>
                <w:rFonts w:ascii="Calibri" w:hAnsi="Calibri" w:cs="Calibri"/>
                <w:color w:val="auto"/>
                <w:sz w:val="22"/>
              </w:rPr>
              <w:t>Regulatory</w:t>
            </w:r>
          </w:p>
        </w:tc>
        <w:tc>
          <w:tcPr>
            <w:tcW w:w="7371" w:type="dxa"/>
          </w:tcPr>
          <w:p w14:paraId="4C6D51EA" w14:textId="49AF0940" w:rsidR="00844C99" w:rsidRPr="000F03A2" w:rsidRDefault="00844C99" w:rsidP="000F03A2">
            <w:pPr>
              <w:pStyle w:val="ListParagraph"/>
              <w:numPr>
                <w:ilvl w:val="0"/>
                <w:numId w:val="11"/>
              </w:numPr>
              <w:spacing w:after="0" w:line="240" w:lineRule="auto"/>
              <w:rPr>
                <w:rFonts w:ascii="Calibri" w:hAnsi="Calibri" w:cs="Calibri"/>
                <w:color w:val="auto"/>
                <w:sz w:val="22"/>
                <w:lang w:eastAsia="en-NZ"/>
              </w:rPr>
            </w:pPr>
            <w:r w:rsidRPr="000F03A2">
              <w:rPr>
                <w:rFonts w:ascii="Calibri" w:hAnsi="Calibri" w:cs="Calibri"/>
                <w:color w:val="auto"/>
                <w:sz w:val="22"/>
                <w:lang w:eastAsia="en-NZ"/>
              </w:rPr>
              <w:t xml:space="preserve">Public accommodation </w:t>
            </w:r>
            <w:proofErr w:type="gramStart"/>
            <w:r w:rsidRPr="000F03A2">
              <w:rPr>
                <w:rFonts w:ascii="Calibri" w:hAnsi="Calibri" w:cs="Calibri"/>
                <w:color w:val="auto"/>
                <w:sz w:val="22"/>
                <w:lang w:eastAsia="en-NZ"/>
              </w:rPr>
              <w:t>has to</w:t>
            </w:r>
            <w:proofErr w:type="gramEnd"/>
            <w:r w:rsidRPr="000F03A2">
              <w:rPr>
                <w:rFonts w:ascii="Calibri" w:hAnsi="Calibri" w:cs="Calibri"/>
                <w:color w:val="auto"/>
                <w:sz w:val="22"/>
                <w:lang w:eastAsia="en-NZ"/>
              </w:rPr>
              <w:t xml:space="preserve"> follow NZS4121, but not private apartments</w:t>
            </w:r>
          </w:p>
        </w:tc>
      </w:tr>
    </w:tbl>
    <w:p w14:paraId="45024739" w14:textId="77777777" w:rsidR="00484849" w:rsidRDefault="00484849" w:rsidP="00844C99">
      <w:pPr>
        <w:spacing w:after="200" w:line="276" w:lineRule="auto"/>
        <w:rPr>
          <w:rFonts w:ascii="Calibri" w:eastAsia="MS Mincho" w:hAnsi="Calibri" w:cs="Calibri"/>
          <w:color w:val="auto"/>
          <w:sz w:val="22"/>
        </w:rPr>
        <w:sectPr w:rsidR="00484849" w:rsidSect="00484849">
          <w:headerReference w:type="even" r:id="rId23"/>
          <w:headerReference w:type="default" r:id="rId24"/>
          <w:footerReference w:type="even" r:id="rId25"/>
          <w:footerReference w:type="default" r:id="rId26"/>
          <w:headerReference w:type="first" r:id="rId27"/>
          <w:pgSz w:w="16838" w:h="11906" w:orient="landscape"/>
          <w:pgMar w:top="1588" w:right="1588" w:bottom="1588" w:left="1588" w:header="709" w:footer="423" w:gutter="0"/>
          <w:cols w:space="708"/>
          <w:titlePg/>
          <w:docGrid w:linePitch="360"/>
        </w:sectPr>
      </w:pPr>
    </w:p>
    <w:p w14:paraId="5C539413" w14:textId="63419415" w:rsidR="0040568D" w:rsidRPr="007E6A98" w:rsidRDefault="0040568D" w:rsidP="007E6A98">
      <w:pPr>
        <w:pStyle w:val="Heading1"/>
      </w:pPr>
      <w:bookmarkStart w:id="34" w:name="_Toc227156486"/>
      <w:r w:rsidRPr="007E6A98">
        <w:lastRenderedPageBreak/>
        <w:t>Appen</w:t>
      </w:r>
      <w:r w:rsidR="007E6A98" w:rsidRPr="007E6A98">
        <w:t xml:space="preserve">dix B </w:t>
      </w:r>
      <w:r w:rsidR="007E6A98" w:rsidRPr="00844C99">
        <w:t>Scoping methodology</w:t>
      </w:r>
      <w:bookmarkEnd w:id="34"/>
    </w:p>
    <w:p w14:paraId="1D028FDB" w14:textId="77777777" w:rsidR="007E6A98" w:rsidRDefault="007E6A98">
      <w:pPr>
        <w:spacing w:after="160" w:line="259" w:lineRule="auto"/>
      </w:pPr>
    </w:p>
    <w:p w14:paraId="733828CA" w14:textId="77777777" w:rsidR="007E6A98" w:rsidRPr="00844C99" w:rsidRDefault="007E6A98" w:rsidP="007E6A98">
      <w:pPr>
        <w:spacing w:after="240" w:line="276" w:lineRule="auto"/>
        <w:ind w:left="432"/>
        <w:rPr>
          <w:rFonts w:ascii="Calibri" w:eastAsia="Cambria" w:hAnsi="Calibri" w:cs="Calibri"/>
          <w:color w:val="000000"/>
          <w:sz w:val="22"/>
          <w:lang w:eastAsia="en-NZ"/>
        </w:rPr>
      </w:pPr>
      <w:r w:rsidRPr="00844C99">
        <w:rPr>
          <w:rFonts w:ascii="Calibri" w:eastAsia="Cambria" w:hAnsi="Calibri" w:cs="Calibri"/>
          <w:color w:val="000000"/>
          <w:sz w:val="22"/>
          <w:lang w:eastAsia="en-NZ"/>
        </w:rPr>
        <w:t>The following scoping methodology is generic and can be tailored to suit the needs of a specific project. For example, the number of scoping workshops can be reduced to one if the commissioner and Standards New Zealand both have a good understanding of the issues being considered.</w:t>
      </w:r>
    </w:p>
    <w:p w14:paraId="4C81B0F6" w14:textId="77777777" w:rsidR="007E6A98" w:rsidRPr="00844C99" w:rsidRDefault="007E6A98" w:rsidP="007E6A98">
      <w:pPr>
        <w:pStyle w:val="IntroCopy"/>
        <w:ind w:left="437"/>
        <w:rPr>
          <w:rFonts w:ascii="Calibri" w:eastAsia="Cambria" w:hAnsi="Calibri" w:cs="Calibri"/>
          <w:color w:val="000000"/>
          <w:sz w:val="22"/>
          <w:lang w:eastAsia="en-NZ"/>
        </w:rPr>
      </w:pPr>
      <w:r w:rsidRPr="00844C99">
        <w:rPr>
          <w:rFonts w:ascii="Calibri" w:eastAsia="Cambria" w:hAnsi="Calibri" w:cs="Calibri"/>
          <w:color w:val="000000"/>
          <w:sz w:val="22"/>
          <w:lang w:eastAsia="en-NZ"/>
        </w:rPr>
        <w:t>In case of NZS 4121:2001, the scoping methodology has been adapted to incorporate the environmental scan of disability access standards discussed earlier in this report.</w:t>
      </w:r>
    </w:p>
    <w:p w14:paraId="266EB6A5" w14:textId="77777777" w:rsidR="007E6A98" w:rsidRPr="00844C99" w:rsidRDefault="007E6A98" w:rsidP="007E6A98">
      <w:pPr>
        <w:pStyle w:val="IntroCopy"/>
        <w:ind w:left="437"/>
        <w:rPr>
          <w:rFonts w:ascii="Calibri" w:eastAsia="Cambria" w:hAnsi="Calibri" w:cs="Calibri"/>
          <w:color w:val="000000"/>
          <w:sz w:val="22"/>
          <w:lang w:eastAsia="en-NZ"/>
        </w:rPr>
      </w:pPr>
      <w:r w:rsidRPr="00844C99">
        <w:rPr>
          <w:rFonts w:ascii="Calibri" w:eastAsia="Cambria" w:hAnsi="Calibri" w:cs="Calibri"/>
          <w:color w:val="000000"/>
          <w:sz w:val="22"/>
          <w:lang w:eastAsia="en-NZ"/>
        </w:rPr>
        <w:t>Standards New Zealand’s scoping exercises apply a robust methodology outlined in a 14-stage framework, based on the core principles of problem solving.</w:t>
      </w:r>
    </w:p>
    <w:p w14:paraId="0061934A" w14:textId="77777777" w:rsidR="007E6A98" w:rsidRPr="00844C99" w:rsidRDefault="007E6A98" w:rsidP="007E6A98">
      <w:pPr>
        <w:spacing w:after="240"/>
        <w:ind w:left="437"/>
        <w:rPr>
          <w:rFonts w:ascii="Calibri" w:eastAsia="Cambria" w:hAnsi="Calibri" w:cs="Calibri"/>
          <w:color w:val="000000"/>
          <w:sz w:val="22"/>
          <w:lang w:eastAsia="en-NZ"/>
        </w:rPr>
      </w:pPr>
      <w:r w:rsidRPr="00844C99">
        <w:rPr>
          <w:rFonts w:ascii="Calibri" w:eastAsia="Cambria" w:hAnsi="Calibri" w:cs="Calibri"/>
          <w:color w:val="000000"/>
          <w:sz w:val="22"/>
          <w:lang w:eastAsia="en-NZ"/>
        </w:rPr>
        <w:t xml:space="preserve">After all issues have been clearly identified and worked through during one or more workshops, Standards New Zealand prepares a report (this document) outlining feedback received from the industry and their recommendations for resolving the identified issues. </w:t>
      </w:r>
    </w:p>
    <w:p w14:paraId="3A5C2BF7" w14:textId="77777777" w:rsidR="007E6A98" w:rsidRPr="00844C99" w:rsidRDefault="007E6A98" w:rsidP="007E6A98">
      <w:pPr>
        <w:spacing w:after="240"/>
        <w:ind w:left="437"/>
        <w:rPr>
          <w:rFonts w:ascii="Calibri" w:eastAsia="Cambria" w:hAnsi="Calibri" w:cs="Calibri"/>
          <w:color w:val="000000"/>
          <w:sz w:val="22"/>
          <w:lang w:eastAsia="en-NZ"/>
        </w:rPr>
      </w:pPr>
      <w:r w:rsidRPr="00844C99">
        <w:rPr>
          <w:rFonts w:ascii="Calibri" w:eastAsia="Cambria" w:hAnsi="Calibri" w:cs="Calibri"/>
          <w:color w:val="000000"/>
          <w:sz w:val="22"/>
          <w:lang w:eastAsia="en-NZ"/>
        </w:rPr>
        <w:t>Standards New Zealand analyses the feedback from the scoping workshop(s) and provides recommendations aiming to point the commissioner to an appropriate standards solution that will underpin any necessary change to the existing compliance regime.</w:t>
      </w:r>
    </w:p>
    <w:p w14:paraId="7D0F7167" w14:textId="77777777" w:rsidR="007E6A98" w:rsidRPr="00844C99" w:rsidRDefault="007E6A98" w:rsidP="007E6A98">
      <w:pPr>
        <w:spacing w:after="240"/>
        <w:ind w:left="437"/>
        <w:rPr>
          <w:rFonts w:ascii="Calibri" w:eastAsia="Cambria" w:hAnsi="Calibri" w:cs="Calibri"/>
          <w:color w:val="000000"/>
          <w:sz w:val="22"/>
          <w:lang w:eastAsia="en-NZ"/>
        </w:rPr>
      </w:pPr>
      <w:r w:rsidRPr="00844C99">
        <w:rPr>
          <w:rFonts w:ascii="Calibri" w:eastAsia="Cambria" w:hAnsi="Calibri" w:cs="Calibri"/>
          <w:color w:val="000000"/>
          <w:sz w:val="22"/>
          <w:lang w:eastAsia="en-NZ"/>
        </w:rPr>
        <w:t xml:space="preserve">Applying a formalised scoping methodology developed by Standards New Zealand (Figure 1) helps frame the conversation with key </w:t>
      </w:r>
      <w:bookmarkStart w:id="35" w:name="_Hlk193803843"/>
      <w:r w:rsidRPr="00844C99">
        <w:rPr>
          <w:rFonts w:ascii="Calibri" w:eastAsia="Cambria" w:hAnsi="Calibri" w:cs="Calibri"/>
          <w:color w:val="000000"/>
          <w:sz w:val="22"/>
          <w:lang w:eastAsia="en-NZ"/>
        </w:rPr>
        <w:t xml:space="preserve">stakeholders </w:t>
      </w:r>
      <w:bookmarkEnd w:id="35"/>
      <w:r w:rsidRPr="00844C99">
        <w:rPr>
          <w:rFonts w:ascii="Calibri" w:eastAsia="Cambria" w:hAnsi="Calibri" w:cs="Calibri"/>
          <w:color w:val="000000"/>
          <w:sz w:val="22"/>
          <w:lang w:eastAsia="en-NZ"/>
        </w:rPr>
        <w:t>during the scoping workshop.</w:t>
      </w:r>
    </w:p>
    <w:p w14:paraId="547E805E" w14:textId="77777777" w:rsidR="007E6A98" w:rsidRPr="00844C99" w:rsidRDefault="007E6A98" w:rsidP="007E6A98">
      <w:pPr>
        <w:tabs>
          <w:tab w:val="left" w:pos="567"/>
        </w:tabs>
        <w:spacing w:after="120" w:line="276" w:lineRule="auto"/>
        <w:rPr>
          <w:rFonts w:ascii="Calibri" w:eastAsia="MS Mincho" w:hAnsi="Calibri" w:cs="Calibri"/>
          <w:b/>
          <w:bCs/>
          <w:color w:val="auto"/>
          <w:sz w:val="24"/>
          <w:szCs w:val="24"/>
          <w:lang w:eastAsia="en-NZ"/>
        </w:rPr>
        <w:sectPr w:rsidR="007E6A98" w:rsidRPr="00844C99" w:rsidSect="00484849">
          <w:pgSz w:w="11906" w:h="16838"/>
          <w:pgMar w:top="1588" w:right="1588" w:bottom="1588" w:left="1588" w:header="709" w:footer="423" w:gutter="0"/>
          <w:cols w:space="708"/>
          <w:titlePg/>
          <w:docGrid w:linePitch="360"/>
        </w:sectPr>
      </w:pPr>
    </w:p>
    <w:p w14:paraId="140F6B0C" w14:textId="77777777" w:rsidR="007E6A98" w:rsidRPr="00844C99" w:rsidRDefault="007E6A98" w:rsidP="007E6A98">
      <w:pPr>
        <w:spacing w:after="0" w:line="200" w:lineRule="exact"/>
        <w:rPr>
          <w:rFonts w:ascii="Calibri" w:eastAsia="Cambria" w:hAnsi="Calibri" w:cs="Calibri"/>
          <w:b/>
          <w:bCs/>
          <w:color w:val="000000"/>
          <w:sz w:val="22"/>
          <w:lang w:eastAsia="en-NZ"/>
        </w:rPr>
      </w:pPr>
      <w:bookmarkStart w:id="36" w:name="_Toc193874556"/>
      <w:r w:rsidRPr="00844C99">
        <w:rPr>
          <w:rFonts w:ascii="Calibri" w:eastAsia="Cambria" w:hAnsi="Calibri" w:cs="Calibri"/>
          <w:b/>
          <w:bCs/>
          <w:noProof/>
          <w:color w:val="000000"/>
          <w:sz w:val="22"/>
          <w:lang w:eastAsia="en-NZ"/>
        </w:rPr>
        <w:lastRenderedPageBreak/>
        <w:drawing>
          <wp:anchor distT="0" distB="0" distL="114300" distR="114300" simplePos="0" relativeHeight="251659776" behindDoc="1" locked="0" layoutInCell="1" allowOverlap="1" wp14:anchorId="690BAD3D" wp14:editId="0001D9ED">
            <wp:simplePos x="0" y="0"/>
            <wp:positionH relativeFrom="column">
              <wp:posOffset>-6057</wp:posOffset>
            </wp:positionH>
            <wp:positionV relativeFrom="paragraph">
              <wp:posOffset>-190549</wp:posOffset>
            </wp:positionV>
            <wp:extent cx="7268308" cy="5287634"/>
            <wp:effectExtent l="0" t="0" r="0" b="8890"/>
            <wp:wrapNone/>
            <wp:docPr id="635368672" name="Picture 5" descr="A diagram of a work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68672" name="Picture 5" descr="A diagram of a workflow&#10;&#10;AI-generated content may be incorrect."/>
                    <pic:cNvPicPr/>
                  </pic:nvPicPr>
                  <pic:blipFill>
                    <a:blip r:embed="rId28"/>
                    <a:stretch>
                      <a:fillRect/>
                    </a:stretch>
                  </pic:blipFill>
                  <pic:spPr>
                    <a:xfrm>
                      <a:off x="0" y="0"/>
                      <a:ext cx="7307209" cy="5315934"/>
                    </a:xfrm>
                    <a:prstGeom prst="rect">
                      <a:avLst/>
                    </a:prstGeom>
                  </pic:spPr>
                </pic:pic>
              </a:graphicData>
            </a:graphic>
            <wp14:sizeRelH relativeFrom="margin">
              <wp14:pctWidth>0</wp14:pctWidth>
            </wp14:sizeRelH>
            <wp14:sizeRelV relativeFrom="margin">
              <wp14:pctHeight>0</wp14:pctHeight>
            </wp14:sizeRelV>
          </wp:anchor>
        </w:drawing>
      </w:r>
    </w:p>
    <w:p w14:paraId="2E8A571E"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0C3CF6BD"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19D26629"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37A600E5"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767D2E66"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3B69FDC2"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6C38DB4F"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5C424BC0"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7660EDDF"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7F927E24"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31FE2E47"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7F4235BA"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2A141BE7"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607F4628"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0DB35330"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338B0612"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7774ABC4"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51EE6621"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41D0D76E"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03E56FD4"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13FFDBD4"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59A11640"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13DF84F9"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00FCF145"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02C08903"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2F54DA42"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6545F4B8"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47CA2720"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314BC48D"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42C02B77"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615050B1"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613475AF"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34939D2E"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1E01C90D"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458ABB4F"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76409964"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27498D69" w14:textId="77777777" w:rsidR="007E6A98" w:rsidRPr="00844C99" w:rsidRDefault="007E6A98" w:rsidP="007E6A98">
      <w:pPr>
        <w:spacing w:after="0" w:line="200" w:lineRule="exact"/>
        <w:rPr>
          <w:rFonts w:ascii="Calibri" w:eastAsia="Cambria" w:hAnsi="Calibri" w:cs="Calibri"/>
          <w:b/>
          <w:bCs/>
          <w:color w:val="000000"/>
          <w:sz w:val="22"/>
          <w:lang w:eastAsia="en-NZ"/>
        </w:rPr>
      </w:pPr>
    </w:p>
    <w:p w14:paraId="4BC2C731" w14:textId="77777777" w:rsidR="007E6A98" w:rsidRPr="00844C99" w:rsidRDefault="007E6A98" w:rsidP="007E6A98">
      <w:pPr>
        <w:spacing w:after="0" w:line="200" w:lineRule="exact"/>
        <w:ind w:left="3600" w:firstLine="720"/>
        <w:rPr>
          <w:rFonts w:ascii="Calibri" w:eastAsia="Cambria" w:hAnsi="Calibri" w:cs="Calibri"/>
          <w:b/>
          <w:bCs/>
          <w:color w:val="000000"/>
          <w:sz w:val="22"/>
          <w:lang w:eastAsia="en-NZ"/>
        </w:rPr>
      </w:pPr>
      <w:r w:rsidRPr="00844C99">
        <w:rPr>
          <w:rFonts w:ascii="Calibri" w:eastAsia="Cambria" w:hAnsi="Calibri" w:cs="Calibri"/>
          <w:b/>
          <w:bCs/>
          <w:color w:val="000000"/>
          <w:sz w:val="22"/>
          <w:lang w:eastAsia="en-NZ"/>
        </w:rPr>
        <w:t>Figure 1. Standards New Zealand scoping methodology</w:t>
      </w:r>
      <w:bookmarkEnd w:id="36"/>
    </w:p>
    <w:p w14:paraId="0A6078AC" w14:textId="77777777" w:rsidR="007E6A98" w:rsidRPr="00844C99" w:rsidRDefault="007E6A98" w:rsidP="007E6A98">
      <w:pPr>
        <w:tabs>
          <w:tab w:val="left" w:pos="567"/>
        </w:tabs>
        <w:spacing w:after="120" w:line="276" w:lineRule="auto"/>
        <w:rPr>
          <w:rFonts w:ascii="Calibri" w:eastAsia="MS Mincho" w:hAnsi="Calibri" w:cs="Calibri"/>
          <w:color w:val="auto"/>
          <w:sz w:val="22"/>
          <w:lang w:eastAsia="en-NZ"/>
        </w:rPr>
      </w:pPr>
    </w:p>
    <w:p w14:paraId="3202181B" w14:textId="77777777" w:rsidR="007E6A98" w:rsidRPr="00844C99" w:rsidRDefault="007E6A98" w:rsidP="007E6A98">
      <w:pPr>
        <w:spacing w:after="160" w:line="259" w:lineRule="auto"/>
        <w:rPr>
          <w:rFonts w:ascii="Calibri" w:eastAsia="MS Mincho" w:hAnsi="Calibri" w:cs="Calibri"/>
          <w:color w:val="auto"/>
          <w:sz w:val="22"/>
          <w:lang w:eastAsia="en-NZ"/>
        </w:rPr>
        <w:sectPr w:rsidR="007E6A98" w:rsidRPr="00844C99" w:rsidSect="007E6A98">
          <w:headerReference w:type="even" r:id="rId29"/>
          <w:headerReference w:type="default" r:id="rId30"/>
          <w:headerReference w:type="first" r:id="rId31"/>
          <w:footerReference w:type="first" r:id="rId32"/>
          <w:pgSz w:w="16838" w:h="11906" w:orient="landscape"/>
          <w:pgMar w:top="1260" w:right="1588" w:bottom="1588" w:left="1588" w:header="709" w:footer="709" w:gutter="0"/>
          <w:cols w:space="708"/>
          <w:titlePg/>
          <w:docGrid w:linePitch="360"/>
        </w:sectPr>
      </w:pPr>
      <w:r w:rsidRPr="00844C99">
        <w:rPr>
          <w:rFonts w:ascii="Calibri" w:eastAsia="MS Mincho" w:hAnsi="Calibri" w:cs="Calibri"/>
          <w:color w:val="auto"/>
          <w:sz w:val="22"/>
          <w:lang w:eastAsia="en-NZ"/>
        </w:rPr>
        <w:br w:type="page"/>
      </w:r>
    </w:p>
    <w:p w14:paraId="15639170" w14:textId="77777777" w:rsidR="007E6A98" w:rsidRPr="00844C99" w:rsidRDefault="007E6A98" w:rsidP="007E6A98">
      <w:pPr>
        <w:spacing w:after="160" w:line="259" w:lineRule="auto"/>
        <w:rPr>
          <w:rFonts w:ascii="Calibri" w:eastAsia="MS Mincho" w:hAnsi="Calibri" w:cs="Calibri"/>
          <w:color w:val="auto"/>
          <w:sz w:val="22"/>
          <w:lang w:eastAsia="en-NZ"/>
        </w:rPr>
      </w:pPr>
    </w:p>
    <w:p w14:paraId="27CF300F" w14:textId="77777777" w:rsidR="007E6A98" w:rsidRPr="00844C99" w:rsidRDefault="007E6A98" w:rsidP="007E6A98">
      <w:pPr>
        <w:tabs>
          <w:tab w:val="left" w:pos="567"/>
        </w:tabs>
        <w:spacing w:after="120" w:line="276" w:lineRule="auto"/>
        <w:rPr>
          <w:rFonts w:ascii="Calibri" w:eastAsia="MS Mincho" w:hAnsi="Calibri" w:cs="Calibri"/>
          <w:color w:val="auto"/>
          <w:sz w:val="22"/>
          <w:lang w:eastAsia="en-NZ"/>
        </w:rPr>
      </w:pPr>
      <w:r w:rsidRPr="00844C99">
        <w:rPr>
          <w:rFonts w:ascii="Calibri" w:eastAsia="MS Mincho" w:hAnsi="Calibri" w:cs="Calibri"/>
          <w:color w:val="auto"/>
          <w:sz w:val="22"/>
          <w:lang w:eastAsia="en-NZ"/>
        </w:rPr>
        <w:t xml:space="preserve">Once the project has been initiated, Steps 1–8 (desktop research, conversations with commissioner representatives, and external stakeholder engagement) are performed by the Standards New Zealand project manager ahead of the workshop(s). This is done to ensure the project manager has a clear understanding of sectoral challenges. </w:t>
      </w:r>
    </w:p>
    <w:p w14:paraId="52737608" w14:textId="77777777" w:rsidR="007E6A98" w:rsidRPr="00844C99" w:rsidRDefault="007E6A98" w:rsidP="007E6A98">
      <w:pPr>
        <w:tabs>
          <w:tab w:val="left" w:pos="567"/>
        </w:tabs>
        <w:spacing w:after="120" w:line="276" w:lineRule="auto"/>
        <w:rPr>
          <w:rFonts w:ascii="Calibri" w:eastAsia="MS Mincho" w:hAnsi="Calibri" w:cs="Calibri"/>
          <w:color w:val="auto"/>
          <w:sz w:val="22"/>
          <w:lang w:eastAsia="en-NZ"/>
        </w:rPr>
      </w:pPr>
      <w:r w:rsidRPr="00844C99">
        <w:rPr>
          <w:rFonts w:ascii="Calibri" w:eastAsia="MS Mincho" w:hAnsi="Calibri" w:cs="Calibri"/>
          <w:color w:val="auto"/>
          <w:sz w:val="22"/>
          <w:lang w:eastAsia="en-NZ"/>
        </w:rPr>
        <w:t xml:space="preserve">All research and industry feedback is collated and used to provide a summary of the issues (Step 3). This in turn forms the basis upon which the problem definition can be precisely articulated (Step 4). </w:t>
      </w:r>
    </w:p>
    <w:p w14:paraId="3283EECB" w14:textId="77777777" w:rsidR="007E6A98" w:rsidRPr="00844C99" w:rsidRDefault="007E6A98" w:rsidP="007E6A98">
      <w:pPr>
        <w:tabs>
          <w:tab w:val="left" w:pos="567"/>
        </w:tabs>
        <w:spacing w:after="120" w:line="276" w:lineRule="auto"/>
        <w:rPr>
          <w:rFonts w:ascii="Calibri" w:eastAsia="MS Mincho" w:hAnsi="Calibri" w:cs="Calibri"/>
          <w:color w:val="auto"/>
          <w:sz w:val="22"/>
          <w:lang w:eastAsia="en-NZ"/>
        </w:rPr>
      </w:pPr>
      <w:r w:rsidRPr="00844C99">
        <w:rPr>
          <w:rFonts w:ascii="Calibri" w:eastAsia="MS Mincho" w:hAnsi="Calibri" w:cs="Calibri"/>
          <w:color w:val="auto"/>
          <w:sz w:val="22"/>
          <w:lang w:eastAsia="en-NZ"/>
        </w:rPr>
        <w:t xml:space="preserve">Steps 5–8 may require further conversations with the commissioner to clarify their position. Once the Standards New Zealand project manager is armed with this information, preparation for the workshop(s) can commence. </w:t>
      </w:r>
    </w:p>
    <w:p w14:paraId="0A6CAC14" w14:textId="77777777" w:rsidR="007E6A98" w:rsidRPr="00844C99" w:rsidRDefault="007E6A98" w:rsidP="007E6A98">
      <w:pPr>
        <w:tabs>
          <w:tab w:val="left" w:pos="567"/>
        </w:tabs>
        <w:spacing w:after="120" w:line="276" w:lineRule="auto"/>
        <w:rPr>
          <w:rFonts w:ascii="Calibri" w:eastAsia="MS Mincho" w:hAnsi="Calibri" w:cs="Calibri"/>
          <w:color w:val="auto"/>
          <w:sz w:val="22"/>
          <w:lang w:eastAsia="en-NZ"/>
        </w:rPr>
      </w:pPr>
      <w:r w:rsidRPr="00844C99">
        <w:rPr>
          <w:rFonts w:ascii="Calibri" w:eastAsia="MS Mincho" w:hAnsi="Calibri" w:cs="Calibri"/>
          <w:color w:val="auto"/>
          <w:sz w:val="22"/>
          <w:lang w:eastAsia="en-NZ"/>
        </w:rPr>
        <w:t xml:space="preserve">Steps 9–11 again will require further conversations, specifically with the commissioner, who will be working on their own internal mechanism to support the future ‘to be’ state. </w:t>
      </w:r>
    </w:p>
    <w:p w14:paraId="061235F0" w14:textId="77777777" w:rsidR="007E6A98" w:rsidRPr="00844C99" w:rsidRDefault="007E6A98" w:rsidP="007E6A98">
      <w:pPr>
        <w:tabs>
          <w:tab w:val="left" w:pos="567"/>
        </w:tabs>
        <w:spacing w:after="120" w:line="276" w:lineRule="auto"/>
        <w:rPr>
          <w:rFonts w:ascii="Calibri" w:eastAsia="MS Mincho" w:hAnsi="Calibri" w:cs="Calibri"/>
          <w:color w:val="auto"/>
          <w:sz w:val="22"/>
          <w:lang w:eastAsia="en-NZ"/>
        </w:rPr>
      </w:pPr>
      <w:r w:rsidRPr="00844C99">
        <w:rPr>
          <w:rFonts w:ascii="Calibri" w:eastAsia="MS Mincho" w:hAnsi="Calibri" w:cs="Calibri"/>
          <w:color w:val="auto"/>
          <w:sz w:val="22"/>
          <w:lang w:eastAsia="en-NZ"/>
        </w:rPr>
        <w:t xml:space="preserve">Following the initial scoping workshop and review of stakeholder feedback, Standards New Zealand may require further research. The project manager then prepares an overview of potential standards solutions, aligned to the future ‘to be’ state. This often results in a follow-up meeting with the same group of stakeholders to further test assumptions and propose a suitable way forward. </w:t>
      </w:r>
    </w:p>
    <w:p w14:paraId="03ABF449" w14:textId="77777777" w:rsidR="007E6A98" w:rsidRPr="00844C99" w:rsidRDefault="007E6A98" w:rsidP="007E6A98">
      <w:pPr>
        <w:tabs>
          <w:tab w:val="left" w:pos="567"/>
        </w:tabs>
        <w:spacing w:after="120" w:line="276" w:lineRule="auto"/>
        <w:rPr>
          <w:rFonts w:ascii="Calibri" w:eastAsia="MS Mincho" w:hAnsi="Calibri" w:cs="Calibri"/>
          <w:color w:val="auto"/>
          <w:sz w:val="22"/>
          <w:lang w:eastAsia="en-NZ"/>
        </w:rPr>
      </w:pPr>
      <w:r w:rsidRPr="00844C99">
        <w:rPr>
          <w:rFonts w:ascii="Calibri" w:eastAsia="MS Mincho" w:hAnsi="Calibri" w:cs="Calibri"/>
          <w:color w:val="auto"/>
          <w:sz w:val="22"/>
          <w:lang w:eastAsia="en-NZ"/>
        </w:rPr>
        <w:t xml:space="preserve">Step 12, following the second stakeholder workshop, finetunes the proposed pathway. A report is then prepared and submitted to the commissioner, outlining a suite of recommendations for the development of a standards solution, together with a high-level timeline. All of this is covered in Steps 13−14. </w:t>
      </w:r>
    </w:p>
    <w:p w14:paraId="76C73B8E" w14:textId="77777777" w:rsidR="007E6A98" w:rsidRPr="00844C99" w:rsidRDefault="007E6A98" w:rsidP="007E6A98">
      <w:pPr>
        <w:tabs>
          <w:tab w:val="left" w:pos="567"/>
        </w:tabs>
        <w:spacing w:after="120" w:line="276" w:lineRule="auto"/>
        <w:rPr>
          <w:rFonts w:ascii="Calibri" w:eastAsia="MS Mincho" w:hAnsi="Calibri" w:cs="Calibri"/>
          <w:color w:val="auto"/>
          <w:sz w:val="22"/>
          <w:lang w:eastAsia="en-NZ"/>
        </w:rPr>
      </w:pPr>
      <w:r w:rsidRPr="00844C99">
        <w:rPr>
          <w:rFonts w:ascii="Calibri" w:eastAsia="MS Mincho" w:hAnsi="Calibri" w:cs="Calibri"/>
          <w:color w:val="auto"/>
          <w:sz w:val="22"/>
          <w:lang w:eastAsia="en-NZ"/>
        </w:rPr>
        <w:t>Upon the commissioner’s request, Standards New Zealand can prepare a separate project proposal for the commissioner, outlining project costs and the specifics of sequencing activities (including the high-level timeline) relating to the development of the standards solution outlined in this report.</w:t>
      </w:r>
    </w:p>
    <w:p w14:paraId="5444A8C7" w14:textId="77777777" w:rsidR="007E6A98" w:rsidRPr="00844C99" w:rsidRDefault="007E6A98" w:rsidP="007E6A98">
      <w:pPr>
        <w:spacing w:after="200" w:line="276" w:lineRule="auto"/>
        <w:rPr>
          <w:rFonts w:ascii="Calibri" w:eastAsia="MS Mincho" w:hAnsi="Calibri" w:cs="Calibri"/>
          <w:color w:val="auto"/>
          <w:sz w:val="22"/>
        </w:rPr>
      </w:pPr>
      <w:r w:rsidRPr="00844C99">
        <w:rPr>
          <w:rFonts w:ascii="Calibri" w:eastAsia="MS Mincho" w:hAnsi="Calibri" w:cs="Calibri"/>
          <w:color w:val="auto"/>
          <w:sz w:val="22"/>
          <w:lang w:eastAsia="en-NZ"/>
        </w:rPr>
        <w:t>To allow sufficient time for the scoping exercise, Standards New Zealand usually recommends two 3-hour workshops, with one focusing on defining the problem, and the other identifying solutions. However, on this occasion, an additional (third) workshop had to be held to address the multitude of issues raised in the first scoping workshop.</w:t>
      </w:r>
    </w:p>
    <w:p w14:paraId="2F1F7FFC" w14:textId="303B2B12" w:rsidR="008C645C" w:rsidRDefault="008C645C">
      <w:pPr>
        <w:spacing w:after="160" w:line="259" w:lineRule="auto"/>
      </w:pPr>
      <w:r>
        <w:br w:type="page"/>
      </w:r>
    </w:p>
    <w:p w14:paraId="68F02083" w14:textId="3BA984C7" w:rsidR="008C645C" w:rsidRDefault="008C645C" w:rsidP="008C645C">
      <w:pPr>
        <w:pStyle w:val="Heading1"/>
      </w:pPr>
      <w:bookmarkStart w:id="37" w:name="_Toc227156487"/>
      <w:r>
        <w:lastRenderedPageBreak/>
        <w:t xml:space="preserve">Appendix C </w:t>
      </w:r>
      <w:r w:rsidR="00183EFF">
        <w:t>High-level comparisons of NZS 4121:2001 with similar standards</w:t>
      </w:r>
      <w:bookmarkEnd w:id="37"/>
    </w:p>
    <w:p w14:paraId="4038C0EB" w14:textId="1952E47F" w:rsidR="00CF0C43" w:rsidRDefault="00CF0C43" w:rsidP="008C645C">
      <w:pPr>
        <w:spacing w:after="200" w:line="276" w:lineRule="auto"/>
        <w:rPr>
          <w:rFonts w:ascii="Calibri" w:eastAsia="MS Mincho" w:hAnsi="Calibri" w:cs="Calibri"/>
          <w:color w:val="auto"/>
          <w:sz w:val="22"/>
        </w:rPr>
      </w:pPr>
    </w:p>
    <w:p w14:paraId="2669D899" w14:textId="26A5BC3C" w:rsidR="00AE1671" w:rsidRPr="00AE1671" w:rsidRDefault="00AE1671" w:rsidP="008C645C">
      <w:pPr>
        <w:spacing w:after="200" w:line="276" w:lineRule="auto"/>
        <w:rPr>
          <w:rFonts w:ascii="Calibri" w:eastAsia="MS Mincho" w:hAnsi="Calibri" w:cs="Calibri"/>
          <w:b/>
          <w:bCs/>
          <w:color w:val="auto"/>
          <w:sz w:val="22"/>
        </w:rPr>
      </w:pPr>
      <w:r w:rsidRPr="00AE1671">
        <w:rPr>
          <w:rFonts w:ascii="Calibri" w:eastAsia="MS Mincho" w:hAnsi="Calibri" w:cs="Calibri"/>
          <w:b/>
          <w:bCs/>
          <w:color w:val="auto"/>
          <w:sz w:val="22"/>
        </w:rPr>
        <w:t>NZS 4121:2001 and CSA/ASC B651:23</w:t>
      </w:r>
    </w:p>
    <w:p w14:paraId="34B9DF84" w14:textId="0595004A" w:rsidR="00183EFF" w:rsidRDefault="00183EFF" w:rsidP="008C645C">
      <w:pPr>
        <w:spacing w:after="200" w:line="276" w:lineRule="auto"/>
        <w:rPr>
          <w:rFonts w:ascii="Calibri" w:eastAsia="MS Mincho" w:hAnsi="Calibri" w:cs="Calibri"/>
          <w:color w:val="auto"/>
          <w:sz w:val="22"/>
        </w:rPr>
      </w:pPr>
      <w:r>
        <w:rPr>
          <w:rFonts w:ascii="Calibri" w:eastAsia="MS Mincho" w:hAnsi="Calibri" w:cs="Calibri"/>
          <w:color w:val="auto"/>
          <w:sz w:val="22"/>
        </w:rPr>
        <w:t xml:space="preserve">Below is a high-level comparison of NZS 4121:2001 and </w:t>
      </w:r>
      <w:r w:rsidRPr="000A75E3">
        <w:rPr>
          <w:rFonts w:ascii="Calibri" w:eastAsia="MS Mincho" w:hAnsi="Calibri" w:cs="Calibri"/>
          <w:color w:val="auto"/>
          <w:sz w:val="22"/>
        </w:rPr>
        <w:t>CSA/ASC B651:23</w:t>
      </w:r>
      <w:r>
        <w:rPr>
          <w:rFonts w:ascii="Calibri" w:eastAsia="MS Mincho" w:hAnsi="Calibri" w:cs="Calibri"/>
          <w:color w:val="auto"/>
          <w:sz w:val="22"/>
        </w:rPr>
        <w:t xml:space="preserve"> </w:t>
      </w:r>
      <w:r w:rsidRPr="00131935">
        <w:rPr>
          <w:rFonts w:ascii="Calibri" w:eastAsia="MS Mincho" w:hAnsi="Calibri" w:cs="Calibri"/>
          <w:color w:val="auto"/>
          <w:sz w:val="22"/>
        </w:rPr>
        <w:t>using the same broad criteria typically applied in accessibility standards reviews</w:t>
      </w:r>
      <w:r>
        <w:rPr>
          <w:rFonts w:ascii="Calibri" w:eastAsia="MS Mincho" w:hAnsi="Calibri" w:cs="Calibri"/>
          <w:color w:val="auto"/>
          <w:sz w:val="22"/>
        </w:rPr>
        <w:t xml:space="preserve"> (produced with assistance from the artificial intelligence application Microsoft Copilot). </w:t>
      </w:r>
    </w:p>
    <w:p w14:paraId="6F3541CF" w14:textId="7103AABC" w:rsidR="008C645C" w:rsidRPr="00131935" w:rsidRDefault="008C645C" w:rsidP="008C645C">
      <w:pPr>
        <w:spacing w:after="200" w:line="276" w:lineRule="auto"/>
        <w:rPr>
          <w:rFonts w:ascii="Calibri" w:eastAsia="MS Mincho" w:hAnsi="Calibri" w:cs="Calibri"/>
          <w:color w:val="auto"/>
          <w:sz w:val="22"/>
        </w:rPr>
      </w:pPr>
      <w:r>
        <w:rPr>
          <w:rFonts w:ascii="Calibri" w:eastAsia="MS Mincho" w:hAnsi="Calibri" w:cs="Calibri"/>
          <w:color w:val="auto"/>
          <w:sz w:val="22"/>
        </w:rPr>
        <w:t xml:space="preserve">The comparison </w:t>
      </w:r>
      <w:r w:rsidRPr="00131935">
        <w:rPr>
          <w:rFonts w:ascii="Calibri" w:eastAsia="MS Mincho" w:hAnsi="Calibri" w:cs="Calibri"/>
          <w:color w:val="auto"/>
          <w:sz w:val="22"/>
        </w:rPr>
        <w:t>ha</w:t>
      </w:r>
      <w:r>
        <w:rPr>
          <w:rFonts w:ascii="Calibri" w:eastAsia="MS Mincho" w:hAnsi="Calibri" w:cs="Calibri"/>
          <w:color w:val="auto"/>
          <w:sz w:val="22"/>
        </w:rPr>
        <w:t>s been</w:t>
      </w:r>
      <w:r w:rsidRPr="00131935">
        <w:rPr>
          <w:rFonts w:ascii="Calibri" w:eastAsia="MS Mincho" w:hAnsi="Calibri" w:cs="Calibri"/>
          <w:color w:val="auto"/>
          <w:sz w:val="22"/>
        </w:rPr>
        <w:t xml:space="preserve"> aligned to scope, intent, technical prescriptiveness, and contemporary accessibility concepts, rather than clause-by-clause mapping.</w:t>
      </w:r>
    </w:p>
    <w:p w14:paraId="692A97FC" w14:textId="77777777" w:rsidR="008C645C" w:rsidRPr="00131935" w:rsidRDefault="008C645C" w:rsidP="008C645C">
      <w:pPr>
        <w:spacing w:after="200" w:line="276" w:lineRule="auto"/>
        <w:rPr>
          <w:rFonts w:ascii="Calibri" w:eastAsia="MS Mincho" w:hAnsi="Calibri" w:cs="Calibri"/>
          <w:b/>
          <w:bCs/>
          <w:color w:val="auto"/>
          <w:sz w:val="22"/>
        </w:rPr>
      </w:pPr>
      <w:r w:rsidRPr="00131935">
        <w:rPr>
          <w:rFonts w:ascii="Calibri" w:eastAsia="MS Mincho" w:hAnsi="Calibri" w:cs="Calibri"/>
          <w:b/>
          <w:bCs/>
          <w:color w:val="auto"/>
          <w:sz w:val="22"/>
        </w:rPr>
        <w:t>1. Scope and regulatory context</w:t>
      </w:r>
    </w:p>
    <w:p w14:paraId="22158D11"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NZS 4121:2001</w:t>
      </w:r>
      <w:r w:rsidRPr="00131935">
        <w:rPr>
          <w:rFonts w:ascii="Calibri" w:eastAsia="MS Mincho" w:hAnsi="Calibri" w:cs="Calibri"/>
          <w:color w:val="auto"/>
          <w:sz w:val="22"/>
        </w:rPr>
        <w:br/>
        <w:t>Applies to buildings and facilities open to the public in New Zealand and is referenced primarily through the New Zealand Building Code, especially Clause D1 Access routes. The standard is clearly targeted at minimum compliance for physical access, with a strong focus on mobility impairments.</w:t>
      </w:r>
    </w:p>
    <w:p w14:paraId="2FD19BF2"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w:t>
      </w:r>
      <w:r w:rsidRPr="00131935">
        <w:rPr>
          <w:rFonts w:ascii="Calibri" w:eastAsia="MS Mincho" w:hAnsi="Calibri" w:cs="Calibri"/>
          <w:color w:val="auto"/>
          <w:sz w:val="22"/>
        </w:rPr>
        <w:br/>
        <w:t xml:space="preserve">Applies to the built environment across Canada and is aligned with the Accessible Canada Act. It is a National Standard of Canada, developed for broad adoption by federal, provincial, and municipal authorities. The scope explicitly extends beyond minimum physical access to barrier prevention and removal across multiple disability types. </w:t>
      </w:r>
    </w:p>
    <w:p w14:paraId="1758536E" w14:textId="5D6BC39F" w:rsidR="008C645C" w:rsidRPr="00131935" w:rsidRDefault="008C645C" w:rsidP="008C645C">
      <w:pPr>
        <w:spacing w:after="200" w:line="276" w:lineRule="auto"/>
        <w:rPr>
          <w:rFonts w:ascii="Calibri" w:eastAsia="MS Mincho" w:hAnsi="Calibri" w:cs="Calibri"/>
          <w:color w:val="auto"/>
          <w:sz w:val="22"/>
        </w:rPr>
      </w:pPr>
      <w:r w:rsidRPr="006C453C">
        <w:rPr>
          <w:rFonts w:ascii="Calibri" w:eastAsia="MS Mincho" w:hAnsi="Calibri" w:cs="Calibri"/>
          <w:color w:val="auto"/>
          <w:sz w:val="22"/>
        </w:rPr>
        <w:t>Key difference</w:t>
      </w:r>
      <w:r w:rsidRPr="00131935">
        <w:rPr>
          <w:rFonts w:ascii="Calibri" w:eastAsia="MS Mincho" w:hAnsi="Calibri" w:cs="Calibri"/>
          <w:color w:val="auto"/>
          <w:sz w:val="22"/>
        </w:rPr>
        <w:b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 xml:space="preserve">23 has a wider social and legislative framing around accessibility, while NZS 4121:2001 is more tightly coupled </w:t>
      </w:r>
      <w:r w:rsidRPr="00F863DA">
        <w:rPr>
          <w:rFonts w:ascii="Calibri" w:eastAsia="MS Mincho" w:hAnsi="Calibri" w:cs="Calibri"/>
          <w:color w:val="auto"/>
          <w:sz w:val="22"/>
        </w:rPr>
        <w:t xml:space="preserve">to </w:t>
      </w:r>
      <w:r w:rsidR="00F863DA" w:rsidRPr="00F863DA">
        <w:rPr>
          <w:rFonts w:ascii="Calibri" w:eastAsia="MS Mincho" w:hAnsi="Calibri" w:cs="Calibri"/>
          <w:color w:val="auto"/>
          <w:sz w:val="22"/>
        </w:rPr>
        <w:t>B</w:t>
      </w:r>
      <w:r w:rsidRPr="00F863DA">
        <w:rPr>
          <w:rFonts w:ascii="Calibri" w:eastAsia="MS Mincho" w:hAnsi="Calibri" w:cs="Calibri"/>
          <w:color w:val="auto"/>
          <w:sz w:val="22"/>
        </w:rPr>
        <w:t xml:space="preserve">uilding </w:t>
      </w:r>
      <w:r w:rsidR="00F863DA" w:rsidRPr="00F863DA">
        <w:rPr>
          <w:rFonts w:ascii="Calibri" w:eastAsia="MS Mincho" w:hAnsi="Calibri" w:cs="Calibri"/>
          <w:color w:val="auto"/>
          <w:sz w:val="22"/>
        </w:rPr>
        <w:t>C</w:t>
      </w:r>
      <w:r w:rsidRPr="00F863DA">
        <w:rPr>
          <w:rFonts w:ascii="Calibri" w:eastAsia="MS Mincho" w:hAnsi="Calibri" w:cs="Calibri"/>
          <w:color w:val="auto"/>
          <w:sz w:val="22"/>
        </w:rPr>
        <w:t>ode</w:t>
      </w:r>
      <w:r w:rsidRPr="00131935">
        <w:rPr>
          <w:rFonts w:ascii="Calibri" w:eastAsia="MS Mincho" w:hAnsi="Calibri" w:cs="Calibri"/>
          <w:color w:val="auto"/>
          <w:sz w:val="22"/>
        </w:rPr>
        <w:t xml:space="preserve"> compliance.</w:t>
      </w:r>
    </w:p>
    <w:p w14:paraId="32856580" w14:textId="77777777" w:rsidR="008C645C" w:rsidRPr="00131935" w:rsidRDefault="008C645C" w:rsidP="008C645C">
      <w:pPr>
        <w:spacing w:after="200" w:line="276" w:lineRule="auto"/>
        <w:rPr>
          <w:rFonts w:ascii="Calibri" w:eastAsia="MS Mincho" w:hAnsi="Calibri" w:cs="Calibri"/>
          <w:b/>
          <w:bCs/>
          <w:color w:val="auto"/>
          <w:sz w:val="22"/>
        </w:rPr>
      </w:pPr>
      <w:r w:rsidRPr="00131935">
        <w:rPr>
          <w:rFonts w:ascii="Calibri" w:eastAsia="MS Mincho" w:hAnsi="Calibri" w:cs="Calibri"/>
          <w:b/>
          <w:bCs/>
          <w:color w:val="auto"/>
          <w:sz w:val="22"/>
        </w:rPr>
        <w:t>2. Underlying philosophy and intent</w:t>
      </w:r>
    </w:p>
    <w:p w14:paraId="42939E5D" w14:textId="6563E736"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NZS 4121:2001</w:t>
      </w:r>
      <w:r w:rsidRPr="00131935">
        <w:rPr>
          <w:rFonts w:ascii="Calibri" w:eastAsia="MS Mincho" w:hAnsi="Calibri" w:cs="Calibri"/>
          <w:color w:val="auto"/>
          <w:sz w:val="22"/>
        </w:rPr>
        <w:br/>
        <w:t>Primarily functional and compliance</w:t>
      </w:r>
      <w:r w:rsidR="006C453C">
        <w:rPr>
          <w:rFonts w:ascii="Calibri" w:eastAsia="MS Mincho" w:hAnsi="Calibri" w:cs="Calibri"/>
          <w:color w:val="auto"/>
          <w:sz w:val="22"/>
        </w:rPr>
        <w:t xml:space="preserve"> </w:t>
      </w:r>
      <w:r w:rsidRPr="00131935">
        <w:rPr>
          <w:rFonts w:ascii="Calibri" w:eastAsia="MS Mincho" w:hAnsi="Calibri" w:cs="Calibri"/>
          <w:color w:val="auto"/>
          <w:sz w:val="22"/>
        </w:rPr>
        <w:t>driven. The intent is to ensure reasonable and practicable access for people with disabilities, particularly wheelchair users. Universal design is implicit but not explicitly articulated as a core principle.</w:t>
      </w:r>
    </w:p>
    <w:p w14:paraId="342F3ED6"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w:t>
      </w:r>
      <w:r w:rsidRPr="00131935">
        <w:rPr>
          <w:rFonts w:ascii="Calibri" w:eastAsia="MS Mincho" w:hAnsi="Calibri" w:cs="Calibri"/>
          <w:color w:val="auto"/>
          <w:sz w:val="22"/>
        </w:rPr>
        <w:br/>
        <w:t xml:space="preserve">Explicitly grounded in universal design, equity, and inclusion. The standard states that it aims to identify, prevent, and remove barriers, rather than merely meet minimum technical thresholds. Cognitive, sensory, and environmental accessibility are integral to the intent. </w:t>
      </w:r>
    </w:p>
    <w:p w14:paraId="138A648C"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Key difference</w:t>
      </w:r>
      <w:r w:rsidRPr="00131935">
        <w:rPr>
          <w:rFonts w:ascii="Calibri" w:eastAsia="MS Mincho" w:hAnsi="Calibri" w:cs="Calibri"/>
          <w:color w:val="auto"/>
          <w:sz w:val="22"/>
        </w:rPr>
        <w:b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 moves beyond “access” toward “usability and dignity”, whereas NZS 4121:2001 remains focused on physical accommodation.</w:t>
      </w:r>
    </w:p>
    <w:p w14:paraId="3F40094E" w14:textId="77777777" w:rsidR="008C645C" w:rsidRPr="00131935" w:rsidRDefault="008C645C" w:rsidP="008C645C">
      <w:pPr>
        <w:spacing w:after="200" w:line="276" w:lineRule="auto"/>
        <w:rPr>
          <w:rFonts w:ascii="Calibri" w:eastAsia="MS Mincho" w:hAnsi="Calibri" w:cs="Calibri"/>
          <w:b/>
          <w:bCs/>
          <w:color w:val="auto"/>
          <w:sz w:val="22"/>
        </w:rPr>
      </w:pPr>
      <w:r w:rsidRPr="00131935">
        <w:rPr>
          <w:rFonts w:ascii="Calibri" w:eastAsia="MS Mincho" w:hAnsi="Calibri" w:cs="Calibri"/>
          <w:b/>
          <w:bCs/>
          <w:color w:val="auto"/>
          <w:sz w:val="22"/>
        </w:rPr>
        <w:t>3. Level of technical prescription</w:t>
      </w:r>
    </w:p>
    <w:p w14:paraId="16B1C2E4"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lastRenderedPageBreak/>
        <w:t>NZS 4121:2001</w:t>
      </w:r>
      <w:r w:rsidRPr="00131935">
        <w:rPr>
          <w:rFonts w:ascii="Calibri" w:eastAsia="MS Mincho" w:hAnsi="Calibri" w:cs="Calibri"/>
          <w:color w:val="auto"/>
          <w:sz w:val="22"/>
        </w:rPr>
        <w:br/>
        <w:t>Generally performance-based, with some dimensional requirements (for example, ramps, door widths, toilets). Many provisions rely on qualitative terms such as “adequate”, “suitable”, or “where practicable”, leaving room for interpretation.</w:t>
      </w:r>
    </w:p>
    <w:p w14:paraId="3C8E583B"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w:t>
      </w:r>
      <w:r w:rsidRPr="00131935">
        <w:rPr>
          <w:rFonts w:ascii="Calibri" w:eastAsia="MS Mincho" w:hAnsi="Calibri" w:cs="Calibri"/>
          <w:color w:val="auto"/>
          <w:sz w:val="22"/>
        </w:rPr>
        <w:br/>
        <w:t xml:space="preserve">Highly prescriptive, with extensive quantified requirements covering dimensions, forces, lighting levels, contrasts, slopes, and tolerances. This includes measurable criteria for controls, circulation, signage, surfaces, and environmental conditions. </w:t>
      </w:r>
    </w:p>
    <w:p w14:paraId="3BDB9A23"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Key difference</w:t>
      </w:r>
      <w:r w:rsidRPr="00131935">
        <w:rPr>
          <w:rFonts w:ascii="Calibri" w:eastAsia="MS Mincho" w:hAnsi="Calibri" w:cs="Calibri"/>
          <w:color w:val="auto"/>
          <w:sz w:val="22"/>
        </w:rPr>
        <w:b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 provides clearer compliance certainty, while NZS 4121:2001 relies more heavily on professional judgement.</w:t>
      </w:r>
    </w:p>
    <w:p w14:paraId="72B50E39" w14:textId="77777777" w:rsidR="008C645C" w:rsidRPr="00131935" w:rsidRDefault="008C645C" w:rsidP="008C645C">
      <w:pPr>
        <w:spacing w:after="200" w:line="276" w:lineRule="auto"/>
        <w:rPr>
          <w:rFonts w:ascii="Calibri" w:eastAsia="MS Mincho" w:hAnsi="Calibri" w:cs="Calibri"/>
          <w:b/>
          <w:bCs/>
          <w:color w:val="auto"/>
          <w:sz w:val="22"/>
        </w:rPr>
      </w:pPr>
      <w:r w:rsidRPr="00131935">
        <w:rPr>
          <w:rFonts w:ascii="Calibri" w:eastAsia="MS Mincho" w:hAnsi="Calibri" w:cs="Calibri"/>
          <w:b/>
          <w:bCs/>
          <w:color w:val="auto"/>
          <w:sz w:val="22"/>
        </w:rPr>
        <w:t>4. Circulation and spatial requirements</w:t>
      </w:r>
    </w:p>
    <w:p w14:paraId="26EF94EC"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NZS 4121:2001</w:t>
      </w:r>
      <w:r w:rsidRPr="00131935">
        <w:rPr>
          <w:rFonts w:ascii="Calibri" w:eastAsia="MS Mincho" w:hAnsi="Calibri" w:cs="Calibri"/>
          <w:color w:val="auto"/>
          <w:sz w:val="22"/>
        </w:rPr>
        <w:br/>
        <w:t>Sets minimum widths for access routes and doorways and provides guidance on turning spaces and gradients. Requirements are generally adequate for wheelchair access but do not always address passing spaces or congestion in detail.</w:t>
      </w:r>
    </w:p>
    <w:p w14:paraId="5030F115"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w:t>
      </w:r>
      <w:r w:rsidRPr="00131935">
        <w:rPr>
          <w:rFonts w:ascii="Calibri" w:eastAsia="MS Mincho" w:hAnsi="Calibri" w:cs="Calibri"/>
          <w:color w:val="auto"/>
          <w:sz w:val="22"/>
        </w:rPr>
        <w:br/>
        <w:t xml:space="preserve">Defines minimum route widths, passing spaces, turning dimensions, doorway clearances, and slope limits in a highly structured way. For example, minimum circulation widths, passing spaces, and turning areas are explicitly dimensioned and consistently applied throughout the standard. </w:t>
      </w:r>
    </w:p>
    <w:p w14:paraId="009D9A2F"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Key difference</w:t>
      </w:r>
      <w:r w:rsidRPr="00131935">
        <w:rPr>
          <w:rFonts w:ascii="Calibri" w:eastAsia="MS Mincho" w:hAnsi="Calibri" w:cs="Calibri"/>
          <w:color w:val="auto"/>
          <w:sz w:val="22"/>
        </w:rPr>
        <w:b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 offers a more complete and internally consistent circulation model.</w:t>
      </w:r>
    </w:p>
    <w:p w14:paraId="3930B19A" w14:textId="77777777" w:rsidR="008C645C" w:rsidRPr="00131935" w:rsidRDefault="008C645C" w:rsidP="008C645C">
      <w:pPr>
        <w:spacing w:after="200" w:line="276" w:lineRule="auto"/>
        <w:rPr>
          <w:rFonts w:ascii="Calibri" w:eastAsia="MS Mincho" w:hAnsi="Calibri" w:cs="Calibri"/>
          <w:b/>
          <w:bCs/>
          <w:color w:val="auto"/>
          <w:sz w:val="22"/>
        </w:rPr>
      </w:pPr>
      <w:r w:rsidRPr="00131935">
        <w:rPr>
          <w:rFonts w:ascii="Calibri" w:eastAsia="MS Mincho" w:hAnsi="Calibri" w:cs="Calibri"/>
          <w:b/>
          <w:bCs/>
          <w:color w:val="auto"/>
          <w:sz w:val="22"/>
        </w:rPr>
        <w:t>5. Controls, fittings, and operability</w:t>
      </w:r>
    </w:p>
    <w:p w14:paraId="1C1A2116"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NZS 4121:2001</w:t>
      </w:r>
      <w:r w:rsidRPr="00131935">
        <w:rPr>
          <w:rFonts w:ascii="Calibri" w:eastAsia="MS Mincho" w:hAnsi="Calibri" w:cs="Calibri"/>
          <w:color w:val="auto"/>
          <w:sz w:val="22"/>
        </w:rPr>
        <w:br/>
        <w:t>Specifies mounting heights and reach ranges for controls, with general requirements for ease of use. Operating force and sensory feedback are usually described qualitatively.</w:t>
      </w:r>
    </w:p>
    <w:p w14:paraId="31741A84"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w:t>
      </w:r>
      <w:r w:rsidRPr="00131935">
        <w:rPr>
          <w:rFonts w:ascii="Calibri" w:eastAsia="MS Mincho" w:hAnsi="Calibri" w:cs="Calibri"/>
          <w:color w:val="auto"/>
          <w:sz w:val="22"/>
        </w:rPr>
        <w:br/>
        <w:t xml:space="preserve">Includes detailed requirements for clear floor space, approach zones, mounting heights, maximum operating forces, tactile and auditory feedback, and illumination levels at controls. These requirements are tightly defined to support independent use. </w:t>
      </w:r>
    </w:p>
    <w:p w14:paraId="4E2A0568"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Key difference</w:t>
      </w:r>
      <w:r w:rsidRPr="00131935">
        <w:rPr>
          <w:rFonts w:ascii="Calibri" w:eastAsia="MS Mincho" w:hAnsi="Calibri" w:cs="Calibri"/>
          <w:color w:val="auto"/>
          <w:sz w:val="22"/>
        </w:rPr>
        <w:br/>
        <w:t>CSA B651-23 addresses usability in a much more granular and testable way.</w:t>
      </w:r>
    </w:p>
    <w:p w14:paraId="3D1E3D40" w14:textId="77777777" w:rsidR="008C645C" w:rsidRPr="00131935" w:rsidRDefault="008C645C" w:rsidP="008C645C">
      <w:pPr>
        <w:spacing w:after="200" w:line="276" w:lineRule="auto"/>
        <w:rPr>
          <w:rFonts w:ascii="Calibri" w:eastAsia="MS Mincho" w:hAnsi="Calibri" w:cs="Calibri"/>
          <w:b/>
          <w:bCs/>
          <w:color w:val="auto"/>
          <w:sz w:val="22"/>
        </w:rPr>
      </w:pPr>
      <w:r w:rsidRPr="00131935">
        <w:rPr>
          <w:rFonts w:ascii="Calibri" w:eastAsia="MS Mincho" w:hAnsi="Calibri" w:cs="Calibri"/>
          <w:b/>
          <w:bCs/>
          <w:color w:val="auto"/>
          <w:sz w:val="22"/>
        </w:rPr>
        <w:t>6. Visual contrast, lighting, and signage</w:t>
      </w:r>
    </w:p>
    <w:p w14:paraId="4C208B41"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NZS 4121:2001</w:t>
      </w:r>
      <w:r w:rsidRPr="00131935">
        <w:rPr>
          <w:rFonts w:ascii="Calibri" w:eastAsia="MS Mincho" w:hAnsi="Calibri" w:cs="Calibri"/>
          <w:color w:val="auto"/>
          <w:sz w:val="22"/>
        </w:rPr>
        <w:br/>
        <w:t>Requires visual contrast and legibility but gives limited numerical guidance. Lighting and signage provisions exist but are less detailed and less integrated with wayfinding and cognitive accessibility.</w:t>
      </w:r>
    </w:p>
    <w:p w14:paraId="178B0FA3"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lastRenderedPageBreak/>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w:t>
      </w:r>
      <w:r w:rsidRPr="00131935">
        <w:rPr>
          <w:rFonts w:ascii="Calibri" w:eastAsia="MS Mincho" w:hAnsi="Calibri" w:cs="Calibri"/>
          <w:color w:val="auto"/>
          <w:sz w:val="22"/>
        </w:rPr>
        <w:br/>
        <w:t xml:space="preserve">Sets explicit luminance contrast values, lighting levels, font characteristics, and placement rules for signage. Tactile and braille signage integration is clearly specified, along with illumination requirements for readability. </w:t>
      </w:r>
    </w:p>
    <w:p w14:paraId="4CE39D95"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Key difference</w:t>
      </w:r>
      <w:r w:rsidRPr="00131935">
        <w:rPr>
          <w:rFonts w:ascii="Calibri" w:eastAsia="MS Mincho" w:hAnsi="Calibri" w:cs="Calibri"/>
          <w:color w:val="auto"/>
          <w:sz w:val="22"/>
        </w:rPr>
        <w:b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 provides stronger support for people with low vision and cognitive impairments.</w:t>
      </w:r>
    </w:p>
    <w:p w14:paraId="53212DE7" w14:textId="77777777" w:rsidR="008C645C" w:rsidRPr="00131935" w:rsidRDefault="008C645C" w:rsidP="008C645C">
      <w:pPr>
        <w:spacing w:after="200" w:line="276" w:lineRule="auto"/>
        <w:rPr>
          <w:rFonts w:ascii="Calibri" w:eastAsia="MS Mincho" w:hAnsi="Calibri" w:cs="Calibri"/>
          <w:b/>
          <w:bCs/>
          <w:color w:val="auto"/>
          <w:sz w:val="22"/>
        </w:rPr>
      </w:pPr>
      <w:r w:rsidRPr="00131935">
        <w:rPr>
          <w:rFonts w:ascii="Calibri" w:eastAsia="MS Mincho" w:hAnsi="Calibri" w:cs="Calibri"/>
          <w:b/>
          <w:bCs/>
          <w:color w:val="auto"/>
          <w:sz w:val="22"/>
        </w:rPr>
        <w:t>7. Tactile ground surface indicators</w:t>
      </w:r>
    </w:p>
    <w:p w14:paraId="3AEAC96A"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NZS 4121:2001</w:t>
      </w:r>
      <w:r w:rsidRPr="00131935">
        <w:rPr>
          <w:rFonts w:ascii="Calibri" w:eastAsia="MS Mincho" w:hAnsi="Calibri" w:cs="Calibri"/>
          <w:color w:val="auto"/>
          <w:sz w:val="22"/>
        </w:rPr>
        <w:br/>
        <w:t>Includes tactile indicators at hazards and crossings, with general descriptions of form and placement.</w:t>
      </w:r>
    </w:p>
    <w:p w14:paraId="481B25E9"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w:t>
      </w:r>
      <w:r w:rsidRPr="00131935">
        <w:rPr>
          <w:rFonts w:ascii="Calibri" w:eastAsia="MS Mincho" w:hAnsi="Calibri" w:cs="Calibri"/>
          <w:color w:val="auto"/>
          <w:sz w:val="22"/>
        </w:rPr>
        <w:br/>
        <w:t xml:space="preserve">Provides detailed specifications for tactile walking surface indicators, including dome or bar geometry, colour contrast, placement logic, and installation tolerances. </w:t>
      </w:r>
    </w:p>
    <w:p w14:paraId="548A2B84"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Key difference</w:t>
      </w:r>
      <w:r w:rsidRPr="00131935">
        <w:rPr>
          <w:rFonts w:ascii="Calibri" w:eastAsia="MS Mincho" w:hAnsi="Calibri" w:cs="Calibri"/>
          <w:color w:val="auto"/>
          <w:sz w:val="22"/>
        </w:rPr>
        <w:br/>
        <w:t>CSA B651-23 reduces ambiguity and inconsistency in tactile indicator design and installation.</w:t>
      </w:r>
    </w:p>
    <w:p w14:paraId="53B458EB" w14:textId="77777777" w:rsidR="008C645C" w:rsidRPr="00131935" w:rsidRDefault="008C645C" w:rsidP="008C645C">
      <w:pPr>
        <w:spacing w:after="200" w:line="276" w:lineRule="auto"/>
        <w:rPr>
          <w:rFonts w:ascii="Calibri" w:eastAsia="MS Mincho" w:hAnsi="Calibri" w:cs="Calibri"/>
          <w:b/>
          <w:bCs/>
          <w:color w:val="auto"/>
          <w:sz w:val="22"/>
        </w:rPr>
      </w:pPr>
      <w:r w:rsidRPr="00131935">
        <w:rPr>
          <w:rFonts w:ascii="Calibri" w:eastAsia="MS Mincho" w:hAnsi="Calibri" w:cs="Calibri"/>
          <w:b/>
          <w:bCs/>
          <w:color w:val="auto"/>
          <w:sz w:val="22"/>
        </w:rPr>
        <w:t>8. Cognitive, sensory, and environmental accessibility</w:t>
      </w:r>
    </w:p>
    <w:p w14:paraId="48C413C6"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NZS 4121:2001</w:t>
      </w:r>
      <w:r w:rsidRPr="00131935">
        <w:rPr>
          <w:rFonts w:ascii="Calibri" w:eastAsia="MS Mincho" w:hAnsi="Calibri" w:cs="Calibri"/>
          <w:color w:val="auto"/>
          <w:sz w:val="22"/>
        </w:rPr>
        <w:br/>
        <w:t>Largely silent on cognitive accessibility, sensory sensitivities, acoustics, and environmental intolerances. These issues are generally outside the scope of the standard.</w:t>
      </w:r>
    </w:p>
    <w:p w14:paraId="25377C0E"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w:t>
      </w:r>
      <w:r w:rsidRPr="00131935">
        <w:rPr>
          <w:rFonts w:ascii="Calibri" w:eastAsia="MS Mincho" w:hAnsi="Calibri" w:cs="Calibri"/>
          <w:color w:val="auto"/>
          <w:sz w:val="22"/>
        </w:rPr>
        <w:br/>
        <w:t xml:space="preserve">Explicitly addresses cognitive load, logical layouts, predictability, acoustics, air quality, and sensory triggers. Information accessibility and wayfinding clarity are treated as core design considerations. </w:t>
      </w:r>
    </w:p>
    <w:p w14:paraId="5C9EF8DB"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Key difference</w:t>
      </w:r>
      <w:r w:rsidRPr="00131935">
        <w:rPr>
          <w:rFonts w:ascii="Calibri" w:eastAsia="MS Mincho" w:hAnsi="Calibri" w:cs="Calibri"/>
          <w:color w:val="auto"/>
          <w:sz w:val="22"/>
        </w:rPr>
        <w:br/>
      </w:r>
      <w:r w:rsidRPr="00131935">
        <w:rPr>
          <w:rFonts w:ascii="Calibri" w:eastAsia="MS Mincho" w:hAnsi="Calibri" w:cs="Calibri"/>
          <w:b/>
          <w:bCs/>
          <w:color w:val="auto"/>
          <w:sz w:val="22"/>
        </w:rPr>
        <w:t>This is one of the most significant gaps between the two standards, reflecting the age of NZS 4121:2001.</w:t>
      </w:r>
    </w:p>
    <w:p w14:paraId="59BDC63E" w14:textId="77777777" w:rsidR="008C645C" w:rsidRPr="00131935" w:rsidRDefault="008C645C" w:rsidP="008C645C">
      <w:pPr>
        <w:spacing w:after="200" w:line="276" w:lineRule="auto"/>
        <w:rPr>
          <w:rFonts w:ascii="Calibri" w:eastAsia="MS Mincho" w:hAnsi="Calibri" w:cs="Calibri"/>
          <w:b/>
          <w:bCs/>
          <w:color w:val="auto"/>
          <w:sz w:val="22"/>
        </w:rPr>
      </w:pPr>
      <w:r w:rsidRPr="00131935">
        <w:rPr>
          <w:rFonts w:ascii="Calibri" w:eastAsia="MS Mincho" w:hAnsi="Calibri" w:cs="Calibri"/>
          <w:b/>
          <w:bCs/>
          <w:color w:val="auto"/>
          <w:sz w:val="22"/>
        </w:rPr>
        <w:t>9. Currency and adaptability</w:t>
      </w:r>
    </w:p>
    <w:p w14:paraId="606B2CCF"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NZS 4121:2001</w:t>
      </w:r>
      <w:r w:rsidRPr="00131935">
        <w:rPr>
          <w:rFonts w:ascii="Calibri" w:eastAsia="MS Mincho" w:hAnsi="Calibri" w:cs="Calibri"/>
          <w:color w:val="auto"/>
          <w:sz w:val="22"/>
        </w:rPr>
        <w:br/>
        <w:t>Published in 2001 and now over two decades old. While still functional, it does not reflect many contemporary accessibility expectations or international best practice developments.</w:t>
      </w:r>
    </w:p>
    <w:p w14:paraId="0AA2FDCF" w14:textId="333697E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CSA</w:t>
      </w:r>
      <w:r>
        <w:rPr>
          <w:rFonts w:ascii="Calibri" w:eastAsia="MS Mincho" w:hAnsi="Calibri" w:cs="Calibri"/>
          <w:color w:val="auto"/>
          <w:sz w:val="22"/>
        </w:rPr>
        <w:t>/ASC</w:t>
      </w:r>
      <w:r w:rsidRPr="00131935">
        <w:rPr>
          <w:rFonts w:ascii="Calibri" w:eastAsia="MS Mincho" w:hAnsi="Calibri" w:cs="Calibri"/>
          <w:color w:val="auto"/>
          <w:sz w:val="22"/>
        </w:rPr>
        <w:t xml:space="preserve"> B651</w:t>
      </w:r>
      <w:r>
        <w:rPr>
          <w:rFonts w:ascii="Calibri" w:eastAsia="MS Mincho" w:hAnsi="Calibri" w:cs="Calibri"/>
          <w:color w:val="auto"/>
          <w:sz w:val="22"/>
        </w:rPr>
        <w:t>:</w:t>
      </w:r>
      <w:r w:rsidRPr="00131935">
        <w:rPr>
          <w:rFonts w:ascii="Calibri" w:eastAsia="MS Mincho" w:hAnsi="Calibri" w:cs="Calibri"/>
          <w:color w:val="auto"/>
          <w:sz w:val="22"/>
        </w:rPr>
        <w:t>23</w:t>
      </w:r>
      <w:r w:rsidRPr="00131935">
        <w:rPr>
          <w:rFonts w:ascii="Calibri" w:eastAsia="MS Mincho" w:hAnsi="Calibri" w:cs="Calibri"/>
          <w:color w:val="auto"/>
          <w:sz w:val="22"/>
        </w:rPr>
        <w:br/>
        <w:t xml:space="preserve">Current (2023, with </w:t>
      </w:r>
      <w:r>
        <w:rPr>
          <w:rFonts w:ascii="Calibri" w:eastAsia="MS Mincho" w:hAnsi="Calibri" w:cs="Calibri"/>
          <w:color w:val="auto"/>
          <w:sz w:val="22"/>
        </w:rPr>
        <w:t>corrections made in</w:t>
      </w:r>
      <w:r w:rsidRPr="00131935">
        <w:rPr>
          <w:rFonts w:ascii="Calibri" w:eastAsia="MS Mincho" w:hAnsi="Calibri" w:cs="Calibri"/>
          <w:color w:val="auto"/>
          <w:sz w:val="22"/>
        </w:rPr>
        <w:t xml:space="preserve"> 2025) and maintained through a structured review and update process. It reflects modern thinking on accessibility, inclusion, and human-centred design. </w:t>
      </w:r>
    </w:p>
    <w:p w14:paraId="29EFA44D" w14:textId="77777777" w:rsidR="008C645C" w:rsidRPr="00131935" w:rsidRDefault="008C645C" w:rsidP="008C645C">
      <w:pPr>
        <w:spacing w:after="200" w:line="276" w:lineRule="auto"/>
        <w:rPr>
          <w:rFonts w:ascii="Calibri" w:eastAsia="MS Mincho" w:hAnsi="Calibri" w:cs="Calibri"/>
          <w:b/>
          <w:bCs/>
          <w:color w:val="auto"/>
          <w:sz w:val="22"/>
        </w:rPr>
      </w:pPr>
      <w:r w:rsidRPr="00131935">
        <w:rPr>
          <w:rFonts w:ascii="Calibri" w:eastAsia="MS Mincho" w:hAnsi="Calibri" w:cs="Calibri"/>
          <w:b/>
          <w:bCs/>
          <w:color w:val="auto"/>
          <w:sz w:val="22"/>
        </w:rPr>
        <w:t>Overall comparison summary</w:t>
      </w:r>
    </w:p>
    <w:p w14:paraId="697ED6FE" w14:textId="77777777" w:rsidR="008C645C" w:rsidRPr="00131935" w:rsidRDefault="008C645C" w:rsidP="008C645C">
      <w:pPr>
        <w:spacing w:after="200" w:line="276" w:lineRule="auto"/>
        <w:rPr>
          <w:rFonts w:ascii="Calibri" w:eastAsia="MS Mincho" w:hAnsi="Calibri" w:cs="Calibri"/>
          <w:color w:val="auto"/>
          <w:sz w:val="22"/>
        </w:rPr>
      </w:pPr>
      <w:r w:rsidRPr="00131935">
        <w:rPr>
          <w:rFonts w:ascii="Calibri" w:eastAsia="MS Mincho" w:hAnsi="Calibri" w:cs="Calibri"/>
          <w:color w:val="auto"/>
          <w:sz w:val="22"/>
        </w:rPr>
        <w:t>In practical terms:</w:t>
      </w:r>
    </w:p>
    <w:p w14:paraId="420AB0E1" w14:textId="77777777" w:rsidR="008C645C" w:rsidRDefault="008C645C" w:rsidP="000F03A2">
      <w:pPr>
        <w:pStyle w:val="ListParagraph"/>
        <w:numPr>
          <w:ilvl w:val="0"/>
          <w:numId w:val="37"/>
        </w:numPr>
        <w:spacing w:after="200" w:line="276" w:lineRule="auto"/>
        <w:rPr>
          <w:rFonts w:ascii="Calibri" w:eastAsia="MS Mincho" w:hAnsi="Calibri" w:cs="Calibri"/>
          <w:color w:val="auto"/>
          <w:sz w:val="22"/>
        </w:rPr>
      </w:pPr>
      <w:r w:rsidRPr="005B07E8">
        <w:rPr>
          <w:rFonts w:ascii="Calibri" w:eastAsia="MS Mincho" w:hAnsi="Calibri" w:cs="Calibri"/>
          <w:color w:val="auto"/>
          <w:sz w:val="22"/>
        </w:rPr>
        <w:lastRenderedPageBreak/>
        <w:t>NZS 4121:2001 is adequate for minimum physical access compliance but limited in scope and detail.</w:t>
      </w:r>
    </w:p>
    <w:p w14:paraId="2F308314" w14:textId="77777777" w:rsidR="008C645C" w:rsidRDefault="008C645C" w:rsidP="000F03A2">
      <w:pPr>
        <w:pStyle w:val="ListParagraph"/>
        <w:numPr>
          <w:ilvl w:val="0"/>
          <w:numId w:val="37"/>
        </w:numPr>
        <w:spacing w:after="200" w:line="276" w:lineRule="auto"/>
        <w:rPr>
          <w:rFonts w:ascii="Calibri" w:eastAsia="MS Mincho" w:hAnsi="Calibri" w:cs="Calibri"/>
          <w:color w:val="auto"/>
          <w:sz w:val="22"/>
        </w:rPr>
      </w:pPr>
      <w:r w:rsidRPr="005B07E8">
        <w:rPr>
          <w:rFonts w:ascii="Calibri" w:eastAsia="MS Mincho" w:hAnsi="Calibri" w:cs="Calibri"/>
          <w:color w:val="auto"/>
          <w:sz w:val="22"/>
        </w:rPr>
        <w:t>CSA/ASC B651:23 is broader, more prescriptive, and more explicit about equity, usability, and diverse disability needs.</w:t>
      </w:r>
    </w:p>
    <w:p w14:paraId="732159D9" w14:textId="77777777" w:rsidR="008C645C" w:rsidRDefault="008C645C" w:rsidP="000F03A2">
      <w:pPr>
        <w:pStyle w:val="ListParagraph"/>
        <w:numPr>
          <w:ilvl w:val="0"/>
          <w:numId w:val="37"/>
        </w:numPr>
        <w:spacing w:after="200" w:line="276" w:lineRule="auto"/>
        <w:rPr>
          <w:rFonts w:ascii="Calibri" w:eastAsia="MS Mincho" w:hAnsi="Calibri" w:cs="Calibri"/>
          <w:color w:val="auto"/>
          <w:sz w:val="22"/>
        </w:rPr>
      </w:pPr>
      <w:r w:rsidRPr="005B07E8">
        <w:rPr>
          <w:rFonts w:ascii="Calibri" w:eastAsia="MS Mincho" w:hAnsi="Calibri" w:cs="Calibri"/>
          <w:color w:val="auto"/>
          <w:sz w:val="22"/>
        </w:rPr>
        <w:t>CSA/ASC B651:23 would generally be considered a higher benchmark, particularly for cognitive, sensory, and wayfinding accessibility.</w:t>
      </w:r>
    </w:p>
    <w:p w14:paraId="6180D3E3" w14:textId="77777777" w:rsidR="008C645C" w:rsidRPr="005B07E8" w:rsidRDefault="008C645C" w:rsidP="000F03A2">
      <w:pPr>
        <w:pStyle w:val="ListParagraph"/>
        <w:numPr>
          <w:ilvl w:val="0"/>
          <w:numId w:val="37"/>
        </w:numPr>
        <w:spacing w:after="200" w:line="276" w:lineRule="auto"/>
        <w:rPr>
          <w:rFonts w:ascii="Calibri" w:eastAsia="MS Mincho" w:hAnsi="Calibri" w:cs="Calibri"/>
          <w:color w:val="auto"/>
          <w:sz w:val="22"/>
        </w:rPr>
      </w:pPr>
      <w:r w:rsidRPr="005B07E8">
        <w:rPr>
          <w:rFonts w:ascii="Calibri" w:eastAsia="MS Mincho" w:hAnsi="Calibri" w:cs="Calibri"/>
          <w:color w:val="auto"/>
          <w:sz w:val="22"/>
        </w:rPr>
        <w:t>NZS 4121:2001 would likely require substantial revision to align with the intent and technical depth seen in CSA/ASC B651:23.</w:t>
      </w:r>
    </w:p>
    <w:p w14:paraId="729B5AF6" w14:textId="77777777" w:rsidR="00AE1671" w:rsidRDefault="00AE1671" w:rsidP="00CF0C43">
      <w:pPr>
        <w:spacing w:after="200" w:line="276" w:lineRule="auto"/>
        <w:rPr>
          <w:rFonts w:ascii="Calibri" w:eastAsia="MS Mincho" w:hAnsi="Calibri" w:cs="Calibri"/>
          <w:color w:val="auto"/>
          <w:sz w:val="22"/>
        </w:rPr>
      </w:pPr>
    </w:p>
    <w:p w14:paraId="10AE3806" w14:textId="6471EAAE" w:rsidR="00AE1671" w:rsidRPr="00AE1671" w:rsidRDefault="00AE1671" w:rsidP="00CF0C43">
      <w:pPr>
        <w:spacing w:after="200" w:line="276" w:lineRule="auto"/>
        <w:rPr>
          <w:rFonts w:ascii="Calibri" w:eastAsia="MS Mincho" w:hAnsi="Calibri" w:cs="Calibri"/>
          <w:b/>
          <w:bCs/>
          <w:color w:val="auto"/>
          <w:sz w:val="22"/>
        </w:rPr>
      </w:pPr>
      <w:r w:rsidRPr="00AE1671">
        <w:rPr>
          <w:rFonts w:ascii="Calibri" w:eastAsia="MS Mincho" w:hAnsi="Calibri" w:cs="Calibri"/>
          <w:b/>
          <w:bCs/>
          <w:color w:val="auto"/>
          <w:sz w:val="22"/>
        </w:rPr>
        <w:t xml:space="preserve">NZS 4121:2001 </w:t>
      </w:r>
      <w:r w:rsidR="005917B7">
        <w:rPr>
          <w:rFonts w:ascii="Calibri" w:eastAsia="MS Mincho" w:hAnsi="Calibri" w:cs="Calibri"/>
          <w:b/>
          <w:bCs/>
          <w:color w:val="auto"/>
          <w:sz w:val="22"/>
        </w:rPr>
        <w:t>and</w:t>
      </w:r>
      <w:r w:rsidRPr="00AE1671">
        <w:rPr>
          <w:rFonts w:ascii="Calibri" w:eastAsia="MS Mincho" w:hAnsi="Calibri" w:cs="Calibri"/>
          <w:b/>
          <w:bCs/>
          <w:color w:val="auto"/>
          <w:sz w:val="22"/>
        </w:rPr>
        <w:t xml:space="preserve"> AS 1428.1:2021</w:t>
      </w:r>
    </w:p>
    <w:p w14:paraId="594D9BAA" w14:textId="55B15F9F" w:rsidR="00CF0C43" w:rsidRDefault="00CF0C43" w:rsidP="00CF0C43">
      <w:pPr>
        <w:spacing w:after="200" w:line="276" w:lineRule="auto"/>
        <w:rPr>
          <w:rFonts w:ascii="Calibri" w:eastAsia="MS Mincho" w:hAnsi="Calibri" w:cs="Calibri"/>
          <w:color w:val="auto"/>
          <w:sz w:val="22"/>
        </w:rPr>
      </w:pPr>
      <w:r>
        <w:rPr>
          <w:rFonts w:ascii="Calibri" w:eastAsia="MS Mincho" w:hAnsi="Calibri" w:cs="Calibri"/>
          <w:color w:val="auto"/>
          <w:sz w:val="22"/>
        </w:rPr>
        <w:t>Below</w:t>
      </w:r>
      <w:r w:rsidRPr="00227E3C">
        <w:rPr>
          <w:rFonts w:ascii="Calibri" w:eastAsia="MS Mincho" w:hAnsi="Calibri" w:cs="Calibri"/>
          <w:color w:val="auto"/>
          <w:sz w:val="22"/>
        </w:rPr>
        <w:t xml:space="preserve"> is a</w:t>
      </w:r>
      <w:r>
        <w:rPr>
          <w:rFonts w:ascii="Calibri" w:eastAsia="MS Mincho" w:hAnsi="Calibri" w:cs="Calibri"/>
          <w:color w:val="auto"/>
          <w:sz w:val="22"/>
        </w:rPr>
        <w:t xml:space="preserve"> comprehensive high-level comparison of NZS 4121:2001 with </w:t>
      </w:r>
      <w:r w:rsidR="00BC5ADB" w:rsidRPr="00F863DA">
        <w:rPr>
          <w:rFonts w:ascii="Calibri" w:eastAsia="MS Mincho" w:hAnsi="Calibri" w:cs="Calibri"/>
          <w:color w:val="auto"/>
          <w:sz w:val="22"/>
        </w:rPr>
        <w:t>AS</w:t>
      </w:r>
      <w:r w:rsidR="00BC5ADB">
        <w:rPr>
          <w:rFonts w:ascii="Calibri" w:eastAsia="MS Mincho" w:hAnsi="Calibri" w:cs="Calibri"/>
          <w:color w:val="auto"/>
          <w:sz w:val="22"/>
        </w:rPr>
        <w:t xml:space="preserve"> </w:t>
      </w:r>
      <w:r>
        <w:rPr>
          <w:rFonts w:ascii="Calibri" w:eastAsia="MS Mincho" w:hAnsi="Calibri" w:cs="Calibri"/>
          <w:color w:val="auto"/>
          <w:sz w:val="22"/>
        </w:rPr>
        <w:t xml:space="preserve">1428.1:2021 (assisted by </w:t>
      </w:r>
      <w:r w:rsidR="00235ACE">
        <w:rPr>
          <w:rFonts w:ascii="Calibri" w:eastAsia="MS Mincho" w:hAnsi="Calibri" w:cs="Calibri"/>
          <w:color w:val="auto"/>
          <w:sz w:val="22"/>
        </w:rPr>
        <w:t xml:space="preserve">the Artificial Intelligence application Microsoft </w:t>
      </w:r>
      <w:r>
        <w:rPr>
          <w:rFonts w:ascii="Calibri" w:eastAsia="MS Mincho" w:hAnsi="Calibri" w:cs="Calibri"/>
          <w:color w:val="auto"/>
          <w:sz w:val="22"/>
        </w:rPr>
        <w:t>Copilot)</w:t>
      </w:r>
    </w:p>
    <w:p w14:paraId="1159BA47" w14:textId="77777777" w:rsidR="00CF0C43" w:rsidRPr="00227E3C" w:rsidRDefault="00CF0C43" w:rsidP="00CF0C43">
      <w:pPr>
        <w:spacing w:after="200" w:line="276" w:lineRule="auto"/>
        <w:rPr>
          <w:rFonts w:ascii="Calibri" w:eastAsia="MS Mincho" w:hAnsi="Calibri" w:cs="Calibri"/>
          <w:b/>
          <w:bCs/>
          <w:color w:val="auto"/>
          <w:sz w:val="22"/>
        </w:rPr>
      </w:pPr>
      <w:r w:rsidRPr="00227E3C">
        <w:rPr>
          <w:rFonts w:ascii="Calibri" w:eastAsia="MS Mincho" w:hAnsi="Calibri" w:cs="Calibri"/>
          <w:b/>
          <w:bCs/>
          <w:color w:val="auto"/>
          <w:sz w:val="22"/>
        </w:rPr>
        <w:t>1. Scope and regulatory context</w:t>
      </w:r>
    </w:p>
    <w:p w14:paraId="3A4BF063" w14:textId="2FF2BDF9" w:rsidR="00CF0C43" w:rsidRDefault="00CF0C43" w:rsidP="00CF0C43">
      <w:pPr>
        <w:spacing w:after="0" w:line="276" w:lineRule="auto"/>
        <w:rPr>
          <w:rFonts w:ascii="Calibri" w:eastAsia="MS Mincho" w:hAnsi="Calibri" w:cs="Calibri"/>
          <w:color w:val="auto"/>
          <w:sz w:val="22"/>
        </w:rPr>
      </w:pPr>
      <w:r w:rsidRPr="008065E6">
        <w:rPr>
          <w:rFonts w:ascii="Calibri" w:eastAsia="MS Mincho" w:hAnsi="Calibri" w:cs="Calibri"/>
          <w:color w:val="auto"/>
          <w:sz w:val="22"/>
        </w:rPr>
        <w:t>NZS 4121:2001</w:t>
      </w:r>
      <w:r w:rsidR="00FC3637">
        <w:rPr>
          <w:rFonts w:ascii="Calibri" w:eastAsia="MS Mincho" w:hAnsi="Calibri" w:cs="Calibri"/>
          <w:color w:val="auto"/>
          <w:sz w:val="22"/>
        </w:rPr>
        <w:t>:</w:t>
      </w:r>
    </w:p>
    <w:p w14:paraId="0E51E175" w14:textId="48F32732" w:rsidR="00CF0C43" w:rsidRPr="008065E6" w:rsidRDefault="00FC3637" w:rsidP="000F03A2">
      <w:pPr>
        <w:pStyle w:val="ListParagraph"/>
        <w:numPr>
          <w:ilvl w:val="0"/>
          <w:numId w:val="40"/>
        </w:numPr>
        <w:spacing w:after="0" w:line="276" w:lineRule="auto"/>
        <w:rPr>
          <w:rFonts w:ascii="Calibri" w:eastAsia="MS Mincho" w:hAnsi="Calibri" w:cs="Calibri"/>
          <w:color w:val="auto"/>
          <w:sz w:val="22"/>
        </w:rPr>
      </w:pPr>
      <w:r>
        <w:rPr>
          <w:rFonts w:ascii="Calibri" w:eastAsia="MS Mincho" w:hAnsi="Calibri" w:cs="Calibri"/>
          <w:color w:val="auto"/>
          <w:sz w:val="22"/>
        </w:rPr>
        <w:t>a</w:t>
      </w:r>
      <w:r w:rsidRPr="008065E6">
        <w:rPr>
          <w:rFonts w:ascii="Calibri" w:eastAsia="MS Mincho" w:hAnsi="Calibri" w:cs="Calibri"/>
          <w:color w:val="auto"/>
          <w:sz w:val="22"/>
        </w:rPr>
        <w:t xml:space="preserve">pplies </w:t>
      </w:r>
      <w:r w:rsidR="00CF0C43" w:rsidRPr="008065E6">
        <w:rPr>
          <w:rFonts w:ascii="Calibri" w:eastAsia="MS Mincho" w:hAnsi="Calibri" w:cs="Calibri"/>
          <w:color w:val="auto"/>
          <w:sz w:val="22"/>
        </w:rPr>
        <w:t>to buildings and associated facilities required to be accessible under section 47A of the New Zealand Building Act 1991</w:t>
      </w:r>
    </w:p>
    <w:p w14:paraId="7642F0A9" w14:textId="7204411F" w:rsidR="00CF0C43" w:rsidRDefault="00FC3637" w:rsidP="000F03A2">
      <w:pPr>
        <w:pStyle w:val="ListParagraph"/>
        <w:numPr>
          <w:ilvl w:val="0"/>
          <w:numId w:val="39"/>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Is </w:t>
      </w:r>
      <w:r w:rsidRPr="008065E6">
        <w:rPr>
          <w:rFonts w:ascii="Calibri" w:eastAsia="MS Mincho" w:hAnsi="Calibri" w:cs="Calibri"/>
          <w:color w:val="auto"/>
          <w:sz w:val="22"/>
        </w:rPr>
        <w:t xml:space="preserve">explicitly </w:t>
      </w:r>
      <w:r w:rsidR="00CF0C43" w:rsidRPr="008065E6">
        <w:rPr>
          <w:rFonts w:ascii="Calibri" w:eastAsia="MS Mincho" w:hAnsi="Calibri" w:cs="Calibri"/>
          <w:color w:val="auto"/>
          <w:sz w:val="22"/>
        </w:rPr>
        <w:t>framed as a means of compliance with the New Zealand Building Code</w:t>
      </w:r>
    </w:p>
    <w:p w14:paraId="01177537" w14:textId="3333767E" w:rsidR="00CF0C43" w:rsidRDefault="00CF0C43" w:rsidP="000F03A2">
      <w:pPr>
        <w:pStyle w:val="ListParagraph"/>
        <w:numPr>
          <w:ilvl w:val="0"/>
          <w:numId w:val="39"/>
        </w:numPr>
        <w:spacing w:after="200" w:line="276" w:lineRule="auto"/>
        <w:rPr>
          <w:rFonts w:ascii="Calibri" w:eastAsia="MS Mincho" w:hAnsi="Calibri" w:cs="Calibri"/>
          <w:color w:val="auto"/>
          <w:sz w:val="22"/>
        </w:rPr>
      </w:pPr>
      <w:r w:rsidRPr="008065E6">
        <w:rPr>
          <w:rFonts w:ascii="Calibri" w:eastAsia="MS Mincho" w:hAnsi="Calibri" w:cs="Calibri"/>
          <w:color w:val="auto"/>
          <w:sz w:val="22"/>
        </w:rPr>
        <w:t>is</w:t>
      </w:r>
      <w:r w:rsidR="00FC3637">
        <w:rPr>
          <w:rFonts w:ascii="Calibri" w:eastAsia="MS Mincho" w:hAnsi="Calibri" w:cs="Calibri"/>
          <w:color w:val="auto"/>
          <w:sz w:val="22"/>
        </w:rPr>
        <w:t>, in scope,</w:t>
      </w:r>
      <w:r w:rsidRPr="008065E6">
        <w:rPr>
          <w:rFonts w:ascii="Calibri" w:eastAsia="MS Mincho" w:hAnsi="Calibri" w:cs="Calibri"/>
          <w:color w:val="auto"/>
          <w:sz w:val="22"/>
        </w:rPr>
        <w:t xml:space="preserve"> tied closely to statutory obligations and territorial authority decision</w:t>
      </w:r>
      <w:r w:rsidRPr="008065E6">
        <w:rPr>
          <w:rFonts w:ascii="Calibri" w:eastAsia="MS Mincho" w:hAnsi="Calibri" w:cs="Calibri"/>
          <w:color w:val="auto"/>
          <w:sz w:val="22"/>
        </w:rPr>
        <w:noBreakHyphen/>
        <w:t>making</w:t>
      </w:r>
    </w:p>
    <w:p w14:paraId="7BF86F28" w14:textId="072683CD" w:rsidR="00CF0C43" w:rsidRPr="008065E6" w:rsidRDefault="00FC3637" w:rsidP="000F03A2">
      <w:pPr>
        <w:pStyle w:val="ListParagraph"/>
        <w:numPr>
          <w:ilvl w:val="0"/>
          <w:numId w:val="39"/>
        </w:numPr>
        <w:spacing w:after="200" w:line="276" w:lineRule="auto"/>
        <w:rPr>
          <w:rFonts w:ascii="Calibri" w:eastAsia="MS Mincho" w:hAnsi="Calibri" w:cs="Calibri"/>
          <w:color w:val="auto"/>
          <w:sz w:val="22"/>
        </w:rPr>
      </w:pPr>
      <w:r w:rsidRPr="008065E6">
        <w:rPr>
          <w:rFonts w:ascii="Calibri" w:eastAsia="MS Mincho" w:hAnsi="Calibri" w:cs="Calibri"/>
          <w:color w:val="auto"/>
          <w:sz w:val="22"/>
        </w:rPr>
        <w:t xml:space="preserve">applies </w:t>
      </w:r>
      <w:r w:rsidR="00CF0C43" w:rsidRPr="008065E6">
        <w:rPr>
          <w:rFonts w:ascii="Calibri" w:eastAsia="MS Mincho" w:hAnsi="Calibri" w:cs="Calibri"/>
          <w:color w:val="auto"/>
          <w:sz w:val="22"/>
        </w:rPr>
        <w:t>primarily to public and commercial buildings, with limited guidance for private residential use.</w:t>
      </w:r>
    </w:p>
    <w:p w14:paraId="04CD49DF" w14:textId="7310F59A"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AS 1428.1:2021</w:t>
      </w:r>
      <w:r w:rsidR="00FC3637">
        <w:rPr>
          <w:rFonts w:ascii="Calibri" w:eastAsia="MS Mincho" w:hAnsi="Calibri" w:cs="Calibri"/>
          <w:color w:val="auto"/>
          <w:sz w:val="22"/>
        </w:rPr>
        <w:t>:</w:t>
      </w:r>
    </w:p>
    <w:p w14:paraId="5297A416" w14:textId="7B5A791D" w:rsidR="00CF0C43" w:rsidRDefault="00FC3637" w:rsidP="000F03A2">
      <w:pPr>
        <w:pStyle w:val="ListParagraph"/>
        <w:numPr>
          <w:ilvl w:val="0"/>
          <w:numId w:val="41"/>
        </w:numPr>
        <w:spacing w:after="200" w:line="276" w:lineRule="auto"/>
        <w:rPr>
          <w:rFonts w:ascii="Calibri" w:eastAsia="MS Mincho" w:hAnsi="Calibri" w:cs="Calibri"/>
          <w:color w:val="auto"/>
          <w:sz w:val="22"/>
        </w:rPr>
      </w:pPr>
      <w:r w:rsidRPr="008065E6">
        <w:rPr>
          <w:rFonts w:ascii="Calibri" w:eastAsia="MS Mincho" w:hAnsi="Calibri" w:cs="Calibri"/>
          <w:color w:val="auto"/>
          <w:sz w:val="22"/>
        </w:rPr>
        <w:t xml:space="preserve">applies </w:t>
      </w:r>
      <w:r w:rsidR="00CF0C43" w:rsidRPr="008065E6">
        <w:rPr>
          <w:rFonts w:ascii="Calibri" w:eastAsia="MS Mincho" w:hAnsi="Calibri" w:cs="Calibri"/>
          <w:color w:val="auto"/>
          <w:sz w:val="22"/>
        </w:rPr>
        <w:t>broadly to buildings, facilities and elements where access is required under Australian building and discrimination law</w:t>
      </w:r>
    </w:p>
    <w:p w14:paraId="1E7EC30D" w14:textId="585584A2" w:rsidR="00CF0C43" w:rsidRDefault="00FC3637" w:rsidP="000F03A2">
      <w:pPr>
        <w:pStyle w:val="ListParagraph"/>
        <w:numPr>
          <w:ilvl w:val="0"/>
          <w:numId w:val="41"/>
        </w:numPr>
        <w:spacing w:after="200" w:line="276" w:lineRule="auto"/>
        <w:rPr>
          <w:rFonts w:ascii="Calibri" w:eastAsia="MS Mincho" w:hAnsi="Calibri" w:cs="Calibri"/>
          <w:color w:val="auto"/>
          <w:sz w:val="22"/>
        </w:rPr>
      </w:pPr>
      <w:r>
        <w:rPr>
          <w:rFonts w:ascii="Calibri" w:eastAsia="MS Mincho" w:hAnsi="Calibri" w:cs="Calibri"/>
          <w:color w:val="auto"/>
          <w:sz w:val="22"/>
        </w:rPr>
        <w:t>is c</w:t>
      </w:r>
      <w:r w:rsidR="00CF0C43" w:rsidRPr="008065E6">
        <w:rPr>
          <w:rFonts w:ascii="Calibri" w:eastAsia="MS Mincho" w:hAnsi="Calibri" w:cs="Calibri"/>
          <w:color w:val="auto"/>
          <w:sz w:val="22"/>
        </w:rPr>
        <w:t>losely aligned with the Disability Discrimination Act 1992 and the National Construction Code (NCC)</w:t>
      </w:r>
      <w:r w:rsidR="00BC5ADB">
        <w:rPr>
          <w:rFonts w:ascii="Calibri" w:eastAsia="MS Mincho" w:hAnsi="Calibri" w:cs="Calibri"/>
          <w:color w:val="auto"/>
          <w:sz w:val="22"/>
        </w:rPr>
        <w:t>.</w:t>
      </w:r>
    </w:p>
    <w:p w14:paraId="000D8226" w14:textId="63CE11EB" w:rsidR="00CF0C43" w:rsidRDefault="00FC3637" w:rsidP="000F03A2">
      <w:pPr>
        <w:pStyle w:val="ListParagraph"/>
        <w:numPr>
          <w:ilvl w:val="0"/>
          <w:numId w:val="41"/>
        </w:numPr>
        <w:spacing w:after="200" w:line="276" w:lineRule="auto"/>
        <w:rPr>
          <w:rFonts w:ascii="Calibri" w:eastAsia="MS Mincho" w:hAnsi="Calibri" w:cs="Calibri"/>
          <w:color w:val="auto"/>
          <w:sz w:val="22"/>
        </w:rPr>
      </w:pPr>
      <w:r>
        <w:rPr>
          <w:rFonts w:ascii="Calibri" w:eastAsia="MS Mincho" w:hAnsi="Calibri" w:cs="Calibri"/>
          <w:color w:val="auto"/>
          <w:sz w:val="22"/>
        </w:rPr>
        <w:t>is d</w:t>
      </w:r>
      <w:r w:rsidR="00CF0C43" w:rsidRPr="008065E6">
        <w:rPr>
          <w:rFonts w:ascii="Calibri" w:eastAsia="MS Mincho" w:hAnsi="Calibri" w:cs="Calibri"/>
          <w:color w:val="auto"/>
          <w:sz w:val="22"/>
        </w:rPr>
        <w:t>esigned for application across public, commercial and many private contexts</w:t>
      </w:r>
      <w:r w:rsidR="00BC5ADB">
        <w:rPr>
          <w:rFonts w:ascii="Calibri" w:eastAsia="MS Mincho" w:hAnsi="Calibri" w:cs="Calibri"/>
          <w:color w:val="auto"/>
          <w:sz w:val="22"/>
        </w:rPr>
        <w:t>.</w:t>
      </w:r>
    </w:p>
    <w:p w14:paraId="214696AA" w14:textId="739240C1" w:rsidR="00CF0C43" w:rsidRPr="008065E6" w:rsidRDefault="00FC3637" w:rsidP="000F03A2">
      <w:pPr>
        <w:pStyle w:val="ListParagraph"/>
        <w:numPr>
          <w:ilvl w:val="0"/>
          <w:numId w:val="41"/>
        </w:numPr>
        <w:spacing w:after="200" w:line="276" w:lineRule="auto"/>
        <w:rPr>
          <w:rFonts w:ascii="Calibri" w:eastAsia="MS Mincho" w:hAnsi="Calibri" w:cs="Calibri"/>
          <w:color w:val="auto"/>
          <w:sz w:val="22"/>
        </w:rPr>
      </w:pPr>
      <w:r>
        <w:rPr>
          <w:rFonts w:ascii="Calibri" w:eastAsia="MS Mincho" w:hAnsi="Calibri" w:cs="Calibri"/>
          <w:color w:val="auto"/>
          <w:sz w:val="22"/>
        </w:rPr>
        <w:t>is e</w:t>
      </w:r>
      <w:r w:rsidR="00CF0C43" w:rsidRPr="008065E6">
        <w:rPr>
          <w:rFonts w:ascii="Calibri" w:eastAsia="MS Mincho" w:hAnsi="Calibri" w:cs="Calibri"/>
          <w:color w:val="auto"/>
          <w:sz w:val="22"/>
        </w:rPr>
        <w:t>xplicitly modular, with AS 1428.1 sitting within a wider AS 1428 suite</w:t>
      </w:r>
      <w:r w:rsidR="00BC5ADB">
        <w:rPr>
          <w:rFonts w:ascii="Calibri" w:eastAsia="MS Mincho" w:hAnsi="Calibri" w:cs="Calibri"/>
          <w:color w:val="auto"/>
          <w:sz w:val="22"/>
        </w:rPr>
        <w:t>.</w:t>
      </w:r>
    </w:p>
    <w:p w14:paraId="2C0ECDB4" w14:textId="77777777" w:rsidR="00CF0C43" w:rsidRPr="00227E3C" w:rsidRDefault="00CF0C43" w:rsidP="00CF0C43">
      <w:pPr>
        <w:spacing w:after="200" w:line="276" w:lineRule="auto"/>
        <w:rPr>
          <w:rFonts w:ascii="Calibri" w:eastAsia="MS Mincho" w:hAnsi="Calibri" w:cs="Calibri"/>
          <w:color w:val="auto"/>
          <w:sz w:val="22"/>
        </w:rPr>
      </w:pPr>
      <w:r w:rsidRPr="00227E3C">
        <w:rPr>
          <w:rFonts w:ascii="Calibri" w:eastAsia="MS Mincho" w:hAnsi="Calibri" w:cs="Calibri"/>
          <w:color w:val="auto"/>
          <w:sz w:val="22"/>
        </w:rPr>
        <w:t>Key difference</w:t>
      </w:r>
      <w:r w:rsidRPr="00227E3C">
        <w:rPr>
          <w:rFonts w:ascii="Calibri" w:eastAsia="MS Mincho" w:hAnsi="Calibri" w:cs="Calibri"/>
          <w:color w:val="auto"/>
          <w:sz w:val="22"/>
        </w:rPr>
        <w:br/>
        <w:t>NZS 4121 is more tightly coupled to a single statutory compliance pathway, whereas AS 1428.1 operates as part of a broader, layered regulatory and standards ecosystem.</w:t>
      </w:r>
    </w:p>
    <w:p w14:paraId="4EF6409D" w14:textId="77777777" w:rsidR="00CF0C43" w:rsidRPr="00227E3C" w:rsidRDefault="00CF0C43" w:rsidP="00CF0C43">
      <w:pPr>
        <w:spacing w:after="200" w:line="276" w:lineRule="auto"/>
        <w:rPr>
          <w:rFonts w:ascii="Calibri" w:eastAsia="MS Mincho" w:hAnsi="Calibri" w:cs="Calibri"/>
          <w:b/>
          <w:bCs/>
          <w:color w:val="auto"/>
          <w:sz w:val="22"/>
        </w:rPr>
      </w:pPr>
      <w:r w:rsidRPr="00227E3C">
        <w:rPr>
          <w:rFonts w:ascii="Calibri" w:eastAsia="MS Mincho" w:hAnsi="Calibri" w:cs="Calibri"/>
          <w:b/>
          <w:bCs/>
          <w:color w:val="auto"/>
          <w:sz w:val="22"/>
        </w:rPr>
        <w:t>2. Underlying philosophy and intent</w:t>
      </w:r>
    </w:p>
    <w:p w14:paraId="5819B926" w14:textId="48184558"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NZS 4121:2001</w:t>
      </w:r>
      <w:r w:rsidR="00FC3637">
        <w:rPr>
          <w:rFonts w:ascii="Calibri" w:eastAsia="MS Mincho" w:hAnsi="Calibri" w:cs="Calibri"/>
          <w:color w:val="auto"/>
          <w:sz w:val="22"/>
        </w:rPr>
        <w:t>:</w:t>
      </w:r>
    </w:p>
    <w:p w14:paraId="6DE0D925" w14:textId="58E149DD" w:rsidR="00CF0C43" w:rsidRDefault="00FC3637" w:rsidP="000F03A2">
      <w:pPr>
        <w:pStyle w:val="ListParagraph"/>
        <w:numPr>
          <w:ilvl w:val="0"/>
          <w:numId w:val="42"/>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is </w:t>
      </w:r>
      <w:r w:rsidRPr="00884410">
        <w:rPr>
          <w:rFonts w:ascii="Calibri" w:eastAsia="MS Mincho" w:hAnsi="Calibri" w:cs="Calibri"/>
          <w:color w:val="auto"/>
          <w:sz w:val="22"/>
        </w:rPr>
        <w:t>strongly grounded in a building</w:t>
      </w:r>
      <w:r w:rsidRPr="00884410">
        <w:rPr>
          <w:rFonts w:ascii="Calibri" w:eastAsia="MS Mincho" w:hAnsi="Calibri" w:cs="Calibri"/>
          <w:color w:val="auto"/>
          <w:sz w:val="22"/>
        </w:rPr>
        <w:noBreakHyphen/>
        <w:t>code performance framework</w:t>
      </w:r>
    </w:p>
    <w:p w14:paraId="65F74152" w14:textId="5C8D76F5" w:rsidR="00CF0C43" w:rsidRDefault="00FC3637" w:rsidP="000F03A2">
      <w:pPr>
        <w:pStyle w:val="ListParagraph"/>
        <w:numPr>
          <w:ilvl w:val="0"/>
          <w:numId w:val="42"/>
        </w:numPr>
        <w:spacing w:after="200" w:line="276" w:lineRule="auto"/>
        <w:rPr>
          <w:rFonts w:ascii="Calibri" w:eastAsia="MS Mincho" w:hAnsi="Calibri" w:cs="Calibri"/>
          <w:color w:val="auto"/>
          <w:sz w:val="22"/>
        </w:rPr>
      </w:pPr>
      <w:r w:rsidRPr="00884410">
        <w:rPr>
          <w:rFonts w:ascii="Calibri" w:eastAsia="MS Mincho" w:hAnsi="Calibri" w:cs="Calibri"/>
          <w:color w:val="auto"/>
          <w:sz w:val="22"/>
        </w:rPr>
        <w:t>emphasises “reasonable and adequate provision” as defined in legislation</w:t>
      </w:r>
    </w:p>
    <w:p w14:paraId="5991E1BF" w14:textId="25F0482E" w:rsidR="00CF0C43" w:rsidRDefault="00FC3637" w:rsidP="000F03A2">
      <w:pPr>
        <w:pStyle w:val="ListParagraph"/>
        <w:numPr>
          <w:ilvl w:val="0"/>
          <w:numId w:val="42"/>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is </w:t>
      </w:r>
      <w:r w:rsidRPr="00884410">
        <w:rPr>
          <w:rFonts w:ascii="Calibri" w:eastAsia="MS Mincho" w:hAnsi="Calibri" w:cs="Calibri"/>
          <w:color w:val="auto"/>
          <w:sz w:val="22"/>
        </w:rPr>
        <w:t>framed around approachability, accessibility and usability as applied to physical design</w:t>
      </w:r>
    </w:p>
    <w:p w14:paraId="4C8E38FF" w14:textId="2939538E" w:rsidR="00CF0C43" w:rsidRPr="00884410" w:rsidRDefault="00FC3637" w:rsidP="000F03A2">
      <w:pPr>
        <w:pStyle w:val="ListParagraph"/>
        <w:numPr>
          <w:ilvl w:val="0"/>
          <w:numId w:val="42"/>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is </w:t>
      </w:r>
      <w:r w:rsidRPr="00884410">
        <w:rPr>
          <w:rFonts w:ascii="Calibri" w:eastAsia="MS Mincho" w:hAnsi="Calibri" w:cs="Calibri"/>
          <w:color w:val="auto"/>
          <w:sz w:val="22"/>
        </w:rPr>
        <w:t>focus</w:t>
      </w:r>
      <w:r>
        <w:rPr>
          <w:rFonts w:ascii="Calibri" w:eastAsia="MS Mincho" w:hAnsi="Calibri" w:cs="Calibri"/>
          <w:color w:val="auto"/>
          <w:sz w:val="22"/>
        </w:rPr>
        <w:t>ed</w:t>
      </w:r>
      <w:r w:rsidR="00CF0C43" w:rsidRPr="00884410">
        <w:rPr>
          <w:rFonts w:ascii="Calibri" w:eastAsia="MS Mincho" w:hAnsi="Calibri" w:cs="Calibri"/>
          <w:color w:val="auto"/>
          <w:sz w:val="22"/>
        </w:rPr>
        <w:t xml:space="preserve"> predominantly on physical mobility and safe independent use</w:t>
      </w:r>
      <w:r>
        <w:rPr>
          <w:rFonts w:ascii="Calibri" w:eastAsia="MS Mincho" w:hAnsi="Calibri" w:cs="Calibri"/>
          <w:color w:val="auto"/>
          <w:sz w:val="22"/>
        </w:rPr>
        <w:t>.</w:t>
      </w:r>
    </w:p>
    <w:p w14:paraId="072D7BF6" w14:textId="5B020DB2"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AS 1428.1:2021</w:t>
      </w:r>
      <w:r w:rsidR="003F346F">
        <w:rPr>
          <w:rFonts w:ascii="Calibri" w:eastAsia="MS Mincho" w:hAnsi="Calibri" w:cs="Calibri"/>
          <w:color w:val="auto"/>
          <w:sz w:val="22"/>
        </w:rPr>
        <w:t>:</w:t>
      </w:r>
    </w:p>
    <w:p w14:paraId="76F9405D" w14:textId="1747498D" w:rsidR="00CF0C43" w:rsidRDefault="00FC3637" w:rsidP="000F03A2">
      <w:pPr>
        <w:pStyle w:val="ListParagraph"/>
        <w:numPr>
          <w:ilvl w:val="0"/>
          <w:numId w:val="43"/>
        </w:numPr>
        <w:spacing w:after="200" w:line="276" w:lineRule="auto"/>
        <w:rPr>
          <w:rFonts w:ascii="Calibri" w:eastAsia="MS Mincho" w:hAnsi="Calibri" w:cs="Calibri"/>
          <w:color w:val="auto"/>
          <w:sz w:val="22"/>
        </w:rPr>
      </w:pPr>
      <w:r>
        <w:rPr>
          <w:rFonts w:ascii="Calibri" w:eastAsia="MS Mincho" w:hAnsi="Calibri" w:cs="Calibri"/>
          <w:color w:val="auto"/>
          <w:sz w:val="22"/>
        </w:rPr>
        <w:t>is e</w:t>
      </w:r>
      <w:r w:rsidR="00CF0C43" w:rsidRPr="00884410">
        <w:rPr>
          <w:rFonts w:ascii="Calibri" w:eastAsia="MS Mincho" w:hAnsi="Calibri" w:cs="Calibri"/>
          <w:color w:val="auto"/>
          <w:sz w:val="22"/>
        </w:rPr>
        <w:t>xplicitly grounded in inclusive design and equitable access principles</w:t>
      </w:r>
    </w:p>
    <w:p w14:paraId="5327323C" w14:textId="24DD6D55" w:rsidR="00CF0C43" w:rsidRDefault="00FC3637" w:rsidP="000F03A2">
      <w:pPr>
        <w:pStyle w:val="ListParagraph"/>
        <w:numPr>
          <w:ilvl w:val="0"/>
          <w:numId w:val="43"/>
        </w:numPr>
        <w:spacing w:after="200" w:line="276" w:lineRule="auto"/>
        <w:rPr>
          <w:rFonts w:ascii="Calibri" w:eastAsia="MS Mincho" w:hAnsi="Calibri" w:cs="Calibri"/>
          <w:color w:val="auto"/>
          <w:sz w:val="22"/>
        </w:rPr>
      </w:pPr>
      <w:r>
        <w:rPr>
          <w:rFonts w:ascii="Calibri" w:eastAsia="MS Mincho" w:hAnsi="Calibri" w:cs="Calibri"/>
          <w:color w:val="auto"/>
          <w:sz w:val="22"/>
        </w:rPr>
        <w:lastRenderedPageBreak/>
        <w:t>r</w:t>
      </w:r>
      <w:r w:rsidR="00CF0C43" w:rsidRPr="00884410">
        <w:rPr>
          <w:rFonts w:ascii="Calibri" w:eastAsia="MS Mincho" w:hAnsi="Calibri" w:cs="Calibri"/>
          <w:color w:val="auto"/>
          <w:sz w:val="22"/>
        </w:rPr>
        <w:t>eflects contemporary disability rights and human</w:t>
      </w:r>
      <w:r w:rsidR="00CF0C43" w:rsidRPr="00884410">
        <w:rPr>
          <w:rFonts w:ascii="Calibri" w:eastAsia="MS Mincho" w:hAnsi="Calibri" w:cs="Calibri"/>
          <w:color w:val="auto"/>
          <w:sz w:val="22"/>
        </w:rPr>
        <w:noBreakHyphen/>
        <w:t>centred design thinking</w:t>
      </w:r>
    </w:p>
    <w:p w14:paraId="21BF0AC8" w14:textId="5DB817D0" w:rsidR="00CF0C43" w:rsidRDefault="00FC3637" w:rsidP="000F03A2">
      <w:pPr>
        <w:pStyle w:val="ListParagraph"/>
        <w:numPr>
          <w:ilvl w:val="0"/>
          <w:numId w:val="43"/>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has a </w:t>
      </w:r>
      <w:r w:rsidR="00CF0C43" w:rsidRPr="00884410">
        <w:rPr>
          <w:rFonts w:ascii="Calibri" w:eastAsia="MS Mincho" w:hAnsi="Calibri" w:cs="Calibri"/>
          <w:color w:val="auto"/>
          <w:sz w:val="22"/>
        </w:rPr>
        <w:t>roader conception of disability, including sensory and cognitive dimensions</w:t>
      </w:r>
    </w:p>
    <w:p w14:paraId="390D4C1C" w14:textId="7A7680C4" w:rsidR="00CF0C43" w:rsidRPr="00884410" w:rsidRDefault="00FC3637" w:rsidP="000F03A2">
      <w:pPr>
        <w:pStyle w:val="ListParagraph"/>
        <w:numPr>
          <w:ilvl w:val="0"/>
          <w:numId w:val="43"/>
        </w:numPr>
        <w:spacing w:after="200" w:line="276" w:lineRule="auto"/>
        <w:rPr>
          <w:rFonts w:ascii="Calibri" w:eastAsia="MS Mincho" w:hAnsi="Calibri" w:cs="Calibri"/>
          <w:color w:val="auto"/>
          <w:sz w:val="22"/>
        </w:rPr>
      </w:pPr>
      <w:r>
        <w:rPr>
          <w:rFonts w:ascii="Calibri" w:eastAsia="MS Mincho" w:hAnsi="Calibri" w:cs="Calibri"/>
          <w:color w:val="auto"/>
          <w:sz w:val="22"/>
        </w:rPr>
        <w:t>e</w:t>
      </w:r>
      <w:r w:rsidR="00CF0C43" w:rsidRPr="00884410">
        <w:rPr>
          <w:rFonts w:ascii="Calibri" w:eastAsia="MS Mincho" w:hAnsi="Calibri" w:cs="Calibri"/>
          <w:color w:val="auto"/>
          <w:sz w:val="22"/>
        </w:rPr>
        <w:t xml:space="preserve">mphasises dignity, independence and consistency of </w:t>
      </w:r>
      <w:r>
        <w:rPr>
          <w:rFonts w:ascii="Calibri" w:eastAsia="MS Mincho" w:hAnsi="Calibri" w:cs="Calibri"/>
          <w:color w:val="auto"/>
          <w:sz w:val="22"/>
        </w:rPr>
        <w:t xml:space="preserve">the </w:t>
      </w:r>
      <w:r w:rsidR="00CF0C43" w:rsidRPr="00884410">
        <w:rPr>
          <w:rFonts w:ascii="Calibri" w:eastAsia="MS Mincho" w:hAnsi="Calibri" w:cs="Calibri"/>
          <w:color w:val="auto"/>
          <w:sz w:val="22"/>
        </w:rPr>
        <w:t>user experience</w:t>
      </w:r>
      <w:r>
        <w:rPr>
          <w:rFonts w:ascii="Calibri" w:eastAsia="MS Mincho" w:hAnsi="Calibri" w:cs="Calibri"/>
          <w:color w:val="auto"/>
          <w:sz w:val="22"/>
        </w:rPr>
        <w:t>.</w:t>
      </w:r>
    </w:p>
    <w:p w14:paraId="4E2DA384" w14:textId="77777777" w:rsidR="00CF0C43" w:rsidRPr="00227E3C" w:rsidRDefault="00CF0C43" w:rsidP="00CF0C43">
      <w:pPr>
        <w:spacing w:after="200" w:line="276" w:lineRule="auto"/>
        <w:rPr>
          <w:rFonts w:ascii="Calibri" w:eastAsia="MS Mincho" w:hAnsi="Calibri" w:cs="Calibri"/>
          <w:color w:val="auto"/>
          <w:sz w:val="22"/>
        </w:rPr>
      </w:pPr>
      <w:r w:rsidRPr="00227E3C">
        <w:rPr>
          <w:rFonts w:ascii="Calibri" w:eastAsia="MS Mincho" w:hAnsi="Calibri" w:cs="Calibri"/>
          <w:color w:val="auto"/>
          <w:sz w:val="22"/>
        </w:rPr>
        <w:t>Key difference</w:t>
      </w:r>
      <w:r w:rsidRPr="00227E3C">
        <w:rPr>
          <w:rFonts w:ascii="Calibri" w:eastAsia="MS Mincho" w:hAnsi="Calibri" w:cs="Calibri"/>
          <w:color w:val="auto"/>
          <w:sz w:val="22"/>
        </w:rPr>
        <w:br/>
        <w:t>NZS 4121 reflects late</w:t>
      </w:r>
      <w:r w:rsidRPr="00227E3C">
        <w:rPr>
          <w:rFonts w:ascii="Calibri" w:eastAsia="MS Mincho" w:hAnsi="Calibri" w:cs="Calibri"/>
          <w:color w:val="auto"/>
          <w:sz w:val="22"/>
        </w:rPr>
        <w:noBreakHyphen/>
        <w:t>1990s performance</w:t>
      </w:r>
      <w:r w:rsidRPr="00227E3C">
        <w:rPr>
          <w:rFonts w:ascii="Calibri" w:eastAsia="MS Mincho" w:hAnsi="Calibri" w:cs="Calibri"/>
          <w:color w:val="auto"/>
          <w:sz w:val="22"/>
        </w:rPr>
        <w:noBreakHyphen/>
        <w:t>based regulation, while AS 1428.1 reflects modern inclusive design philosophy shaped by human rights frameworks.</w:t>
      </w:r>
    </w:p>
    <w:p w14:paraId="47E6D485" w14:textId="77777777" w:rsidR="00CF0C43" w:rsidRPr="00227E3C" w:rsidRDefault="00CF0C43" w:rsidP="00CF0C43">
      <w:pPr>
        <w:spacing w:after="200" w:line="276" w:lineRule="auto"/>
        <w:rPr>
          <w:rFonts w:ascii="Calibri" w:eastAsia="MS Mincho" w:hAnsi="Calibri" w:cs="Calibri"/>
          <w:b/>
          <w:bCs/>
          <w:color w:val="auto"/>
          <w:sz w:val="22"/>
        </w:rPr>
      </w:pPr>
      <w:r w:rsidRPr="00227E3C">
        <w:rPr>
          <w:rFonts w:ascii="Calibri" w:eastAsia="MS Mincho" w:hAnsi="Calibri" w:cs="Calibri"/>
          <w:b/>
          <w:bCs/>
          <w:color w:val="auto"/>
          <w:sz w:val="22"/>
        </w:rPr>
        <w:t>3. Level of technical prescription</w:t>
      </w:r>
    </w:p>
    <w:p w14:paraId="7D73DCC9" w14:textId="26A4B953"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NZS 4121:2001</w:t>
      </w:r>
      <w:r w:rsidR="003F346F">
        <w:rPr>
          <w:rFonts w:ascii="Calibri" w:eastAsia="MS Mincho" w:hAnsi="Calibri" w:cs="Calibri"/>
          <w:color w:val="auto"/>
          <w:sz w:val="22"/>
        </w:rPr>
        <w:t>:</w:t>
      </w:r>
    </w:p>
    <w:p w14:paraId="60EA0F7E" w14:textId="2F36E939" w:rsidR="00CF0C43" w:rsidRDefault="00FC3637" w:rsidP="000F03A2">
      <w:pPr>
        <w:pStyle w:val="ListParagraph"/>
        <w:numPr>
          <w:ilvl w:val="0"/>
          <w:numId w:val="44"/>
        </w:numPr>
        <w:spacing w:after="200" w:line="276" w:lineRule="auto"/>
        <w:rPr>
          <w:rFonts w:ascii="Calibri" w:eastAsia="MS Mincho" w:hAnsi="Calibri" w:cs="Calibri"/>
          <w:color w:val="auto"/>
          <w:sz w:val="22"/>
        </w:rPr>
      </w:pPr>
      <w:r>
        <w:rPr>
          <w:rFonts w:ascii="Calibri" w:eastAsia="MS Mincho" w:hAnsi="Calibri" w:cs="Calibri"/>
          <w:color w:val="auto"/>
          <w:sz w:val="22"/>
        </w:rPr>
        <w:t>is h</w:t>
      </w:r>
      <w:r w:rsidR="00CF0C43" w:rsidRPr="00783552">
        <w:rPr>
          <w:rFonts w:ascii="Calibri" w:eastAsia="MS Mincho" w:hAnsi="Calibri" w:cs="Calibri"/>
          <w:color w:val="auto"/>
          <w:sz w:val="22"/>
        </w:rPr>
        <w:t>ighly prescriptive in core areas such as ramps, stairs, toilets, car parks and lifts</w:t>
      </w:r>
    </w:p>
    <w:p w14:paraId="0E613403" w14:textId="689DF9A9" w:rsidR="00CF0C43" w:rsidRDefault="00FC3637" w:rsidP="000F03A2">
      <w:pPr>
        <w:pStyle w:val="ListParagraph"/>
        <w:numPr>
          <w:ilvl w:val="0"/>
          <w:numId w:val="44"/>
        </w:numPr>
        <w:spacing w:after="200" w:line="276" w:lineRule="auto"/>
        <w:rPr>
          <w:rFonts w:ascii="Calibri" w:eastAsia="MS Mincho" w:hAnsi="Calibri" w:cs="Calibri"/>
          <w:color w:val="auto"/>
          <w:sz w:val="22"/>
        </w:rPr>
      </w:pPr>
      <w:r>
        <w:rPr>
          <w:rFonts w:ascii="Calibri" w:eastAsia="MS Mincho" w:hAnsi="Calibri" w:cs="Calibri"/>
          <w:color w:val="auto"/>
          <w:sz w:val="22"/>
        </w:rPr>
        <w:t>u</w:t>
      </w:r>
      <w:r w:rsidR="00CF0C43" w:rsidRPr="00783552">
        <w:rPr>
          <w:rFonts w:ascii="Calibri" w:eastAsia="MS Mincho" w:hAnsi="Calibri" w:cs="Calibri"/>
          <w:color w:val="auto"/>
          <w:sz w:val="22"/>
        </w:rPr>
        <w:t>ses fixed minimum dimensions and thresholds throughout</w:t>
      </w:r>
    </w:p>
    <w:p w14:paraId="42150565" w14:textId="0F7FACF4" w:rsidR="00CF0C43" w:rsidRDefault="00FC3637" w:rsidP="000F03A2">
      <w:pPr>
        <w:pStyle w:val="ListParagraph"/>
        <w:numPr>
          <w:ilvl w:val="0"/>
          <w:numId w:val="44"/>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has an </w:t>
      </w:r>
      <w:r w:rsidR="00CF0C43" w:rsidRPr="00783552">
        <w:rPr>
          <w:rFonts w:ascii="Calibri" w:eastAsia="MS Mincho" w:hAnsi="Calibri" w:cs="Calibri"/>
          <w:color w:val="auto"/>
          <w:sz w:val="22"/>
        </w:rPr>
        <w:t xml:space="preserve">explanatory </w:t>
      </w:r>
      <w:r>
        <w:rPr>
          <w:rFonts w:ascii="Calibri" w:eastAsia="MS Mincho" w:hAnsi="Calibri" w:cs="Calibri"/>
          <w:color w:val="auto"/>
          <w:sz w:val="22"/>
        </w:rPr>
        <w:t>c</w:t>
      </w:r>
      <w:r w:rsidRPr="00783552">
        <w:rPr>
          <w:rFonts w:ascii="Calibri" w:eastAsia="MS Mincho" w:hAnsi="Calibri" w:cs="Calibri"/>
          <w:color w:val="auto"/>
          <w:sz w:val="22"/>
        </w:rPr>
        <w:t xml:space="preserve">ommentary </w:t>
      </w:r>
      <w:r w:rsidR="00CF0C43" w:rsidRPr="00783552">
        <w:rPr>
          <w:rFonts w:ascii="Calibri" w:eastAsia="MS Mincho" w:hAnsi="Calibri" w:cs="Calibri"/>
          <w:color w:val="auto"/>
          <w:sz w:val="22"/>
        </w:rPr>
        <w:t xml:space="preserve">but </w:t>
      </w:r>
      <w:r>
        <w:rPr>
          <w:rFonts w:ascii="Calibri" w:eastAsia="MS Mincho" w:hAnsi="Calibri" w:cs="Calibri"/>
          <w:color w:val="auto"/>
          <w:sz w:val="22"/>
        </w:rPr>
        <w:t xml:space="preserve">is </w:t>
      </w:r>
      <w:r w:rsidR="00CF0C43" w:rsidRPr="00783552">
        <w:rPr>
          <w:rFonts w:ascii="Calibri" w:eastAsia="MS Mincho" w:hAnsi="Calibri" w:cs="Calibri"/>
          <w:color w:val="auto"/>
          <w:sz w:val="22"/>
        </w:rPr>
        <w:t>not intended to modify requirements</w:t>
      </w:r>
    </w:p>
    <w:p w14:paraId="3B7CD746" w14:textId="301AB6FA" w:rsidR="00CF0C43" w:rsidRPr="00783552" w:rsidRDefault="00FC3637" w:rsidP="000F03A2">
      <w:pPr>
        <w:pStyle w:val="ListParagraph"/>
        <w:numPr>
          <w:ilvl w:val="0"/>
          <w:numId w:val="44"/>
        </w:numPr>
        <w:spacing w:after="200" w:line="276" w:lineRule="auto"/>
        <w:rPr>
          <w:rFonts w:ascii="Calibri" w:eastAsia="MS Mincho" w:hAnsi="Calibri" w:cs="Calibri"/>
          <w:color w:val="auto"/>
          <w:sz w:val="22"/>
        </w:rPr>
      </w:pPr>
      <w:r>
        <w:rPr>
          <w:rFonts w:ascii="Calibri" w:eastAsia="MS Mincho" w:hAnsi="Calibri" w:cs="Calibri"/>
          <w:color w:val="auto"/>
          <w:sz w:val="22"/>
        </w:rPr>
        <w:t>has l</w:t>
      </w:r>
      <w:r w:rsidR="00CF0C43" w:rsidRPr="00783552">
        <w:rPr>
          <w:rFonts w:ascii="Calibri" w:eastAsia="MS Mincho" w:hAnsi="Calibri" w:cs="Calibri"/>
          <w:color w:val="auto"/>
          <w:sz w:val="22"/>
        </w:rPr>
        <w:t>imited use of performance alternatives within the standard itself</w:t>
      </w:r>
      <w:r>
        <w:rPr>
          <w:rFonts w:ascii="Calibri" w:eastAsia="MS Mincho" w:hAnsi="Calibri" w:cs="Calibri"/>
          <w:color w:val="auto"/>
          <w:sz w:val="22"/>
        </w:rPr>
        <w:t>.</w:t>
      </w:r>
    </w:p>
    <w:p w14:paraId="3F5B5B44" w14:textId="2245B411"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AS 1428.1:2021</w:t>
      </w:r>
      <w:r w:rsidR="003F346F">
        <w:rPr>
          <w:rFonts w:ascii="Calibri" w:eastAsia="MS Mincho" w:hAnsi="Calibri" w:cs="Calibri"/>
          <w:color w:val="auto"/>
          <w:sz w:val="22"/>
        </w:rPr>
        <w:t>:</w:t>
      </w:r>
    </w:p>
    <w:p w14:paraId="2EC91A71" w14:textId="0BEA605A" w:rsidR="00CF0C43" w:rsidRDefault="00FC3637" w:rsidP="000F03A2">
      <w:pPr>
        <w:pStyle w:val="ListParagraph"/>
        <w:numPr>
          <w:ilvl w:val="0"/>
          <w:numId w:val="45"/>
        </w:numPr>
        <w:spacing w:after="200" w:line="276" w:lineRule="auto"/>
        <w:rPr>
          <w:rFonts w:ascii="Calibri" w:eastAsia="MS Mincho" w:hAnsi="Calibri" w:cs="Calibri"/>
          <w:color w:val="auto"/>
          <w:sz w:val="22"/>
        </w:rPr>
      </w:pPr>
      <w:r>
        <w:rPr>
          <w:rFonts w:ascii="Calibri" w:eastAsia="MS Mincho" w:hAnsi="Calibri" w:cs="Calibri"/>
          <w:color w:val="auto"/>
          <w:sz w:val="22"/>
        </w:rPr>
        <w:t>is s</w:t>
      </w:r>
      <w:r w:rsidR="00CF0C43" w:rsidRPr="00783552">
        <w:rPr>
          <w:rFonts w:ascii="Calibri" w:eastAsia="MS Mincho" w:hAnsi="Calibri" w:cs="Calibri"/>
          <w:color w:val="auto"/>
          <w:sz w:val="22"/>
        </w:rPr>
        <w:t>till prescriptive, but with greater nuance and contextual flexibility</w:t>
      </w:r>
    </w:p>
    <w:p w14:paraId="7408399D" w14:textId="397F13C5" w:rsidR="00CF0C43" w:rsidRDefault="00FC3637" w:rsidP="000F03A2">
      <w:pPr>
        <w:pStyle w:val="ListParagraph"/>
        <w:numPr>
          <w:ilvl w:val="0"/>
          <w:numId w:val="45"/>
        </w:numPr>
        <w:spacing w:after="200" w:line="276" w:lineRule="auto"/>
        <w:rPr>
          <w:rFonts w:ascii="Calibri" w:eastAsia="MS Mincho" w:hAnsi="Calibri" w:cs="Calibri"/>
          <w:color w:val="auto"/>
          <w:sz w:val="22"/>
        </w:rPr>
      </w:pPr>
      <w:r>
        <w:rPr>
          <w:rFonts w:ascii="Calibri" w:eastAsia="MS Mincho" w:hAnsi="Calibri" w:cs="Calibri"/>
          <w:color w:val="auto"/>
          <w:sz w:val="22"/>
        </w:rPr>
        <w:t>has m</w:t>
      </w:r>
      <w:r w:rsidR="00CF0C43" w:rsidRPr="00783552">
        <w:rPr>
          <w:rFonts w:ascii="Calibri" w:eastAsia="MS Mincho" w:hAnsi="Calibri" w:cs="Calibri"/>
          <w:color w:val="auto"/>
          <w:sz w:val="22"/>
        </w:rPr>
        <w:t>ore frequent use of ranges, tolerances and conditional requirements</w:t>
      </w:r>
    </w:p>
    <w:p w14:paraId="7A9730B2" w14:textId="59889DA0" w:rsidR="00CF0C43" w:rsidRDefault="00FC3637" w:rsidP="000F03A2">
      <w:pPr>
        <w:pStyle w:val="ListParagraph"/>
        <w:numPr>
          <w:ilvl w:val="0"/>
          <w:numId w:val="45"/>
        </w:numPr>
        <w:spacing w:after="200" w:line="276" w:lineRule="auto"/>
        <w:rPr>
          <w:rFonts w:ascii="Calibri" w:eastAsia="MS Mincho" w:hAnsi="Calibri" w:cs="Calibri"/>
          <w:color w:val="auto"/>
          <w:sz w:val="22"/>
        </w:rPr>
      </w:pPr>
      <w:r w:rsidRPr="00783552">
        <w:rPr>
          <w:rFonts w:ascii="Calibri" w:eastAsia="MS Mincho" w:hAnsi="Calibri" w:cs="Calibri"/>
          <w:color w:val="auto"/>
          <w:sz w:val="22"/>
        </w:rPr>
        <w:t xml:space="preserve">integrates </w:t>
      </w:r>
      <w:r w:rsidR="00CF0C43" w:rsidRPr="00783552">
        <w:rPr>
          <w:rFonts w:ascii="Calibri" w:eastAsia="MS Mincho" w:hAnsi="Calibri" w:cs="Calibri"/>
          <w:color w:val="auto"/>
          <w:sz w:val="22"/>
        </w:rPr>
        <w:t>with other AS 1428 parts to avoid duplication</w:t>
      </w:r>
    </w:p>
    <w:p w14:paraId="153415D3" w14:textId="1CDC0691" w:rsidR="00CF0C43" w:rsidRPr="00783552" w:rsidRDefault="00FC3637" w:rsidP="000F03A2">
      <w:pPr>
        <w:pStyle w:val="ListParagraph"/>
        <w:numPr>
          <w:ilvl w:val="0"/>
          <w:numId w:val="45"/>
        </w:numPr>
        <w:spacing w:after="200" w:line="276" w:lineRule="auto"/>
        <w:rPr>
          <w:rFonts w:ascii="Calibri" w:eastAsia="MS Mincho" w:hAnsi="Calibri" w:cs="Calibri"/>
          <w:color w:val="auto"/>
          <w:sz w:val="22"/>
        </w:rPr>
      </w:pPr>
      <w:r w:rsidRPr="00783552">
        <w:rPr>
          <w:rFonts w:ascii="Calibri" w:eastAsia="MS Mincho" w:hAnsi="Calibri" w:cs="Calibri"/>
          <w:color w:val="auto"/>
          <w:sz w:val="22"/>
        </w:rPr>
        <w:t xml:space="preserve">better </w:t>
      </w:r>
      <w:r w:rsidR="00CF0C43" w:rsidRPr="00783552">
        <w:rPr>
          <w:rFonts w:ascii="Calibri" w:eastAsia="MS Mincho" w:hAnsi="Calibri" w:cs="Calibri"/>
          <w:color w:val="auto"/>
          <w:sz w:val="22"/>
        </w:rPr>
        <w:t>accommodates innovation through system</w:t>
      </w:r>
      <w:r w:rsidR="00CF0C43" w:rsidRPr="00783552">
        <w:rPr>
          <w:rFonts w:ascii="Calibri" w:eastAsia="MS Mincho" w:hAnsi="Calibri" w:cs="Calibri"/>
          <w:color w:val="auto"/>
          <w:sz w:val="22"/>
        </w:rPr>
        <w:noBreakHyphen/>
        <w:t>based references</w:t>
      </w:r>
    </w:p>
    <w:p w14:paraId="0A360E8E" w14:textId="77777777" w:rsidR="00CF0C43" w:rsidRPr="00227E3C" w:rsidRDefault="00CF0C43" w:rsidP="00CF0C43">
      <w:pPr>
        <w:spacing w:after="200" w:line="276" w:lineRule="auto"/>
        <w:rPr>
          <w:rFonts w:ascii="Calibri" w:eastAsia="MS Mincho" w:hAnsi="Calibri" w:cs="Calibri"/>
          <w:color w:val="auto"/>
          <w:sz w:val="22"/>
        </w:rPr>
      </w:pPr>
      <w:r w:rsidRPr="00227E3C">
        <w:rPr>
          <w:rFonts w:ascii="Calibri" w:eastAsia="MS Mincho" w:hAnsi="Calibri" w:cs="Calibri"/>
          <w:color w:val="auto"/>
          <w:sz w:val="22"/>
        </w:rPr>
        <w:t>Key difference</w:t>
      </w:r>
      <w:r w:rsidRPr="00227E3C">
        <w:rPr>
          <w:rFonts w:ascii="Calibri" w:eastAsia="MS Mincho" w:hAnsi="Calibri" w:cs="Calibri"/>
          <w:color w:val="auto"/>
          <w:sz w:val="22"/>
        </w:rPr>
        <w:br/>
        <w:t>NZS 4121 relies on static minimums, whereas AS 1428.1 balances prescription with adaptability and cross</w:t>
      </w:r>
      <w:r w:rsidRPr="00227E3C">
        <w:rPr>
          <w:rFonts w:ascii="Calibri" w:eastAsia="MS Mincho" w:hAnsi="Calibri" w:cs="Calibri"/>
          <w:color w:val="auto"/>
          <w:sz w:val="22"/>
        </w:rPr>
        <w:noBreakHyphen/>
        <w:t>standard integration.</w:t>
      </w:r>
    </w:p>
    <w:p w14:paraId="56D91B53" w14:textId="77777777" w:rsidR="00CF0C43" w:rsidRPr="00227E3C" w:rsidRDefault="00CF0C43" w:rsidP="00CF0C43">
      <w:pPr>
        <w:spacing w:after="200" w:line="276" w:lineRule="auto"/>
        <w:rPr>
          <w:rFonts w:ascii="Calibri" w:eastAsia="MS Mincho" w:hAnsi="Calibri" w:cs="Calibri"/>
          <w:b/>
          <w:bCs/>
          <w:color w:val="auto"/>
          <w:sz w:val="22"/>
        </w:rPr>
      </w:pPr>
      <w:r w:rsidRPr="00227E3C">
        <w:rPr>
          <w:rFonts w:ascii="Calibri" w:eastAsia="MS Mincho" w:hAnsi="Calibri" w:cs="Calibri"/>
          <w:b/>
          <w:bCs/>
          <w:color w:val="auto"/>
          <w:sz w:val="22"/>
        </w:rPr>
        <w:t>4. Circulation and spatial requirements</w:t>
      </w:r>
    </w:p>
    <w:p w14:paraId="61FA32C4" w14:textId="49D00823"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NZS 4121:2001</w:t>
      </w:r>
      <w:r w:rsidR="003F346F">
        <w:rPr>
          <w:rFonts w:ascii="Calibri" w:eastAsia="MS Mincho" w:hAnsi="Calibri" w:cs="Calibri"/>
          <w:color w:val="auto"/>
          <w:sz w:val="22"/>
        </w:rPr>
        <w:t>:</w:t>
      </w:r>
    </w:p>
    <w:p w14:paraId="567A6D75" w14:textId="5B263372" w:rsidR="00CF0C43" w:rsidRDefault="003F346F" w:rsidP="000F03A2">
      <w:pPr>
        <w:pStyle w:val="ListParagraph"/>
        <w:numPr>
          <w:ilvl w:val="0"/>
          <w:numId w:val="46"/>
        </w:numPr>
        <w:spacing w:after="200" w:line="276" w:lineRule="auto"/>
        <w:rPr>
          <w:rFonts w:ascii="Calibri" w:eastAsia="MS Mincho" w:hAnsi="Calibri" w:cs="Calibri"/>
          <w:color w:val="auto"/>
          <w:sz w:val="22"/>
        </w:rPr>
      </w:pPr>
      <w:r>
        <w:rPr>
          <w:rFonts w:ascii="Calibri" w:eastAsia="MS Mincho" w:hAnsi="Calibri" w:cs="Calibri"/>
          <w:color w:val="auto"/>
          <w:sz w:val="22"/>
        </w:rPr>
        <w:t>has a m</w:t>
      </w:r>
      <w:r w:rsidR="00CF0C43" w:rsidRPr="00945A41">
        <w:rPr>
          <w:rFonts w:ascii="Calibri" w:eastAsia="MS Mincho" w:hAnsi="Calibri" w:cs="Calibri"/>
          <w:color w:val="auto"/>
          <w:sz w:val="22"/>
        </w:rPr>
        <w:t xml:space="preserve">inimum accessible route and corridor width </w:t>
      </w:r>
      <w:r>
        <w:rPr>
          <w:rFonts w:ascii="Calibri" w:eastAsia="MS Mincho" w:hAnsi="Calibri" w:cs="Calibri"/>
          <w:color w:val="auto"/>
          <w:sz w:val="22"/>
        </w:rPr>
        <w:t>(</w:t>
      </w:r>
      <w:r w:rsidR="00CF0C43" w:rsidRPr="00945A41">
        <w:rPr>
          <w:rFonts w:ascii="Calibri" w:eastAsia="MS Mincho" w:hAnsi="Calibri" w:cs="Calibri"/>
          <w:color w:val="auto"/>
          <w:sz w:val="22"/>
        </w:rPr>
        <w:t>generally 1200 mm</w:t>
      </w:r>
      <w:r>
        <w:rPr>
          <w:rFonts w:ascii="Calibri" w:eastAsia="MS Mincho" w:hAnsi="Calibri" w:cs="Calibri"/>
          <w:color w:val="auto"/>
          <w:sz w:val="22"/>
        </w:rPr>
        <w:t>)</w:t>
      </w:r>
    </w:p>
    <w:p w14:paraId="31C5FCB1" w14:textId="6390962C" w:rsidR="00CF0C43" w:rsidRDefault="003F346F" w:rsidP="000F03A2">
      <w:pPr>
        <w:pStyle w:val="ListParagraph"/>
        <w:numPr>
          <w:ilvl w:val="0"/>
          <w:numId w:val="46"/>
        </w:numPr>
        <w:spacing w:after="200" w:line="276" w:lineRule="auto"/>
        <w:rPr>
          <w:rFonts w:ascii="Calibri" w:eastAsia="MS Mincho" w:hAnsi="Calibri" w:cs="Calibri"/>
          <w:color w:val="auto"/>
          <w:sz w:val="22"/>
        </w:rPr>
      </w:pPr>
      <w:r>
        <w:rPr>
          <w:rFonts w:ascii="Calibri" w:eastAsia="MS Mincho" w:hAnsi="Calibri" w:cs="Calibri"/>
          <w:color w:val="auto"/>
          <w:sz w:val="22"/>
        </w:rPr>
        <w:t>has t</w:t>
      </w:r>
      <w:r w:rsidR="00CF0C43" w:rsidRPr="00945A41">
        <w:rPr>
          <w:rFonts w:ascii="Calibri" w:eastAsia="MS Mincho" w:hAnsi="Calibri" w:cs="Calibri"/>
          <w:color w:val="auto"/>
          <w:sz w:val="22"/>
        </w:rPr>
        <w:t>urning spaces typically based on 1500 mm wheelchair turning circle</w:t>
      </w:r>
    </w:p>
    <w:p w14:paraId="137BEE51" w14:textId="3CDDF631" w:rsidR="00CF0C43" w:rsidRDefault="003F346F" w:rsidP="000F03A2">
      <w:pPr>
        <w:pStyle w:val="ListParagraph"/>
        <w:numPr>
          <w:ilvl w:val="0"/>
          <w:numId w:val="46"/>
        </w:numPr>
        <w:spacing w:after="200" w:line="276" w:lineRule="auto"/>
        <w:rPr>
          <w:rFonts w:ascii="Calibri" w:eastAsia="MS Mincho" w:hAnsi="Calibri" w:cs="Calibri"/>
          <w:color w:val="auto"/>
          <w:sz w:val="22"/>
        </w:rPr>
      </w:pPr>
      <w:r>
        <w:rPr>
          <w:rFonts w:ascii="Calibri" w:eastAsia="MS Mincho" w:hAnsi="Calibri" w:cs="Calibri"/>
          <w:color w:val="auto"/>
          <w:sz w:val="22"/>
        </w:rPr>
        <w:t>has c</w:t>
      </w:r>
      <w:r w:rsidR="00CF0C43" w:rsidRPr="00945A41">
        <w:rPr>
          <w:rFonts w:ascii="Calibri" w:eastAsia="MS Mincho" w:hAnsi="Calibri" w:cs="Calibri"/>
          <w:color w:val="auto"/>
          <w:sz w:val="22"/>
        </w:rPr>
        <w:t>onservative ramp gradients and landing requirements</w:t>
      </w:r>
    </w:p>
    <w:p w14:paraId="14724F01" w14:textId="2A3A9855" w:rsidR="00CF0C43" w:rsidRPr="00945A41" w:rsidRDefault="003F346F" w:rsidP="000F03A2">
      <w:pPr>
        <w:pStyle w:val="ListParagraph"/>
        <w:numPr>
          <w:ilvl w:val="0"/>
          <w:numId w:val="46"/>
        </w:numPr>
        <w:spacing w:after="200" w:line="276" w:lineRule="auto"/>
        <w:rPr>
          <w:rFonts w:ascii="Calibri" w:eastAsia="MS Mincho" w:hAnsi="Calibri" w:cs="Calibri"/>
          <w:color w:val="auto"/>
          <w:sz w:val="22"/>
        </w:rPr>
      </w:pPr>
      <w:r>
        <w:rPr>
          <w:rFonts w:ascii="Calibri" w:eastAsia="MS Mincho" w:hAnsi="Calibri" w:cs="Calibri"/>
          <w:color w:val="auto"/>
          <w:sz w:val="22"/>
        </w:rPr>
        <w:t>has s</w:t>
      </w:r>
      <w:r w:rsidR="00CF0C43" w:rsidRPr="00945A41">
        <w:rPr>
          <w:rFonts w:ascii="Calibri" w:eastAsia="MS Mincho" w:hAnsi="Calibri" w:cs="Calibri"/>
          <w:color w:val="auto"/>
          <w:sz w:val="22"/>
        </w:rPr>
        <w:t>patial requirements strongly influenced by manual wheelchair dimensions</w:t>
      </w:r>
      <w:r>
        <w:rPr>
          <w:rFonts w:ascii="Calibri" w:eastAsia="MS Mincho" w:hAnsi="Calibri" w:cs="Calibri"/>
          <w:color w:val="auto"/>
          <w:sz w:val="22"/>
        </w:rPr>
        <w:t>.</w:t>
      </w:r>
    </w:p>
    <w:p w14:paraId="004D87F9" w14:textId="7FA358D1"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AS 1428.1:2021</w:t>
      </w:r>
      <w:r w:rsidR="003F346F">
        <w:rPr>
          <w:rFonts w:ascii="Calibri" w:eastAsia="MS Mincho" w:hAnsi="Calibri" w:cs="Calibri"/>
          <w:color w:val="auto"/>
          <w:sz w:val="22"/>
        </w:rPr>
        <w:t>:</w:t>
      </w:r>
    </w:p>
    <w:p w14:paraId="39660E2F" w14:textId="24F2C940" w:rsidR="00CF0C43" w:rsidRDefault="003F346F" w:rsidP="000F03A2">
      <w:pPr>
        <w:pStyle w:val="ListParagraph"/>
        <w:numPr>
          <w:ilvl w:val="0"/>
          <w:numId w:val="47"/>
        </w:numPr>
        <w:spacing w:after="200" w:line="276" w:lineRule="auto"/>
        <w:rPr>
          <w:rFonts w:ascii="Calibri" w:eastAsia="MS Mincho" w:hAnsi="Calibri" w:cs="Calibri"/>
          <w:color w:val="auto"/>
          <w:sz w:val="22"/>
        </w:rPr>
      </w:pPr>
      <w:r>
        <w:rPr>
          <w:rFonts w:ascii="Calibri" w:eastAsia="MS Mincho" w:hAnsi="Calibri" w:cs="Calibri"/>
          <w:color w:val="auto"/>
          <w:sz w:val="22"/>
        </w:rPr>
        <w:t>has c</w:t>
      </w:r>
      <w:r w:rsidR="00CF0C43" w:rsidRPr="00945A41">
        <w:rPr>
          <w:rFonts w:ascii="Calibri" w:eastAsia="MS Mincho" w:hAnsi="Calibri" w:cs="Calibri"/>
          <w:color w:val="auto"/>
          <w:sz w:val="22"/>
        </w:rPr>
        <w:t>irculation widths often equal to or greater than NZS 4121, but more differentiated by context</w:t>
      </w:r>
    </w:p>
    <w:p w14:paraId="1B3AF9CB" w14:textId="111F63F6" w:rsidR="00CF0C43" w:rsidRDefault="003F346F" w:rsidP="000F03A2">
      <w:pPr>
        <w:pStyle w:val="ListParagraph"/>
        <w:numPr>
          <w:ilvl w:val="0"/>
          <w:numId w:val="47"/>
        </w:numPr>
        <w:spacing w:after="200" w:line="276" w:lineRule="auto"/>
        <w:rPr>
          <w:rFonts w:ascii="Calibri" w:eastAsia="MS Mincho" w:hAnsi="Calibri" w:cs="Calibri"/>
          <w:color w:val="auto"/>
          <w:sz w:val="22"/>
        </w:rPr>
      </w:pPr>
      <w:r>
        <w:rPr>
          <w:rFonts w:ascii="Calibri" w:eastAsia="MS Mincho" w:hAnsi="Calibri" w:cs="Calibri"/>
          <w:color w:val="auto"/>
          <w:sz w:val="22"/>
        </w:rPr>
        <w:t>has t</w:t>
      </w:r>
      <w:r w:rsidR="00CF0C43" w:rsidRPr="00945A41">
        <w:rPr>
          <w:rFonts w:ascii="Calibri" w:eastAsia="MS Mincho" w:hAnsi="Calibri" w:cs="Calibri"/>
          <w:color w:val="auto"/>
          <w:sz w:val="22"/>
        </w:rPr>
        <w:t>urning spaces respond to contemporary wheelchair and scooter sizes</w:t>
      </w:r>
    </w:p>
    <w:p w14:paraId="408DA502" w14:textId="7C4A8152" w:rsidR="00CF0C43" w:rsidRDefault="003F346F" w:rsidP="000F03A2">
      <w:pPr>
        <w:pStyle w:val="ListParagraph"/>
        <w:numPr>
          <w:ilvl w:val="0"/>
          <w:numId w:val="47"/>
        </w:numPr>
        <w:spacing w:after="200" w:line="276" w:lineRule="auto"/>
        <w:rPr>
          <w:rFonts w:ascii="Calibri" w:eastAsia="MS Mincho" w:hAnsi="Calibri" w:cs="Calibri"/>
          <w:color w:val="auto"/>
          <w:sz w:val="22"/>
        </w:rPr>
      </w:pPr>
      <w:r>
        <w:rPr>
          <w:rFonts w:ascii="Calibri" w:eastAsia="MS Mincho" w:hAnsi="Calibri" w:cs="Calibri"/>
          <w:color w:val="auto"/>
          <w:sz w:val="22"/>
        </w:rPr>
        <w:t>has g</w:t>
      </w:r>
      <w:r w:rsidR="00CF0C43" w:rsidRPr="00945A41">
        <w:rPr>
          <w:rFonts w:ascii="Calibri" w:eastAsia="MS Mincho" w:hAnsi="Calibri" w:cs="Calibri"/>
          <w:color w:val="auto"/>
          <w:sz w:val="22"/>
        </w:rPr>
        <w:t>reater recognition of passing spaces, circulation complexity and user interaction</w:t>
      </w:r>
    </w:p>
    <w:p w14:paraId="1500036A" w14:textId="51502664" w:rsidR="00CF0C43" w:rsidRPr="00945A41" w:rsidRDefault="003F346F" w:rsidP="000F03A2">
      <w:pPr>
        <w:pStyle w:val="ListParagraph"/>
        <w:numPr>
          <w:ilvl w:val="0"/>
          <w:numId w:val="47"/>
        </w:numPr>
        <w:spacing w:after="200" w:line="276" w:lineRule="auto"/>
        <w:rPr>
          <w:rFonts w:ascii="Calibri" w:eastAsia="MS Mincho" w:hAnsi="Calibri" w:cs="Calibri"/>
          <w:color w:val="auto"/>
          <w:sz w:val="22"/>
        </w:rPr>
      </w:pPr>
      <w:r>
        <w:rPr>
          <w:rFonts w:ascii="Calibri" w:eastAsia="MS Mincho" w:hAnsi="Calibri" w:cs="Calibri"/>
          <w:color w:val="auto"/>
          <w:sz w:val="22"/>
        </w:rPr>
        <w:t>has m</w:t>
      </w:r>
      <w:r w:rsidR="00CF0C43" w:rsidRPr="00945A41">
        <w:rPr>
          <w:rFonts w:ascii="Calibri" w:eastAsia="MS Mincho" w:hAnsi="Calibri" w:cs="Calibri"/>
          <w:color w:val="auto"/>
          <w:sz w:val="22"/>
        </w:rPr>
        <w:t>ore explicit treatment of transitional spaces</w:t>
      </w:r>
      <w:r>
        <w:rPr>
          <w:rFonts w:ascii="Calibri" w:eastAsia="MS Mincho" w:hAnsi="Calibri" w:cs="Calibri"/>
          <w:color w:val="auto"/>
          <w:sz w:val="22"/>
        </w:rPr>
        <w:t>.</w:t>
      </w:r>
    </w:p>
    <w:p w14:paraId="3C8FAA23" w14:textId="77777777" w:rsidR="00CF0C43" w:rsidRDefault="00CF0C43" w:rsidP="00CF0C43">
      <w:pPr>
        <w:spacing w:after="200" w:line="276" w:lineRule="auto"/>
        <w:rPr>
          <w:rFonts w:ascii="Calibri" w:eastAsia="MS Mincho" w:hAnsi="Calibri" w:cs="Calibri"/>
          <w:color w:val="auto"/>
          <w:sz w:val="22"/>
        </w:rPr>
      </w:pPr>
      <w:r w:rsidRPr="00227E3C">
        <w:rPr>
          <w:rFonts w:ascii="Calibri" w:eastAsia="MS Mincho" w:hAnsi="Calibri" w:cs="Calibri"/>
          <w:color w:val="auto"/>
          <w:sz w:val="22"/>
        </w:rPr>
        <w:t>Key difference</w:t>
      </w:r>
      <w:r w:rsidRPr="00227E3C">
        <w:rPr>
          <w:rFonts w:ascii="Calibri" w:eastAsia="MS Mincho" w:hAnsi="Calibri" w:cs="Calibri"/>
          <w:color w:val="auto"/>
          <w:sz w:val="22"/>
        </w:rPr>
        <w:br/>
        <w:t>AS 1428.1 better reflects contemporary mobility devices and real</w:t>
      </w:r>
      <w:r w:rsidRPr="00227E3C">
        <w:rPr>
          <w:rFonts w:ascii="Calibri" w:eastAsia="MS Mincho" w:hAnsi="Calibri" w:cs="Calibri"/>
          <w:color w:val="auto"/>
          <w:sz w:val="22"/>
        </w:rPr>
        <w:noBreakHyphen/>
        <w:t>world circulation behaviour, while NZS 4121 reflects earlier assumptions about users and equipment.</w:t>
      </w:r>
    </w:p>
    <w:p w14:paraId="516C78FC" w14:textId="77777777" w:rsidR="005917B7" w:rsidRDefault="005917B7" w:rsidP="00CF0C43">
      <w:pPr>
        <w:spacing w:after="200" w:line="276" w:lineRule="auto"/>
        <w:rPr>
          <w:rFonts w:ascii="Calibri" w:eastAsia="MS Mincho" w:hAnsi="Calibri" w:cs="Calibri"/>
          <w:color w:val="auto"/>
          <w:sz w:val="22"/>
        </w:rPr>
      </w:pPr>
    </w:p>
    <w:p w14:paraId="0BE21961" w14:textId="77777777" w:rsidR="005917B7" w:rsidRPr="00227E3C" w:rsidRDefault="005917B7" w:rsidP="00CF0C43">
      <w:pPr>
        <w:spacing w:after="200" w:line="276" w:lineRule="auto"/>
        <w:rPr>
          <w:rFonts w:ascii="Calibri" w:eastAsia="MS Mincho" w:hAnsi="Calibri" w:cs="Calibri"/>
          <w:color w:val="auto"/>
          <w:sz w:val="22"/>
        </w:rPr>
      </w:pPr>
    </w:p>
    <w:p w14:paraId="6E7ED621" w14:textId="343CD217" w:rsidR="00CF0C43" w:rsidRPr="00227E3C" w:rsidRDefault="00CF0C43" w:rsidP="00CF0C43">
      <w:pPr>
        <w:spacing w:after="200" w:line="276" w:lineRule="auto"/>
        <w:rPr>
          <w:rFonts w:ascii="Calibri" w:eastAsia="MS Mincho" w:hAnsi="Calibri" w:cs="Calibri"/>
          <w:b/>
          <w:bCs/>
          <w:color w:val="auto"/>
          <w:sz w:val="22"/>
        </w:rPr>
      </w:pPr>
      <w:r w:rsidRPr="00227E3C">
        <w:rPr>
          <w:rFonts w:ascii="Calibri" w:eastAsia="MS Mincho" w:hAnsi="Calibri" w:cs="Calibri"/>
          <w:b/>
          <w:bCs/>
          <w:color w:val="auto"/>
          <w:sz w:val="22"/>
        </w:rPr>
        <w:lastRenderedPageBreak/>
        <w:t>5. Controls, fittings and operability</w:t>
      </w:r>
    </w:p>
    <w:p w14:paraId="12E9B2E4" w14:textId="318A9C95"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NZS 4121:2001</w:t>
      </w:r>
      <w:r w:rsidR="00151B5F">
        <w:rPr>
          <w:rFonts w:ascii="Calibri" w:eastAsia="MS Mincho" w:hAnsi="Calibri" w:cs="Calibri"/>
          <w:color w:val="auto"/>
          <w:sz w:val="22"/>
        </w:rPr>
        <w:t>:</w:t>
      </w:r>
    </w:p>
    <w:p w14:paraId="2A8094E5" w14:textId="0ADDB10F" w:rsidR="00CF0C43" w:rsidRDefault="00151B5F" w:rsidP="000F03A2">
      <w:pPr>
        <w:pStyle w:val="ListParagraph"/>
        <w:numPr>
          <w:ilvl w:val="0"/>
          <w:numId w:val="48"/>
        </w:numPr>
        <w:spacing w:after="200" w:line="276" w:lineRule="auto"/>
        <w:rPr>
          <w:rFonts w:ascii="Calibri" w:eastAsia="MS Mincho" w:hAnsi="Calibri" w:cs="Calibri"/>
          <w:color w:val="auto"/>
          <w:sz w:val="22"/>
        </w:rPr>
      </w:pPr>
      <w:r>
        <w:rPr>
          <w:rFonts w:ascii="Calibri" w:eastAsia="MS Mincho" w:hAnsi="Calibri" w:cs="Calibri"/>
          <w:color w:val="auto"/>
          <w:sz w:val="22"/>
        </w:rPr>
        <w:t>has c</w:t>
      </w:r>
      <w:r w:rsidR="00CF0C43" w:rsidRPr="00945A41">
        <w:rPr>
          <w:rFonts w:ascii="Calibri" w:eastAsia="MS Mincho" w:hAnsi="Calibri" w:cs="Calibri"/>
          <w:color w:val="auto"/>
          <w:sz w:val="22"/>
        </w:rPr>
        <w:t>lear requirements for heights, reach ranges and forces</w:t>
      </w:r>
    </w:p>
    <w:p w14:paraId="21DCD448" w14:textId="75DE410C" w:rsidR="00CF0C43" w:rsidRDefault="00151B5F" w:rsidP="000F03A2">
      <w:pPr>
        <w:pStyle w:val="ListParagraph"/>
        <w:numPr>
          <w:ilvl w:val="0"/>
          <w:numId w:val="48"/>
        </w:numPr>
        <w:spacing w:after="200" w:line="276" w:lineRule="auto"/>
        <w:rPr>
          <w:rFonts w:ascii="Calibri" w:eastAsia="MS Mincho" w:hAnsi="Calibri" w:cs="Calibri"/>
          <w:color w:val="auto"/>
          <w:sz w:val="22"/>
        </w:rPr>
      </w:pPr>
      <w:r>
        <w:rPr>
          <w:rFonts w:ascii="Calibri" w:eastAsia="MS Mincho" w:hAnsi="Calibri" w:cs="Calibri"/>
          <w:color w:val="auto"/>
          <w:sz w:val="22"/>
        </w:rPr>
        <w:t>has a s</w:t>
      </w:r>
      <w:r w:rsidR="00CF0C43" w:rsidRPr="00945A41">
        <w:rPr>
          <w:rFonts w:ascii="Calibri" w:eastAsia="MS Mincho" w:hAnsi="Calibri" w:cs="Calibri"/>
          <w:color w:val="auto"/>
          <w:sz w:val="22"/>
        </w:rPr>
        <w:t>trong focus on operability for people with limited strength or dexterity</w:t>
      </w:r>
    </w:p>
    <w:p w14:paraId="2FC8A5C0" w14:textId="6A7256D4" w:rsidR="00CF0C43" w:rsidRDefault="00151B5F" w:rsidP="000F03A2">
      <w:pPr>
        <w:pStyle w:val="ListParagraph"/>
        <w:numPr>
          <w:ilvl w:val="0"/>
          <w:numId w:val="48"/>
        </w:numPr>
        <w:spacing w:after="200" w:line="276" w:lineRule="auto"/>
        <w:rPr>
          <w:rFonts w:ascii="Calibri" w:eastAsia="MS Mincho" w:hAnsi="Calibri" w:cs="Calibri"/>
          <w:color w:val="auto"/>
          <w:sz w:val="22"/>
        </w:rPr>
      </w:pPr>
      <w:r>
        <w:rPr>
          <w:rFonts w:ascii="Calibri" w:eastAsia="MS Mincho" w:hAnsi="Calibri" w:cs="Calibri"/>
          <w:color w:val="auto"/>
          <w:sz w:val="22"/>
        </w:rPr>
        <w:t>has l</w:t>
      </w:r>
      <w:r w:rsidR="00CF0C43" w:rsidRPr="00945A41">
        <w:rPr>
          <w:rFonts w:ascii="Calibri" w:eastAsia="MS Mincho" w:hAnsi="Calibri" w:cs="Calibri"/>
          <w:color w:val="auto"/>
          <w:sz w:val="22"/>
        </w:rPr>
        <w:t>imited differentiation between types of controls beyond basic usability</w:t>
      </w:r>
    </w:p>
    <w:p w14:paraId="3F8B7730" w14:textId="3F79EB64" w:rsidR="00CF0C43" w:rsidRPr="00945A41" w:rsidRDefault="00151B5F" w:rsidP="000F03A2">
      <w:pPr>
        <w:pStyle w:val="ListParagraph"/>
        <w:numPr>
          <w:ilvl w:val="0"/>
          <w:numId w:val="48"/>
        </w:numPr>
        <w:spacing w:after="200" w:line="276" w:lineRule="auto"/>
        <w:rPr>
          <w:rFonts w:ascii="Calibri" w:eastAsia="MS Mincho" w:hAnsi="Calibri" w:cs="Calibri"/>
          <w:color w:val="auto"/>
          <w:sz w:val="22"/>
        </w:rPr>
      </w:pPr>
      <w:r>
        <w:rPr>
          <w:rFonts w:ascii="Calibri" w:eastAsia="MS Mincho" w:hAnsi="Calibri" w:cs="Calibri"/>
          <w:color w:val="auto"/>
          <w:sz w:val="22"/>
        </w:rPr>
        <w:t>has an e</w:t>
      </w:r>
      <w:r w:rsidR="00CF0C43" w:rsidRPr="00945A41">
        <w:rPr>
          <w:rFonts w:ascii="Calibri" w:eastAsia="MS Mincho" w:hAnsi="Calibri" w:cs="Calibri"/>
          <w:color w:val="auto"/>
          <w:sz w:val="22"/>
        </w:rPr>
        <w:t xml:space="preserve">mphasis </w:t>
      </w:r>
      <w:r>
        <w:rPr>
          <w:rFonts w:ascii="Calibri" w:eastAsia="MS Mincho" w:hAnsi="Calibri" w:cs="Calibri"/>
          <w:color w:val="auto"/>
          <w:sz w:val="22"/>
        </w:rPr>
        <w:t xml:space="preserve">that </w:t>
      </w:r>
      <w:r w:rsidR="00CF0C43" w:rsidRPr="00945A41">
        <w:rPr>
          <w:rFonts w:ascii="Calibri" w:eastAsia="MS Mincho" w:hAnsi="Calibri" w:cs="Calibri"/>
          <w:color w:val="auto"/>
          <w:sz w:val="22"/>
        </w:rPr>
        <w:t>is primarily mechanical and physical</w:t>
      </w:r>
      <w:r>
        <w:rPr>
          <w:rFonts w:ascii="Calibri" w:eastAsia="MS Mincho" w:hAnsi="Calibri" w:cs="Calibri"/>
          <w:color w:val="auto"/>
          <w:sz w:val="22"/>
        </w:rPr>
        <w:t>.</w:t>
      </w:r>
    </w:p>
    <w:p w14:paraId="64684E5E" w14:textId="054C0922"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AS 1428.1:2021</w:t>
      </w:r>
      <w:r w:rsidR="00151B5F">
        <w:rPr>
          <w:rFonts w:ascii="Calibri" w:eastAsia="MS Mincho" w:hAnsi="Calibri" w:cs="Calibri"/>
          <w:color w:val="auto"/>
          <w:sz w:val="22"/>
        </w:rPr>
        <w:t>:</w:t>
      </w:r>
    </w:p>
    <w:p w14:paraId="10935580" w14:textId="43483624" w:rsidR="00CF0C43" w:rsidRDefault="00151B5F" w:rsidP="000F03A2">
      <w:pPr>
        <w:pStyle w:val="ListParagraph"/>
        <w:numPr>
          <w:ilvl w:val="0"/>
          <w:numId w:val="49"/>
        </w:numPr>
        <w:spacing w:after="200" w:line="276" w:lineRule="auto"/>
        <w:rPr>
          <w:rFonts w:ascii="Calibri" w:eastAsia="MS Mincho" w:hAnsi="Calibri" w:cs="Calibri"/>
          <w:color w:val="auto"/>
          <w:sz w:val="22"/>
        </w:rPr>
      </w:pPr>
      <w:r>
        <w:rPr>
          <w:rFonts w:ascii="Calibri" w:eastAsia="MS Mincho" w:hAnsi="Calibri" w:cs="Calibri"/>
          <w:color w:val="auto"/>
          <w:sz w:val="22"/>
        </w:rPr>
        <w:t>has e</w:t>
      </w:r>
      <w:r w:rsidR="00CF0C43" w:rsidRPr="00945A41">
        <w:rPr>
          <w:rFonts w:ascii="Calibri" w:eastAsia="MS Mincho" w:hAnsi="Calibri" w:cs="Calibri"/>
          <w:color w:val="auto"/>
          <w:sz w:val="22"/>
        </w:rPr>
        <w:t>xpanded treatment of controls, interfaces and user interaction</w:t>
      </w:r>
    </w:p>
    <w:p w14:paraId="7F43D1CF" w14:textId="4451E29D" w:rsidR="00CF0C43" w:rsidRDefault="00151B5F" w:rsidP="000F03A2">
      <w:pPr>
        <w:pStyle w:val="ListParagraph"/>
        <w:numPr>
          <w:ilvl w:val="0"/>
          <w:numId w:val="49"/>
        </w:numPr>
        <w:spacing w:after="200" w:line="276" w:lineRule="auto"/>
        <w:rPr>
          <w:rFonts w:ascii="Calibri" w:eastAsia="MS Mincho" w:hAnsi="Calibri" w:cs="Calibri"/>
          <w:color w:val="auto"/>
          <w:sz w:val="22"/>
        </w:rPr>
      </w:pPr>
      <w:r>
        <w:rPr>
          <w:rFonts w:ascii="Calibri" w:eastAsia="MS Mincho" w:hAnsi="Calibri" w:cs="Calibri"/>
          <w:color w:val="auto"/>
          <w:sz w:val="22"/>
        </w:rPr>
        <w:t>has g</w:t>
      </w:r>
      <w:r w:rsidR="00CF0C43" w:rsidRPr="00945A41">
        <w:rPr>
          <w:rFonts w:ascii="Calibri" w:eastAsia="MS Mincho" w:hAnsi="Calibri" w:cs="Calibri"/>
          <w:color w:val="auto"/>
          <w:sz w:val="22"/>
        </w:rPr>
        <w:t>reater attention to reach envelopes, approach types and task sequences</w:t>
      </w:r>
    </w:p>
    <w:p w14:paraId="67D4E8E2" w14:textId="146F6B38" w:rsidR="00CF0C43" w:rsidRDefault="00151B5F" w:rsidP="000F03A2">
      <w:pPr>
        <w:pStyle w:val="ListParagraph"/>
        <w:numPr>
          <w:ilvl w:val="0"/>
          <w:numId w:val="49"/>
        </w:numPr>
        <w:spacing w:after="200" w:line="276" w:lineRule="auto"/>
        <w:rPr>
          <w:rFonts w:ascii="Calibri" w:eastAsia="MS Mincho" w:hAnsi="Calibri" w:cs="Calibri"/>
          <w:color w:val="auto"/>
          <w:sz w:val="22"/>
        </w:rPr>
      </w:pPr>
      <w:r>
        <w:rPr>
          <w:rFonts w:ascii="Calibri" w:eastAsia="MS Mincho" w:hAnsi="Calibri" w:cs="Calibri"/>
          <w:color w:val="auto"/>
          <w:sz w:val="22"/>
        </w:rPr>
        <w:t>has b</w:t>
      </w:r>
      <w:r w:rsidR="00CF0C43" w:rsidRPr="00945A41">
        <w:rPr>
          <w:rFonts w:ascii="Calibri" w:eastAsia="MS Mincho" w:hAnsi="Calibri" w:cs="Calibri"/>
          <w:color w:val="auto"/>
          <w:sz w:val="22"/>
        </w:rPr>
        <w:t>etter alignment with contemporary fixtures and digital interfaces</w:t>
      </w:r>
    </w:p>
    <w:p w14:paraId="6DF71B83" w14:textId="1170F014" w:rsidR="00CF0C43" w:rsidRPr="00945A41" w:rsidRDefault="00151B5F" w:rsidP="000F03A2">
      <w:pPr>
        <w:pStyle w:val="ListParagraph"/>
        <w:numPr>
          <w:ilvl w:val="0"/>
          <w:numId w:val="49"/>
        </w:numPr>
        <w:spacing w:after="200" w:line="276" w:lineRule="auto"/>
        <w:rPr>
          <w:rFonts w:ascii="Calibri" w:eastAsia="MS Mincho" w:hAnsi="Calibri" w:cs="Calibri"/>
          <w:color w:val="auto"/>
          <w:sz w:val="22"/>
        </w:rPr>
      </w:pPr>
      <w:r>
        <w:rPr>
          <w:rFonts w:ascii="Calibri" w:eastAsia="MS Mincho" w:hAnsi="Calibri" w:cs="Calibri"/>
          <w:color w:val="auto"/>
          <w:sz w:val="22"/>
        </w:rPr>
        <w:t>has m</w:t>
      </w:r>
      <w:r w:rsidR="00CF0C43" w:rsidRPr="00945A41">
        <w:rPr>
          <w:rFonts w:ascii="Calibri" w:eastAsia="MS Mincho" w:hAnsi="Calibri" w:cs="Calibri"/>
          <w:color w:val="auto"/>
          <w:sz w:val="22"/>
        </w:rPr>
        <w:t>ore detailed treatment of usability across a wider user spectrum</w:t>
      </w:r>
      <w:r>
        <w:rPr>
          <w:rFonts w:ascii="Calibri" w:eastAsia="MS Mincho" w:hAnsi="Calibri" w:cs="Calibri"/>
          <w:color w:val="auto"/>
          <w:sz w:val="22"/>
        </w:rPr>
        <w:t>.</w:t>
      </w:r>
    </w:p>
    <w:p w14:paraId="3BE762A2" w14:textId="77777777" w:rsidR="00CF0C43" w:rsidRPr="00227E3C" w:rsidRDefault="00CF0C43" w:rsidP="00CF0C43">
      <w:pPr>
        <w:spacing w:after="200" w:line="276" w:lineRule="auto"/>
        <w:rPr>
          <w:rFonts w:ascii="Calibri" w:eastAsia="MS Mincho" w:hAnsi="Calibri" w:cs="Calibri"/>
          <w:color w:val="auto"/>
          <w:sz w:val="22"/>
        </w:rPr>
      </w:pPr>
      <w:r w:rsidRPr="00227E3C">
        <w:rPr>
          <w:rFonts w:ascii="Calibri" w:eastAsia="MS Mincho" w:hAnsi="Calibri" w:cs="Calibri"/>
          <w:color w:val="auto"/>
          <w:sz w:val="22"/>
        </w:rPr>
        <w:t>Key difference</w:t>
      </w:r>
      <w:r w:rsidRPr="00227E3C">
        <w:rPr>
          <w:rFonts w:ascii="Calibri" w:eastAsia="MS Mincho" w:hAnsi="Calibri" w:cs="Calibri"/>
          <w:color w:val="auto"/>
          <w:sz w:val="22"/>
        </w:rPr>
        <w:br/>
        <w:t>AS 1428.1 addresses interaction design more comprehensively, while NZS 4121 focuses on baseline physical operability.</w:t>
      </w:r>
    </w:p>
    <w:p w14:paraId="36BFA603" w14:textId="77777777" w:rsidR="00CF0C43" w:rsidRPr="00227E3C" w:rsidRDefault="00CF0C43" w:rsidP="00CF0C43">
      <w:pPr>
        <w:spacing w:after="200" w:line="276" w:lineRule="auto"/>
        <w:rPr>
          <w:rFonts w:ascii="Calibri" w:eastAsia="MS Mincho" w:hAnsi="Calibri" w:cs="Calibri"/>
          <w:b/>
          <w:bCs/>
          <w:color w:val="auto"/>
          <w:sz w:val="22"/>
        </w:rPr>
      </w:pPr>
      <w:r w:rsidRPr="00227E3C">
        <w:rPr>
          <w:rFonts w:ascii="Calibri" w:eastAsia="MS Mincho" w:hAnsi="Calibri" w:cs="Calibri"/>
          <w:b/>
          <w:bCs/>
          <w:color w:val="auto"/>
          <w:sz w:val="22"/>
        </w:rPr>
        <w:t>6. Visual contrast, lighting and signage</w:t>
      </w:r>
    </w:p>
    <w:p w14:paraId="71508DAA" w14:textId="37836C8E"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NZS 4121:2001</w:t>
      </w:r>
      <w:r w:rsidR="00151B5F">
        <w:rPr>
          <w:rFonts w:ascii="Calibri" w:eastAsia="MS Mincho" w:hAnsi="Calibri" w:cs="Calibri"/>
          <w:color w:val="auto"/>
          <w:sz w:val="22"/>
        </w:rPr>
        <w:t>:</w:t>
      </w:r>
    </w:p>
    <w:p w14:paraId="3A57A506" w14:textId="0A062180" w:rsidR="00CF0C43" w:rsidRDefault="00151B5F" w:rsidP="000F03A2">
      <w:pPr>
        <w:pStyle w:val="ListParagraph"/>
        <w:numPr>
          <w:ilvl w:val="0"/>
          <w:numId w:val="51"/>
        </w:numPr>
        <w:spacing w:after="200" w:line="276" w:lineRule="auto"/>
        <w:rPr>
          <w:rFonts w:ascii="Calibri" w:eastAsia="MS Mincho" w:hAnsi="Calibri" w:cs="Calibri"/>
          <w:color w:val="auto"/>
          <w:sz w:val="22"/>
        </w:rPr>
      </w:pPr>
      <w:r w:rsidRPr="00BC12C9">
        <w:rPr>
          <w:rFonts w:ascii="Calibri" w:eastAsia="MS Mincho" w:hAnsi="Calibri" w:cs="Calibri"/>
          <w:color w:val="auto"/>
          <w:sz w:val="22"/>
        </w:rPr>
        <w:t>requires visual contrast at key elements such as doors, stairs and fittings</w:t>
      </w:r>
    </w:p>
    <w:p w14:paraId="4F62B12B" w14:textId="338283B4" w:rsidR="00CF0C43" w:rsidRDefault="00151B5F" w:rsidP="000F03A2">
      <w:pPr>
        <w:pStyle w:val="ListParagraph"/>
        <w:numPr>
          <w:ilvl w:val="0"/>
          <w:numId w:val="51"/>
        </w:numPr>
        <w:spacing w:after="200" w:line="276" w:lineRule="auto"/>
        <w:rPr>
          <w:rFonts w:ascii="Calibri" w:eastAsia="MS Mincho" w:hAnsi="Calibri" w:cs="Calibri"/>
          <w:color w:val="auto"/>
          <w:sz w:val="22"/>
        </w:rPr>
      </w:pPr>
      <w:r w:rsidRPr="00BC12C9">
        <w:rPr>
          <w:rFonts w:ascii="Calibri" w:eastAsia="MS Mincho" w:hAnsi="Calibri" w:cs="Calibri"/>
          <w:color w:val="auto"/>
          <w:sz w:val="22"/>
        </w:rPr>
        <w:t>references luminance contrast, but with limited quantitative guidance</w:t>
      </w:r>
    </w:p>
    <w:p w14:paraId="18339E3B" w14:textId="34B6F39A" w:rsidR="00CF0C43" w:rsidRDefault="00151B5F" w:rsidP="000F03A2">
      <w:pPr>
        <w:pStyle w:val="ListParagraph"/>
        <w:numPr>
          <w:ilvl w:val="0"/>
          <w:numId w:val="51"/>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has </w:t>
      </w:r>
      <w:r w:rsidRPr="00BC12C9">
        <w:rPr>
          <w:rFonts w:ascii="Calibri" w:eastAsia="MS Mincho" w:hAnsi="Calibri" w:cs="Calibri"/>
          <w:color w:val="auto"/>
          <w:sz w:val="22"/>
        </w:rPr>
        <w:t>functional but relatively basic</w:t>
      </w:r>
      <w:r>
        <w:rPr>
          <w:rFonts w:ascii="Calibri" w:eastAsia="MS Mincho" w:hAnsi="Calibri" w:cs="Calibri"/>
          <w:color w:val="auto"/>
          <w:sz w:val="22"/>
        </w:rPr>
        <w:t xml:space="preserve"> </w:t>
      </w:r>
      <w:r w:rsidRPr="00BC12C9">
        <w:rPr>
          <w:rFonts w:ascii="Calibri" w:eastAsia="MS Mincho" w:hAnsi="Calibri" w:cs="Calibri"/>
          <w:color w:val="auto"/>
          <w:sz w:val="22"/>
        </w:rPr>
        <w:t>signage requirements</w:t>
      </w:r>
    </w:p>
    <w:p w14:paraId="0F4A0E96" w14:textId="39C4761D" w:rsidR="00CF0C43" w:rsidRPr="00BC12C9" w:rsidRDefault="00151B5F" w:rsidP="000F03A2">
      <w:pPr>
        <w:pStyle w:val="ListParagraph"/>
        <w:numPr>
          <w:ilvl w:val="0"/>
          <w:numId w:val="51"/>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has </w:t>
      </w:r>
      <w:r w:rsidRPr="00BC12C9">
        <w:rPr>
          <w:rFonts w:ascii="Calibri" w:eastAsia="MS Mincho" w:hAnsi="Calibri" w:cs="Calibri"/>
          <w:color w:val="auto"/>
          <w:sz w:val="22"/>
        </w:rPr>
        <w:t xml:space="preserve">lighting </w:t>
      </w:r>
      <w:r w:rsidR="00CF0C43" w:rsidRPr="00BC12C9">
        <w:rPr>
          <w:rFonts w:ascii="Calibri" w:eastAsia="MS Mincho" w:hAnsi="Calibri" w:cs="Calibri"/>
          <w:color w:val="auto"/>
          <w:sz w:val="22"/>
        </w:rPr>
        <w:t xml:space="preserve">guidance </w:t>
      </w:r>
      <w:r>
        <w:rPr>
          <w:rFonts w:ascii="Calibri" w:eastAsia="MS Mincho" w:hAnsi="Calibri" w:cs="Calibri"/>
          <w:color w:val="auto"/>
          <w:sz w:val="22"/>
        </w:rPr>
        <w:t xml:space="preserve">that </w:t>
      </w:r>
      <w:r w:rsidR="00CF0C43" w:rsidRPr="00BC12C9">
        <w:rPr>
          <w:rFonts w:ascii="Calibri" w:eastAsia="MS Mincho" w:hAnsi="Calibri" w:cs="Calibri"/>
          <w:color w:val="auto"/>
          <w:sz w:val="22"/>
        </w:rPr>
        <w:t>relies heavily on other referenced standards</w:t>
      </w:r>
      <w:r>
        <w:rPr>
          <w:rFonts w:ascii="Calibri" w:eastAsia="MS Mincho" w:hAnsi="Calibri" w:cs="Calibri"/>
          <w:color w:val="auto"/>
          <w:sz w:val="22"/>
        </w:rPr>
        <w:t>.</w:t>
      </w:r>
    </w:p>
    <w:p w14:paraId="271E391B" w14:textId="03CF06D9"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AS 1428.1:2021</w:t>
      </w:r>
      <w:r w:rsidR="00151B5F">
        <w:rPr>
          <w:rFonts w:ascii="Calibri" w:eastAsia="MS Mincho" w:hAnsi="Calibri" w:cs="Calibri"/>
          <w:color w:val="auto"/>
          <w:sz w:val="22"/>
        </w:rPr>
        <w:t>:</w:t>
      </w:r>
    </w:p>
    <w:p w14:paraId="4D818584" w14:textId="1F7A39D6" w:rsidR="00CF0C43" w:rsidRDefault="00151B5F" w:rsidP="000F03A2">
      <w:pPr>
        <w:pStyle w:val="ListParagraph"/>
        <w:numPr>
          <w:ilvl w:val="0"/>
          <w:numId w:val="52"/>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has </w:t>
      </w:r>
      <w:r w:rsidRPr="00BC12C9">
        <w:rPr>
          <w:rFonts w:ascii="Calibri" w:eastAsia="MS Mincho" w:hAnsi="Calibri" w:cs="Calibri"/>
          <w:color w:val="auto"/>
          <w:sz w:val="22"/>
        </w:rPr>
        <w:t>more detailed and explicit requirements for visual contrast</w:t>
      </w:r>
    </w:p>
    <w:p w14:paraId="7CEC0871" w14:textId="0C5B3F9B" w:rsidR="00CF0C43" w:rsidRDefault="00151B5F" w:rsidP="000F03A2">
      <w:pPr>
        <w:pStyle w:val="ListParagraph"/>
        <w:numPr>
          <w:ilvl w:val="0"/>
          <w:numId w:val="52"/>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has </w:t>
      </w:r>
      <w:r w:rsidRPr="00BC12C9">
        <w:rPr>
          <w:rFonts w:ascii="Calibri" w:eastAsia="MS Mincho" w:hAnsi="Calibri" w:cs="Calibri"/>
          <w:color w:val="auto"/>
          <w:sz w:val="22"/>
        </w:rPr>
        <w:t>better integration of contrast, lighting and wayfinding</w:t>
      </w:r>
    </w:p>
    <w:p w14:paraId="060CE20C" w14:textId="12164BF9" w:rsidR="00CF0C43" w:rsidRDefault="00151B5F" w:rsidP="000F03A2">
      <w:pPr>
        <w:pStyle w:val="ListParagraph"/>
        <w:numPr>
          <w:ilvl w:val="0"/>
          <w:numId w:val="52"/>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has a </w:t>
      </w:r>
      <w:r w:rsidRPr="00BC12C9">
        <w:rPr>
          <w:rFonts w:ascii="Calibri" w:eastAsia="MS Mincho" w:hAnsi="Calibri" w:cs="Calibri"/>
          <w:color w:val="auto"/>
          <w:sz w:val="22"/>
        </w:rPr>
        <w:t>stronger emphasis on consistency and predictability of visual cues</w:t>
      </w:r>
    </w:p>
    <w:p w14:paraId="374897BD" w14:textId="7C1F1968" w:rsidR="00CF0C43" w:rsidRPr="00BC12C9" w:rsidRDefault="00151B5F" w:rsidP="000F03A2">
      <w:pPr>
        <w:pStyle w:val="ListParagraph"/>
        <w:numPr>
          <w:ilvl w:val="0"/>
          <w:numId w:val="52"/>
        </w:numPr>
        <w:spacing w:after="200" w:line="276" w:lineRule="auto"/>
        <w:rPr>
          <w:rFonts w:ascii="Calibri" w:eastAsia="MS Mincho" w:hAnsi="Calibri" w:cs="Calibri"/>
          <w:color w:val="auto"/>
          <w:sz w:val="22"/>
        </w:rPr>
      </w:pPr>
      <w:r w:rsidRPr="00BC12C9">
        <w:rPr>
          <w:rFonts w:ascii="Calibri" w:eastAsia="MS Mincho" w:hAnsi="Calibri" w:cs="Calibri"/>
          <w:color w:val="auto"/>
          <w:sz w:val="22"/>
        </w:rPr>
        <w:t xml:space="preserve">aligns </w:t>
      </w:r>
      <w:r w:rsidR="00CF0C43" w:rsidRPr="00BC12C9">
        <w:rPr>
          <w:rFonts w:ascii="Calibri" w:eastAsia="MS Mincho" w:hAnsi="Calibri" w:cs="Calibri"/>
          <w:color w:val="auto"/>
          <w:sz w:val="22"/>
        </w:rPr>
        <w:t>more closely with contemporary vision</w:t>
      </w:r>
      <w:r w:rsidR="00CF0C43" w:rsidRPr="00BC12C9">
        <w:rPr>
          <w:rFonts w:ascii="Calibri" w:eastAsia="MS Mincho" w:hAnsi="Calibri" w:cs="Calibri"/>
          <w:color w:val="auto"/>
          <w:sz w:val="22"/>
        </w:rPr>
        <w:noBreakHyphen/>
        <w:t>impairment research</w:t>
      </w:r>
      <w:r>
        <w:rPr>
          <w:rFonts w:ascii="Calibri" w:eastAsia="MS Mincho" w:hAnsi="Calibri" w:cs="Calibri"/>
          <w:color w:val="auto"/>
          <w:sz w:val="22"/>
        </w:rPr>
        <w:t>.</w:t>
      </w:r>
    </w:p>
    <w:p w14:paraId="76F1FC08" w14:textId="77777777" w:rsidR="00CF0C43" w:rsidRPr="00227E3C" w:rsidRDefault="00CF0C43" w:rsidP="00CF0C43">
      <w:pPr>
        <w:spacing w:after="200" w:line="276" w:lineRule="auto"/>
        <w:rPr>
          <w:rFonts w:ascii="Calibri" w:eastAsia="MS Mincho" w:hAnsi="Calibri" w:cs="Calibri"/>
          <w:color w:val="auto"/>
          <w:sz w:val="22"/>
        </w:rPr>
      </w:pPr>
      <w:r w:rsidRPr="00227E3C">
        <w:rPr>
          <w:rFonts w:ascii="Calibri" w:eastAsia="MS Mincho" w:hAnsi="Calibri" w:cs="Calibri"/>
          <w:color w:val="auto"/>
          <w:sz w:val="22"/>
        </w:rPr>
        <w:t>Key difference</w:t>
      </w:r>
      <w:r w:rsidRPr="00227E3C">
        <w:rPr>
          <w:rFonts w:ascii="Calibri" w:eastAsia="MS Mincho" w:hAnsi="Calibri" w:cs="Calibri"/>
          <w:color w:val="auto"/>
          <w:sz w:val="22"/>
        </w:rPr>
        <w:br/>
        <w:t>AS 1428.1 provides a more systematic and contemporary approach to visual accessibility, whereas NZS 4121 treats it as a supporting requirement.</w:t>
      </w:r>
    </w:p>
    <w:p w14:paraId="3C5EBEF6" w14:textId="77777777" w:rsidR="00CF0C43" w:rsidRPr="00227E3C" w:rsidRDefault="00CF0C43" w:rsidP="00CF0C43">
      <w:pPr>
        <w:spacing w:after="200" w:line="276" w:lineRule="auto"/>
        <w:rPr>
          <w:rFonts w:ascii="Calibri" w:eastAsia="MS Mincho" w:hAnsi="Calibri" w:cs="Calibri"/>
          <w:b/>
          <w:bCs/>
          <w:color w:val="auto"/>
          <w:sz w:val="22"/>
        </w:rPr>
      </w:pPr>
      <w:r w:rsidRPr="00227E3C">
        <w:rPr>
          <w:rFonts w:ascii="Calibri" w:eastAsia="MS Mincho" w:hAnsi="Calibri" w:cs="Calibri"/>
          <w:b/>
          <w:bCs/>
          <w:color w:val="auto"/>
          <w:sz w:val="22"/>
        </w:rPr>
        <w:t>7. Tactile ground surface indicators</w:t>
      </w:r>
    </w:p>
    <w:p w14:paraId="19D0A72E" w14:textId="5E4D2978"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NZS 4121:2001</w:t>
      </w:r>
      <w:r w:rsidR="00151B5F">
        <w:rPr>
          <w:rFonts w:ascii="Calibri" w:eastAsia="MS Mincho" w:hAnsi="Calibri" w:cs="Calibri"/>
          <w:color w:val="auto"/>
          <w:sz w:val="22"/>
        </w:rPr>
        <w:t>:</w:t>
      </w:r>
    </w:p>
    <w:p w14:paraId="74AA51F2" w14:textId="40018B78" w:rsidR="00CF0C43" w:rsidRDefault="00151B5F" w:rsidP="000F03A2">
      <w:pPr>
        <w:pStyle w:val="ListParagraph"/>
        <w:numPr>
          <w:ilvl w:val="0"/>
          <w:numId w:val="53"/>
        </w:numPr>
        <w:spacing w:after="200" w:line="276" w:lineRule="auto"/>
        <w:rPr>
          <w:rFonts w:ascii="Calibri" w:eastAsia="MS Mincho" w:hAnsi="Calibri" w:cs="Calibri"/>
          <w:color w:val="auto"/>
          <w:sz w:val="22"/>
        </w:rPr>
      </w:pPr>
      <w:r w:rsidRPr="00BC12C9">
        <w:rPr>
          <w:rFonts w:ascii="Calibri" w:eastAsia="MS Mincho" w:hAnsi="Calibri" w:cs="Calibri"/>
          <w:color w:val="auto"/>
          <w:sz w:val="22"/>
        </w:rPr>
        <w:t>recognises tactile cues and tactile ground surface indicators</w:t>
      </w:r>
    </w:p>
    <w:p w14:paraId="4516A0A2" w14:textId="1FAA9BB1" w:rsidR="00CF0C43" w:rsidRDefault="00151B5F" w:rsidP="000F03A2">
      <w:pPr>
        <w:pStyle w:val="ListParagraph"/>
        <w:numPr>
          <w:ilvl w:val="0"/>
          <w:numId w:val="53"/>
        </w:numPr>
        <w:spacing w:after="200" w:line="276" w:lineRule="auto"/>
        <w:rPr>
          <w:rFonts w:ascii="Calibri" w:eastAsia="MS Mincho" w:hAnsi="Calibri" w:cs="Calibri"/>
          <w:color w:val="auto"/>
          <w:sz w:val="22"/>
        </w:rPr>
      </w:pPr>
      <w:r w:rsidRPr="00BC12C9">
        <w:rPr>
          <w:rFonts w:ascii="Calibri" w:eastAsia="MS Mincho" w:hAnsi="Calibri" w:cs="Calibri"/>
          <w:color w:val="auto"/>
          <w:sz w:val="22"/>
        </w:rPr>
        <w:t xml:space="preserve">defers </w:t>
      </w:r>
      <w:r w:rsidR="00CF0C43" w:rsidRPr="00BC12C9">
        <w:rPr>
          <w:rFonts w:ascii="Calibri" w:eastAsia="MS Mincho" w:hAnsi="Calibri" w:cs="Calibri"/>
          <w:color w:val="auto"/>
          <w:sz w:val="22"/>
        </w:rPr>
        <w:t>much technical detail to Australian standards (older AS 1428.4)</w:t>
      </w:r>
    </w:p>
    <w:p w14:paraId="101D3A1A" w14:textId="0C77EB75" w:rsidR="00CF0C43" w:rsidRDefault="00151B5F" w:rsidP="000F03A2">
      <w:pPr>
        <w:pStyle w:val="ListParagraph"/>
        <w:numPr>
          <w:ilvl w:val="0"/>
          <w:numId w:val="53"/>
        </w:numPr>
        <w:spacing w:after="200" w:line="276" w:lineRule="auto"/>
        <w:rPr>
          <w:rFonts w:ascii="Calibri" w:eastAsia="MS Mincho" w:hAnsi="Calibri" w:cs="Calibri"/>
          <w:color w:val="auto"/>
          <w:sz w:val="22"/>
        </w:rPr>
      </w:pPr>
      <w:r>
        <w:rPr>
          <w:rFonts w:ascii="Calibri" w:eastAsia="MS Mincho" w:hAnsi="Calibri" w:cs="Calibri"/>
          <w:color w:val="auto"/>
          <w:sz w:val="22"/>
        </w:rPr>
        <w:t>has li</w:t>
      </w:r>
      <w:r w:rsidR="00CF0C43" w:rsidRPr="00BC12C9">
        <w:rPr>
          <w:rFonts w:ascii="Calibri" w:eastAsia="MS Mincho" w:hAnsi="Calibri" w:cs="Calibri"/>
          <w:color w:val="auto"/>
          <w:sz w:val="22"/>
        </w:rPr>
        <w:t>mited dimensional and pattern specification within the standard itself</w:t>
      </w:r>
    </w:p>
    <w:p w14:paraId="4C4AA35A" w14:textId="18FB27D7" w:rsidR="00CF0C43" w:rsidRPr="00BC12C9" w:rsidRDefault="00151B5F" w:rsidP="000F03A2">
      <w:pPr>
        <w:pStyle w:val="ListParagraph"/>
        <w:numPr>
          <w:ilvl w:val="0"/>
          <w:numId w:val="53"/>
        </w:numPr>
        <w:spacing w:after="200" w:line="276" w:lineRule="auto"/>
        <w:rPr>
          <w:rFonts w:ascii="Calibri" w:eastAsia="MS Mincho" w:hAnsi="Calibri" w:cs="Calibri"/>
          <w:color w:val="auto"/>
          <w:sz w:val="22"/>
        </w:rPr>
      </w:pPr>
      <w:r>
        <w:rPr>
          <w:rFonts w:ascii="Calibri" w:eastAsia="MS Mincho" w:hAnsi="Calibri" w:cs="Calibri"/>
          <w:color w:val="auto"/>
          <w:sz w:val="22"/>
        </w:rPr>
        <w:t>t</w:t>
      </w:r>
      <w:r w:rsidR="00CF0C43" w:rsidRPr="00BC12C9">
        <w:rPr>
          <w:rFonts w:ascii="Calibri" w:eastAsia="MS Mincho" w:hAnsi="Calibri" w:cs="Calibri"/>
          <w:color w:val="auto"/>
          <w:sz w:val="22"/>
        </w:rPr>
        <w:t>reat</w:t>
      </w:r>
      <w:r>
        <w:rPr>
          <w:rFonts w:ascii="Calibri" w:eastAsia="MS Mincho" w:hAnsi="Calibri" w:cs="Calibri"/>
          <w:color w:val="auto"/>
          <w:sz w:val="22"/>
        </w:rPr>
        <w:t>s</w:t>
      </w:r>
      <w:r w:rsidR="00CF0C43" w:rsidRPr="00BC12C9">
        <w:rPr>
          <w:rFonts w:ascii="Calibri" w:eastAsia="MS Mincho" w:hAnsi="Calibri" w:cs="Calibri"/>
          <w:color w:val="auto"/>
          <w:sz w:val="22"/>
        </w:rPr>
        <w:t xml:space="preserve"> </w:t>
      </w:r>
      <w:r>
        <w:rPr>
          <w:rFonts w:ascii="Calibri" w:eastAsia="MS Mincho" w:hAnsi="Calibri" w:cs="Calibri"/>
          <w:color w:val="auto"/>
          <w:sz w:val="22"/>
        </w:rPr>
        <w:t xml:space="preserve">TGSI </w:t>
      </w:r>
      <w:r w:rsidR="00CF0C43" w:rsidRPr="00BC12C9">
        <w:rPr>
          <w:rFonts w:ascii="Calibri" w:eastAsia="MS Mincho" w:hAnsi="Calibri" w:cs="Calibri"/>
          <w:color w:val="auto"/>
          <w:sz w:val="22"/>
        </w:rPr>
        <w:t>as supplementary rather than core infrastructure</w:t>
      </w:r>
      <w:r>
        <w:rPr>
          <w:rFonts w:ascii="Calibri" w:eastAsia="MS Mincho" w:hAnsi="Calibri" w:cs="Calibri"/>
          <w:color w:val="auto"/>
          <w:sz w:val="22"/>
        </w:rPr>
        <w:t>.</w:t>
      </w:r>
    </w:p>
    <w:p w14:paraId="66699E77" w14:textId="2DE9AEF6"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AS 1428.1:2021</w:t>
      </w:r>
      <w:r w:rsidR="00151B5F">
        <w:rPr>
          <w:rFonts w:ascii="Calibri" w:eastAsia="MS Mincho" w:hAnsi="Calibri" w:cs="Calibri"/>
          <w:color w:val="auto"/>
          <w:sz w:val="22"/>
        </w:rPr>
        <w:t>:</w:t>
      </w:r>
    </w:p>
    <w:p w14:paraId="7CF13536" w14:textId="763434D9" w:rsidR="00CF0C43" w:rsidRDefault="00151B5F" w:rsidP="000F03A2">
      <w:pPr>
        <w:pStyle w:val="ListParagraph"/>
        <w:numPr>
          <w:ilvl w:val="0"/>
          <w:numId w:val="54"/>
        </w:numPr>
        <w:spacing w:after="200" w:line="276" w:lineRule="auto"/>
        <w:rPr>
          <w:rFonts w:ascii="Calibri" w:eastAsia="MS Mincho" w:hAnsi="Calibri" w:cs="Calibri"/>
          <w:color w:val="auto"/>
          <w:sz w:val="22"/>
        </w:rPr>
      </w:pPr>
      <w:r>
        <w:rPr>
          <w:rFonts w:ascii="Calibri" w:eastAsia="MS Mincho" w:hAnsi="Calibri" w:cs="Calibri"/>
          <w:color w:val="auto"/>
          <w:sz w:val="22"/>
        </w:rPr>
        <w:t>is d</w:t>
      </w:r>
      <w:r w:rsidR="00CF0C43" w:rsidRPr="00BC12C9">
        <w:rPr>
          <w:rFonts w:ascii="Calibri" w:eastAsia="MS Mincho" w:hAnsi="Calibri" w:cs="Calibri"/>
          <w:color w:val="auto"/>
          <w:sz w:val="22"/>
        </w:rPr>
        <w:t>esigned to operate alongside current AS 1428.4 tactile standards</w:t>
      </w:r>
    </w:p>
    <w:p w14:paraId="4C934DBB" w14:textId="7FC66862" w:rsidR="00CF0C43" w:rsidRDefault="00151B5F" w:rsidP="000F03A2">
      <w:pPr>
        <w:pStyle w:val="ListParagraph"/>
        <w:numPr>
          <w:ilvl w:val="0"/>
          <w:numId w:val="54"/>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has </w:t>
      </w:r>
      <w:r w:rsidRPr="00BC12C9">
        <w:rPr>
          <w:rFonts w:ascii="Calibri" w:eastAsia="MS Mincho" w:hAnsi="Calibri" w:cs="Calibri"/>
          <w:color w:val="auto"/>
          <w:sz w:val="22"/>
        </w:rPr>
        <w:t>clear integration of tactile indicators into circulation and wayfinding systems</w:t>
      </w:r>
    </w:p>
    <w:p w14:paraId="4A19D52D" w14:textId="0FDD3FC9" w:rsidR="00CF0C43" w:rsidRDefault="00151B5F" w:rsidP="000F03A2">
      <w:pPr>
        <w:pStyle w:val="ListParagraph"/>
        <w:numPr>
          <w:ilvl w:val="0"/>
          <w:numId w:val="54"/>
        </w:numPr>
        <w:spacing w:after="200" w:line="276" w:lineRule="auto"/>
        <w:rPr>
          <w:rFonts w:ascii="Calibri" w:eastAsia="MS Mincho" w:hAnsi="Calibri" w:cs="Calibri"/>
          <w:color w:val="auto"/>
          <w:sz w:val="22"/>
        </w:rPr>
      </w:pPr>
      <w:r w:rsidRPr="00BC12C9">
        <w:rPr>
          <w:rFonts w:ascii="Calibri" w:eastAsia="MS Mincho" w:hAnsi="Calibri" w:cs="Calibri"/>
          <w:color w:val="auto"/>
          <w:sz w:val="22"/>
        </w:rPr>
        <w:t>reflects updated research on detectability and usability</w:t>
      </w:r>
    </w:p>
    <w:p w14:paraId="5C13FBCF" w14:textId="4BDC6F8D" w:rsidR="00CF0C43" w:rsidRPr="00BC12C9" w:rsidRDefault="00151B5F" w:rsidP="000F03A2">
      <w:pPr>
        <w:pStyle w:val="ListParagraph"/>
        <w:numPr>
          <w:ilvl w:val="0"/>
          <w:numId w:val="54"/>
        </w:numPr>
        <w:spacing w:after="200" w:line="276" w:lineRule="auto"/>
        <w:rPr>
          <w:rFonts w:ascii="Calibri" w:eastAsia="MS Mincho" w:hAnsi="Calibri" w:cs="Calibri"/>
          <w:color w:val="auto"/>
          <w:sz w:val="22"/>
        </w:rPr>
      </w:pPr>
      <w:r w:rsidRPr="00BC12C9">
        <w:rPr>
          <w:rFonts w:ascii="Calibri" w:eastAsia="MS Mincho" w:hAnsi="Calibri" w:cs="Calibri"/>
          <w:color w:val="auto"/>
          <w:sz w:val="22"/>
        </w:rPr>
        <w:lastRenderedPageBreak/>
        <w:t>treat</w:t>
      </w:r>
      <w:r>
        <w:rPr>
          <w:rFonts w:ascii="Calibri" w:eastAsia="MS Mincho" w:hAnsi="Calibri" w:cs="Calibri"/>
          <w:color w:val="auto"/>
          <w:sz w:val="22"/>
        </w:rPr>
        <w:t xml:space="preserve">s TGSI </w:t>
      </w:r>
      <w:r w:rsidR="00CF0C43" w:rsidRPr="00BC12C9">
        <w:rPr>
          <w:rFonts w:ascii="Calibri" w:eastAsia="MS Mincho" w:hAnsi="Calibri" w:cs="Calibri"/>
          <w:color w:val="auto"/>
          <w:sz w:val="22"/>
        </w:rPr>
        <w:t>as a core component of accessible environments</w:t>
      </w:r>
      <w:r>
        <w:rPr>
          <w:rFonts w:ascii="Calibri" w:eastAsia="MS Mincho" w:hAnsi="Calibri" w:cs="Calibri"/>
          <w:color w:val="auto"/>
          <w:sz w:val="22"/>
        </w:rPr>
        <w:t>.</w:t>
      </w:r>
    </w:p>
    <w:p w14:paraId="05B01396" w14:textId="77777777" w:rsidR="00CF0C43" w:rsidRPr="00227E3C" w:rsidRDefault="00CF0C43" w:rsidP="00CF0C43">
      <w:pPr>
        <w:spacing w:after="200" w:line="276" w:lineRule="auto"/>
        <w:rPr>
          <w:rFonts w:ascii="Calibri" w:eastAsia="MS Mincho" w:hAnsi="Calibri" w:cs="Calibri"/>
          <w:color w:val="auto"/>
          <w:sz w:val="22"/>
        </w:rPr>
      </w:pPr>
      <w:r w:rsidRPr="00227E3C">
        <w:rPr>
          <w:rFonts w:ascii="Calibri" w:eastAsia="MS Mincho" w:hAnsi="Calibri" w:cs="Calibri"/>
          <w:color w:val="auto"/>
          <w:sz w:val="22"/>
        </w:rPr>
        <w:t>Key difference</w:t>
      </w:r>
      <w:r w:rsidRPr="00227E3C">
        <w:rPr>
          <w:rFonts w:ascii="Calibri" w:eastAsia="MS Mincho" w:hAnsi="Calibri" w:cs="Calibri"/>
          <w:color w:val="auto"/>
          <w:sz w:val="22"/>
        </w:rPr>
        <w:br/>
        <w:t>AS 1428.1 embeds tactile systems more fully and coherently, while NZS 4121 treats them as an adjunct.</w:t>
      </w:r>
    </w:p>
    <w:p w14:paraId="4EEC1DBC" w14:textId="77777777" w:rsidR="00CF0C43" w:rsidRPr="00227E3C" w:rsidRDefault="00CF0C43" w:rsidP="00CF0C43">
      <w:pPr>
        <w:spacing w:after="200" w:line="276" w:lineRule="auto"/>
        <w:rPr>
          <w:rFonts w:ascii="Calibri" w:eastAsia="MS Mincho" w:hAnsi="Calibri" w:cs="Calibri"/>
          <w:b/>
          <w:bCs/>
          <w:color w:val="auto"/>
          <w:sz w:val="22"/>
        </w:rPr>
      </w:pPr>
      <w:r w:rsidRPr="00227E3C">
        <w:rPr>
          <w:rFonts w:ascii="Calibri" w:eastAsia="MS Mincho" w:hAnsi="Calibri" w:cs="Calibri"/>
          <w:b/>
          <w:bCs/>
          <w:color w:val="auto"/>
          <w:sz w:val="22"/>
        </w:rPr>
        <w:t>8. Cognitive, sensory and environmental accessibility</w:t>
      </w:r>
    </w:p>
    <w:p w14:paraId="533D90A2" w14:textId="04E6C90F"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NZS 4121:2001</w:t>
      </w:r>
      <w:r w:rsidR="00151B5F">
        <w:rPr>
          <w:rFonts w:ascii="Calibri" w:eastAsia="MS Mincho" w:hAnsi="Calibri" w:cs="Calibri"/>
          <w:color w:val="auto"/>
          <w:sz w:val="22"/>
        </w:rPr>
        <w:t>:</w:t>
      </w:r>
    </w:p>
    <w:p w14:paraId="7BE280CC" w14:textId="62B064D7" w:rsidR="00CF0C43" w:rsidRDefault="00151B5F" w:rsidP="000F03A2">
      <w:pPr>
        <w:pStyle w:val="ListParagraph"/>
        <w:numPr>
          <w:ilvl w:val="0"/>
          <w:numId w:val="55"/>
        </w:numPr>
        <w:spacing w:after="200" w:line="276" w:lineRule="auto"/>
        <w:rPr>
          <w:rFonts w:ascii="Calibri" w:eastAsia="MS Mincho" w:hAnsi="Calibri" w:cs="Calibri"/>
          <w:color w:val="auto"/>
          <w:sz w:val="22"/>
        </w:rPr>
      </w:pPr>
      <w:r>
        <w:rPr>
          <w:rFonts w:ascii="Calibri" w:eastAsia="MS Mincho" w:hAnsi="Calibri" w:cs="Calibri"/>
          <w:color w:val="auto"/>
          <w:sz w:val="22"/>
        </w:rPr>
        <w:t>has l</w:t>
      </w:r>
      <w:r w:rsidRPr="001F2D64">
        <w:rPr>
          <w:rFonts w:ascii="Calibri" w:eastAsia="MS Mincho" w:hAnsi="Calibri" w:cs="Calibri"/>
          <w:color w:val="auto"/>
          <w:sz w:val="22"/>
        </w:rPr>
        <w:t xml:space="preserve">imited </w:t>
      </w:r>
      <w:r w:rsidR="00CF0C43" w:rsidRPr="001F2D64">
        <w:rPr>
          <w:rFonts w:ascii="Calibri" w:eastAsia="MS Mincho" w:hAnsi="Calibri" w:cs="Calibri"/>
          <w:color w:val="auto"/>
          <w:sz w:val="22"/>
        </w:rPr>
        <w:t>explicit recognition of cognitive disability</w:t>
      </w:r>
    </w:p>
    <w:p w14:paraId="3B740C2B" w14:textId="2419662C" w:rsidR="00CF0C43" w:rsidRDefault="00151B5F" w:rsidP="000F03A2">
      <w:pPr>
        <w:pStyle w:val="ListParagraph"/>
        <w:numPr>
          <w:ilvl w:val="0"/>
          <w:numId w:val="55"/>
        </w:numPr>
        <w:spacing w:after="200" w:line="276" w:lineRule="auto"/>
        <w:rPr>
          <w:rFonts w:ascii="Calibri" w:eastAsia="MS Mincho" w:hAnsi="Calibri" w:cs="Calibri"/>
          <w:color w:val="auto"/>
          <w:sz w:val="22"/>
        </w:rPr>
      </w:pPr>
      <w:r>
        <w:rPr>
          <w:rFonts w:ascii="Calibri" w:eastAsia="MS Mincho" w:hAnsi="Calibri" w:cs="Calibri"/>
          <w:color w:val="auto"/>
          <w:sz w:val="22"/>
        </w:rPr>
        <w:t>a</w:t>
      </w:r>
      <w:r w:rsidRPr="001F2D64">
        <w:rPr>
          <w:rFonts w:ascii="Calibri" w:eastAsia="MS Mincho" w:hAnsi="Calibri" w:cs="Calibri"/>
          <w:color w:val="auto"/>
          <w:sz w:val="22"/>
        </w:rPr>
        <w:t>ddresse</w:t>
      </w:r>
      <w:r>
        <w:rPr>
          <w:rFonts w:ascii="Calibri" w:eastAsia="MS Mincho" w:hAnsi="Calibri" w:cs="Calibri"/>
          <w:color w:val="auto"/>
          <w:sz w:val="22"/>
        </w:rPr>
        <w:t xml:space="preserve">s </w:t>
      </w:r>
      <w:r w:rsidRPr="001F2D64">
        <w:rPr>
          <w:rFonts w:ascii="Calibri" w:eastAsia="MS Mincho" w:hAnsi="Calibri" w:cs="Calibri"/>
          <w:color w:val="auto"/>
          <w:sz w:val="22"/>
        </w:rPr>
        <w:t>sensory accessibility mainly through vision and hearing</w:t>
      </w:r>
    </w:p>
    <w:p w14:paraId="6E03A369" w14:textId="026A7F8F" w:rsidR="00CF0C43" w:rsidRDefault="00151B5F" w:rsidP="000F03A2">
      <w:pPr>
        <w:pStyle w:val="ListParagraph"/>
        <w:numPr>
          <w:ilvl w:val="0"/>
          <w:numId w:val="55"/>
        </w:numPr>
        <w:spacing w:after="200" w:line="276" w:lineRule="auto"/>
        <w:rPr>
          <w:rFonts w:ascii="Calibri" w:eastAsia="MS Mincho" w:hAnsi="Calibri" w:cs="Calibri"/>
          <w:color w:val="auto"/>
          <w:sz w:val="22"/>
        </w:rPr>
      </w:pPr>
      <w:r w:rsidRPr="001F2D64">
        <w:rPr>
          <w:rFonts w:ascii="Calibri" w:eastAsia="MS Mincho" w:hAnsi="Calibri" w:cs="Calibri"/>
          <w:color w:val="auto"/>
          <w:sz w:val="22"/>
        </w:rPr>
        <w:t>only lightly addresse</w:t>
      </w:r>
      <w:r>
        <w:rPr>
          <w:rFonts w:ascii="Calibri" w:eastAsia="MS Mincho" w:hAnsi="Calibri" w:cs="Calibri"/>
          <w:color w:val="auto"/>
          <w:sz w:val="22"/>
        </w:rPr>
        <w:t>s</w:t>
      </w:r>
      <w:r w:rsidRPr="001F2D64">
        <w:rPr>
          <w:rFonts w:ascii="Calibri" w:eastAsia="MS Mincho" w:hAnsi="Calibri" w:cs="Calibri"/>
          <w:color w:val="auto"/>
          <w:sz w:val="22"/>
        </w:rPr>
        <w:t xml:space="preserve"> environmental factors such as noise and complexity </w:t>
      </w:r>
    </w:p>
    <w:p w14:paraId="1CA0F286" w14:textId="4AAC39EF" w:rsidR="00CF0C43" w:rsidRPr="001F2D64" w:rsidRDefault="00151B5F" w:rsidP="000F03A2">
      <w:pPr>
        <w:pStyle w:val="ListParagraph"/>
        <w:numPr>
          <w:ilvl w:val="0"/>
          <w:numId w:val="55"/>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keeps </w:t>
      </w:r>
      <w:r w:rsidRPr="001F2D64">
        <w:rPr>
          <w:rFonts w:ascii="Calibri" w:eastAsia="MS Mincho" w:hAnsi="Calibri" w:cs="Calibri"/>
          <w:color w:val="auto"/>
          <w:sz w:val="22"/>
        </w:rPr>
        <w:t xml:space="preserve">focus </w:t>
      </w:r>
      <w:r w:rsidR="00CF0C43" w:rsidRPr="001F2D64">
        <w:rPr>
          <w:rFonts w:ascii="Calibri" w:eastAsia="MS Mincho" w:hAnsi="Calibri" w:cs="Calibri"/>
          <w:color w:val="auto"/>
          <w:sz w:val="22"/>
        </w:rPr>
        <w:t>primarily on physical access</w:t>
      </w:r>
      <w:r>
        <w:rPr>
          <w:rFonts w:ascii="Calibri" w:eastAsia="MS Mincho" w:hAnsi="Calibri" w:cs="Calibri"/>
          <w:color w:val="auto"/>
          <w:sz w:val="22"/>
        </w:rPr>
        <w:t>.</w:t>
      </w:r>
    </w:p>
    <w:p w14:paraId="6584D06D" w14:textId="602FE96A"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AS 1428.1:2021</w:t>
      </w:r>
      <w:r w:rsidR="00151B5F">
        <w:rPr>
          <w:rFonts w:ascii="Calibri" w:eastAsia="MS Mincho" w:hAnsi="Calibri" w:cs="Calibri"/>
          <w:color w:val="auto"/>
          <w:sz w:val="22"/>
        </w:rPr>
        <w:t>:</w:t>
      </w:r>
    </w:p>
    <w:p w14:paraId="333CC5F5" w14:textId="38FC0BB8" w:rsidR="00CF0C43" w:rsidRDefault="00151B5F" w:rsidP="000F03A2">
      <w:pPr>
        <w:pStyle w:val="ListParagraph"/>
        <w:numPr>
          <w:ilvl w:val="0"/>
          <w:numId w:val="56"/>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has a </w:t>
      </w:r>
      <w:r w:rsidRPr="001F2D64">
        <w:rPr>
          <w:rFonts w:ascii="Calibri" w:eastAsia="MS Mincho" w:hAnsi="Calibri" w:cs="Calibri"/>
          <w:color w:val="auto"/>
          <w:sz w:val="22"/>
        </w:rPr>
        <w:t>broader recognition of cognitive and sensory diversity</w:t>
      </w:r>
    </w:p>
    <w:p w14:paraId="3D83121C" w14:textId="61ADF8AA" w:rsidR="00CF0C43" w:rsidRDefault="00DF79CC" w:rsidP="000F03A2">
      <w:pPr>
        <w:pStyle w:val="ListParagraph"/>
        <w:numPr>
          <w:ilvl w:val="0"/>
          <w:numId w:val="56"/>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puts </w:t>
      </w:r>
      <w:r w:rsidR="00151B5F" w:rsidRPr="001F2D64">
        <w:rPr>
          <w:rFonts w:ascii="Calibri" w:eastAsia="MS Mincho" w:hAnsi="Calibri" w:cs="Calibri"/>
          <w:color w:val="auto"/>
          <w:sz w:val="22"/>
        </w:rPr>
        <w:t>greater emphasis on simplicity, legibility and predictability</w:t>
      </w:r>
    </w:p>
    <w:p w14:paraId="685A884C" w14:textId="4C376D61" w:rsidR="00CF0C43" w:rsidRDefault="00151B5F" w:rsidP="000F03A2">
      <w:pPr>
        <w:pStyle w:val="ListParagraph"/>
        <w:numPr>
          <w:ilvl w:val="0"/>
          <w:numId w:val="56"/>
        </w:numPr>
        <w:spacing w:after="200" w:line="276" w:lineRule="auto"/>
        <w:rPr>
          <w:rFonts w:ascii="Calibri" w:eastAsia="MS Mincho" w:hAnsi="Calibri" w:cs="Calibri"/>
          <w:color w:val="auto"/>
          <w:sz w:val="22"/>
        </w:rPr>
      </w:pPr>
      <w:r w:rsidRPr="001F2D64">
        <w:rPr>
          <w:rFonts w:ascii="Calibri" w:eastAsia="MS Mincho" w:hAnsi="Calibri" w:cs="Calibri"/>
          <w:color w:val="auto"/>
          <w:sz w:val="22"/>
        </w:rPr>
        <w:t>better align</w:t>
      </w:r>
      <w:r w:rsidR="00DF79CC">
        <w:rPr>
          <w:rFonts w:ascii="Calibri" w:eastAsia="MS Mincho" w:hAnsi="Calibri" w:cs="Calibri"/>
          <w:color w:val="auto"/>
          <w:sz w:val="22"/>
        </w:rPr>
        <w:t>s</w:t>
      </w:r>
      <w:r w:rsidRPr="001F2D64">
        <w:rPr>
          <w:rFonts w:ascii="Calibri" w:eastAsia="MS Mincho" w:hAnsi="Calibri" w:cs="Calibri"/>
          <w:color w:val="auto"/>
          <w:sz w:val="22"/>
        </w:rPr>
        <w:t xml:space="preserve"> with autism</w:t>
      </w:r>
      <w:r w:rsidRPr="001F2D64">
        <w:rPr>
          <w:rFonts w:ascii="Calibri" w:eastAsia="MS Mincho" w:hAnsi="Calibri" w:cs="Calibri"/>
          <w:color w:val="auto"/>
          <w:sz w:val="22"/>
        </w:rPr>
        <w:noBreakHyphen/>
        <w:t>friendly and dementia</w:t>
      </w:r>
      <w:r w:rsidRPr="001F2D64">
        <w:rPr>
          <w:rFonts w:ascii="Calibri" w:eastAsia="MS Mincho" w:hAnsi="Calibri" w:cs="Calibri"/>
          <w:color w:val="auto"/>
          <w:sz w:val="22"/>
        </w:rPr>
        <w:noBreakHyphen/>
        <w:t>inclusive principles</w:t>
      </w:r>
    </w:p>
    <w:p w14:paraId="742BBA6D" w14:textId="08067CA8" w:rsidR="00CF0C43" w:rsidRPr="001F2D64" w:rsidRDefault="00151B5F" w:rsidP="000F03A2">
      <w:pPr>
        <w:pStyle w:val="ListParagraph"/>
        <w:numPr>
          <w:ilvl w:val="0"/>
          <w:numId w:val="56"/>
        </w:numPr>
        <w:spacing w:after="200" w:line="276" w:lineRule="auto"/>
        <w:rPr>
          <w:rFonts w:ascii="Calibri" w:eastAsia="MS Mincho" w:hAnsi="Calibri" w:cs="Calibri"/>
          <w:color w:val="auto"/>
          <w:sz w:val="22"/>
        </w:rPr>
      </w:pPr>
      <w:r w:rsidRPr="001F2D64">
        <w:rPr>
          <w:rFonts w:ascii="Calibri" w:eastAsia="MS Mincho" w:hAnsi="Calibri" w:cs="Calibri"/>
          <w:color w:val="auto"/>
          <w:sz w:val="22"/>
        </w:rPr>
        <w:t xml:space="preserve">reflects a more </w:t>
      </w:r>
      <w:r w:rsidR="00CF0C43" w:rsidRPr="001F2D64">
        <w:rPr>
          <w:rFonts w:ascii="Calibri" w:eastAsia="MS Mincho" w:hAnsi="Calibri" w:cs="Calibri"/>
          <w:color w:val="auto"/>
          <w:sz w:val="22"/>
        </w:rPr>
        <w:t>holistic understanding of accessibility</w:t>
      </w:r>
      <w:r>
        <w:rPr>
          <w:rFonts w:ascii="Calibri" w:eastAsia="MS Mincho" w:hAnsi="Calibri" w:cs="Calibri"/>
          <w:color w:val="auto"/>
          <w:sz w:val="22"/>
        </w:rPr>
        <w:t>.</w:t>
      </w:r>
    </w:p>
    <w:p w14:paraId="4C9BDA3D" w14:textId="77777777" w:rsidR="00CF0C43" w:rsidRPr="00227E3C" w:rsidRDefault="00CF0C43" w:rsidP="00CF0C43">
      <w:pPr>
        <w:spacing w:after="200" w:line="276" w:lineRule="auto"/>
        <w:rPr>
          <w:rFonts w:ascii="Calibri" w:eastAsia="MS Mincho" w:hAnsi="Calibri" w:cs="Calibri"/>
          <w:color w:val="auto"/>
          <w:sz w:val="22"/>
        </w:rPr>
      </w:pPr>
      <w:r w:rsidRPr="00227E3C">
        <w:rPr>
          <w:rFonts w:ascii="Calibri" w:eastAsia="MS Mincho" w:hAnsi="Calibri" w:cs="Calibri"/>
          <w:color w:val="auto"/>
          <w:sz w:val="22"/>
        </w:rPr>
        <w:t>Key difference</w:t>
      </w:r>
      <w:r w:rsidRPr="00227E3C">
        <w:rPr>
          <w:rFonts w:ascii="Calibri" w:eastAsia="MS Mincho" w:hAnsi="Calibri" w:cs="Calibri"/>
          <w:color w:val="auto"/>
          <w:sz w:val="22"/>
        </w:rPr>
        <w:br/>
        <w:t>AS 1428.1 addresses a wider spectrum of user needs beyond physical disability, whereas NZS 4121 is</w:t>
      </w:r>
      <w:r>
        <w:rPr>
          <w:rFonts w:ascii="Calibri" w:eastAsia="MS Mincho" w:hAnsi="Calibri" w:cs="Calibri"/>
          <w:color w:val="auto"/>
          <w:sz w:val="22"/>
        </w:rPr>
        <w:t>,</w:t>
      </w:r>
      <w:r w:rsidRPr="00227E3C">
        <w:rPr>
          <w:rFonts w:ascii="Calibri" w:eastAsia="MS Mincho" w:hAnsi="Calibri" w:cs="Calibri"/>
          <w:color w:val="auto"/>
          <w:sz w:val="22"/>
        </w:rPr>
        <w:t xml:space="preserve"> largely</w:t>
      </w:r>
      <w:r>
        <w:rPr>
          <w:rFonts w:ascii="Calibri" w:eastAsia="MS Mincho" w:hAnsi="Calibri" w:cs="Calibri"/>
          <w:color w:val="auto"/>
          <w:sz w:val="22"/>
        </w:rPr>
        <w:t>,</w:t>
      </w:r>
      <w:r w:rsidRPr="00227E3C">
        <w:rPr>
          <w:rFonts w:ascii="Calibri" w:eastAsia="MS Mincho" w:hAnsi="Calibri" w:cs="Calibri"/>
          <w:color w:val="auto"/>
          <w:sz w:val="22"/>
        </w:rPr>
        <w:t xml:space="preserve"> mobility</w:t>
      </w:r>
      <w:r w:rsidRPr="00227E3C">
        <w:rPr>
          <w:rFonts w:ascii="Calibri" w:eastAsia="MS Mincho" w:hAnsi="Calibri" w:cs="Calibri"/>
          <w:color w:val="auto"/>
          <w:sz w:val="22"/>
        </w:rPr>
        <w:noBreakHyphen/>
        <w:t>centric.</w:t>
      </w:r>
    </w:p>
    <w:p w14:paraId="12102CB5" w14:textId="77777777" w:rsidR="00CF0C43" w:rsidRPr="00227E3C" w:rsidRDefault="00CF0C43" w:rsidP="00CF0C43">
      <w:pPr>
        <w:spacing w:after="200" w:line="276" w:lineRule="auto"/>
        <w:rPr>
          <w:rFonts w:ascii="Calibri" w:eastAsia="MS Mincho" w:hAnsi="Calibri" w:cs="Calibri"/>
          <w:b/>
          <w:bCs/>
          <w:color w:val="auto"/>
          <w:sz w:val="22"/>
        </w:rPr>
      </w:pPr>
      <w:r w:rsidRPr="00227E3C">
        <w:rPr>
          <w:rFonts w:ascii="Calibri" w:eastAsia="MS Mincho" w:hAnsi="Calibri" w:cs="Calibri"/>
          <w:b/>
          <w:bCs/>
          <w:color w:val="auto"/>
          <w:sz w:val="22"/>
        </w:rPr>
        <w:t>9. Currency and adaptability</w:t>
      </w:r>
    </w:p>
    <w:p w14:paraId="118FC75E" w14:textId="5DB4A1A0"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NZS 4121:2001</w:t>
      </w:r>
      <w:r w:rsidR="00DF79CC">
        <w:rPr>
          <w:rFonts w:ascii="Calibri" w:eastAsia="MS Mincho" w:hAnsi="Calibri" w:cs="Calibri"/>
          <w:color w:val="auto"/>
          <w:sz w:val="22"/>
        </w:rPr>
        <w:t>:</w:t>
      </w:r>
    </w:p>
    <w:p w14:paraId="53E009AF" w14:textId="7BFFEC8D" w:rsidR="00CF0C43" w:rsidRDefault="00DF79CC" w:rsidP="000F03A2">
      <w:pPr>
        <w:pStyle w:val="ListParagraph"/>
        <w:numPr>
          <w:ilvl w:val="0"/>
          <w:numId w:val="58"/>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is </w:t>
      </w:r>
      <w:r w:rsidRPr="0027782D">
        <w:rPr>
          <w:rFonts w:ascii="Calibri" w:eastAsia="MS Mincho" w:hAnsi="Calibri" w:cs="Calibri"/>
          <w:color w:val="auto"/>
          <w:sz w:val="22"/>
        </w:rPr>
        <w:t>now over two decades old</w:t>
      </w:r>
    </w:p>
    <w:p w14:paraId="54E062AD" w14:textId="23D174DF" w:rsidR="00CF0C43" w:rsidRDefault="00DF79CC" w:rsidP="000F03A2">
      <w:pPr>
        <w:pStyle w:val="ListParagraph"/>
        <w:numPr>
          <w:ilvl w:val="0"/>
          <w:numId w:val="58"/>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is </w:t>
      </w:r>
      <w:r w:rsidRPr="0027782D">
        <w:rPr>
          <w:rFonts w:ascii="Calibri" w:eastAsia="MS Mincho" w:hAnsi="Calibri" w:cs="Calibri"/>
          <w:color w:val="auto"/>
          <w:sz w:val="22"/>
        </w:rPr>
        <w:t>based on assumptions about users, technology and buildings that have evolved</w:t>
      </w:r>
    </w:p>
    <w:p w14:paraId="3F367A76" w14:textId="202B7FAD" w:rsidR="00CF0C43" w:rsidRDefault="00DF79CC" w:rsidP="000F03A2">
      <w:pPr>
        <w:pStyle w:val="ListParagraph"/>
        <w:numPr>
          <w:ilvl w:val="0"/>
          <w:numId w:val="58"/>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is </w:t>
      </w:r>
      <w:r w:rsidRPr="0027782D">
        <w:rPr>
          <w:rFonts w:ascii="Calibri" w:eastAsia="MS Mincho" w:hAnsi="Calibri" w:cs="Calibri"/>
          <w:color w:val="auto"/>
          <w:sz w:val="22"/>
        </w:rPr>
        <w:t>still legally relevant but increasingly strained by contemporary expectations</w:t>
      </w:r>
    </w:p>
    <w:p w14:paraId="2804E51F" w14:textId="0FA2CC21" w:rsidR="00CF0C43" w:rsidRPr="0027782D" w:rsidRDefault="00DF79CC" w:rsidP="000F03A2">
      <w:pPr>
        <w:pStyle w:val="ListParagraph"/>
        <w:numPr>
          <w:ilvl w:val="0"/>
          <w:numId w:val="58"/>
        </w:numPr>
        <w:spacing w:after="200" w:line="276" w:lineRule="auto"/>
        <w:rPr>
          <w:rFonts w:ascii="Calibri" w:eastAsia="MS Mincho" w:hAnsi="Calibri" w:cs="Calibri"/>
          <w:color w:val="auto"/>
          <w:sz w:val="22"/>
        </w:rPr>
      </w:pPr>
      <w:r>
        <w:rPr>
          <w:rFonts w:ascii="Calibri" w:eastAsia="MS Mincho" w:hAnsi="Calibri" w:cs="Calibri"/>
          <w:color w:val="auto"/>
          <w:sz w:val="22"/>
        </w:rPr>
        <w:t xml:space="preserve">has </w:t>
      </w:r>
      <w:r w:rsidRPr="0027782D">
        <w:rPr>
          <w:rFonts w:ascii="Calibri" w:eastAsia="MS Mincho" w:hAnsi="Calibri" w:cs="Calibri"/>
          <w:color w:val="auto"/>
          <w:sz w:val="22"/>
        </w:rPr>
        <w:t xml:space="preserve">limited </w:t>
      </w:r>
      <w:r w:rsidR="00CF0C43" w:rsidRPr="0027782D">
        <w:rPr>
          <w:rFonts w:ascii="Calibri" w:eastAsia="MS Mincho" w:hAnsi="Calibri" w:cs="Calibri"/>
          <w:color w:val="auto"/>
          <w:sz w:val="22"/>
        </w:rPr>
        <w:t>capacity to absorb emerging accessibility concepts without revision</w:t>
      </w:r>
      <w:r>
        <w:rPr>
          <w:rFonts w:ascii="Calibri" w:eastAsia="MS Mincho" w:hAnsi="Calibri" w:cs="Calibri"/>
          <w:color w:val="auto"/>
          <w:sz w:val="22"/>
        </w:rPr>
        <w:t>.</w:t>
      </w:r>
    </w:p>
    <w:p w14:paraId="5ED6B173" w14:textId="351C6E77" w:rsidR="00CF0C43" w:rsidRDefault="00CF0C43" w:rsidP="00CF0C43">
      <w:pPr>
        <w:spacing w:after="0" w:line="276" w:lineRule="auto"/>
        <w:rPr>
          <w:rFonts w:ascii="Calibri" w:eastAsia="MS Mincho" w:hAnsi="Calibri" w:cs="Calibri"/>
          <w:color w:val="auto"/>
          <w:sz w:val="22"/>
        </w:rPr>
      </w:pPr>
      <w:r w:rsidRPr="00227E3C">
        <w:rPr>
          <w:rFonts w:ascii="Calibri" w:eastAsia="MS Mincho" w:hAnsi="Calibri" w:cs="Calibri"/>
          <w:color w:val="auto"/>
          <w:sz w:val="22"/>
        </w:rPr>
        <w:t>AS 1428.1:2021</w:t>
      </w:r>
      <w:r w:rsidR="00DF79CC">
        <w:rPr>
          <w:rFonts w:ascii="Calibri" w:eastAsia="MS Mincho" w:hAnsi="Calibri" w:cs="Calibri"/>
          <w:color w:val="auto"/>
          <w:sz w:val="22"/>
        </w:rPr>
        <w:t>:</w:t>
      </w:r>
    </w:p>
    <w:p w14:paraId="6D6264C9" w14:textId="056BEDC5" w:rsidR="00CF0C43" w:rsidRDefault="00DF79CC" w:rsidP="000F03A2">
      <w:pPr>
        <w:pStyle w:val="ListParagraph"/>
        <w:numPr>
          <w:ilvl w:val="0"/>
          <w:numId w:val="57"/>
        </w:numPr>
        <w:spacing w:after="200" w:line="276" w:lineRule="auto"/>
        <w:rPr>
          <w:rFonts w:ascii="Calibri" w:eastAsia="MS Mincho" w:hAnsi="Calibri" w:cs="Calibri"/>
          <w:color w:val="auto"/>
          <w:sz w:val="22"/>
        </w:rPr>
      </w:pPr>
      <w:r>
        <w:rPr>
          <w:rFonts w:ascii="Calibri" w:eastAsia="MS Mincho" w:hAnsi="Calibri" w:cs="Calibri"/>
          <w:color w:val="auto"/>
          <w:sz w:val="22"/>
        </w:rPr>
        <w:t>was r</w:t>
      </w:r>
      <w:r w:rsidR="00CF0C43" w:rsidRPr="0027782D">
        <w:rPr>
          <w:rFonts w:ascii="Calibri" w:eastAsia="MS Mincho" w:hAnsi="Calibri" w:cs="Calibri"/>
          <w:color w:val="auto"/>
          <w:sz w:val="22"/>
        </w:rPr>
        <w:t>ecently updated to reflect current research, practice and regulation</w:t>
      </w:r>
    </w:p>
    <w:p w14:paraId="72C17551" w14:textId="188D55A4" w:rsidR="00CF0C43" w:rsidRDefault="00DF79CC" w:rsidP="000F03A2">
      <w:pPr>
        <w:pStyle w:val="ListParagraph"/>
        <w:numPr>
          <w:ilvl w:val="0"/>
          <w:numId w:val="57"/>
        </w:numPr>
        <w:spacing w:after="200" w:line="276" w:lineRule="auto"/>
        <w:rPr>
          <w:rFonts w:ascii="Calibri" w:eastAsia="MS Mincho" w:hAnsi="Calibri" w:cs="Calibri"/>
          <w:color w:val="auto"/>
          <w:sz w:val="22"/>
        </w:rPr>
      </w:pPr>
      <w:r>
        <w:rPr>
          <w:rFonts w:ascii="Calibri" w:eastAsia="MS Mincho" w:hAnsi="Calibri" w:cs="Calibri"/>
          <w:color w:val="auto"/>
          <w:sz w:val="22"/>
        </w:rPr>
        <w:t>was d</w:t>
      </w:r>
      <w:r w:rsidR="00CF0C43" w:rsidRPr="0027782D">
        <w:rPr>
          <w:rFonts w:ascii="Calibri" w:eastAsia="MS Mincho" w:hAnsi="Calibri" w:cs="Calibri"/>
          <w:color w:val="auto"/>
          <w:sz w:val="22"/>
        </w:rPr>
        <w:t>esigned to evolve alongside related standards and the NCC</w:t>
      </w:r>
    </w:p>
    <w:p w14:paraId="02BE9FD6" w14:textId="011B3B77" w:rsidR="00CF0C43" w:rsidRDefault="00DF79CC" w:rsidP="000F03A2">
      <w:pPr>
        <w:pStyle w:val="ListParagraph"/>
        <w:numPr>
          <w:ilvl w:val="0"/>
          <w:numId w:val="57"/>
        </w:numPr>
        <w:spacing w:after="200" w:line="276" w:lineRule="auto"/>
        <w:rPr>
          <w:rFonts w:ascii="Calibri" w:eastAsia="MS Mincho" w:hAnsi="Calibri" w:cs="Calibri"/>
          <w:color w:val="auto"/>
          <w:sz w:val="22"/>
        </w:rPr>
      </w:pPr>
      <w:r>
        <w:rPr>
          <w:rFonts w:ascii="Calibri" w:eastAsia="MS Mincho" w:hAnsi="Calibri" w:cs="Calibri"/>
          <w:color w:val="auto"/>
          <w:sz w:val="22"/>
        </w:rPr>
        <w:t>is m</w:t>
      </w:r>
      <w:r w:rsidR="00CF0C43" w:rsidRPr="0027782D">
        <w:rPr>
          <w:rFonts w:ascii="Calibri" w:eastAsia="MS Mincho" w:hAnsi="Calibri" w:cs="Calibri"/>
          <w:color w:val="auto"/>
          <w:sz w:val="22"/>
        </w:rPr>
        <w:t>ore resilient to technological and social change</w:t>
      </w:r>
    </w:p>
    <w:p w14:paraId="66068E83" w14:textId="0CC4F144" w:rsidR="00CF0C43" w:rsidRPr="0027782D" w:rsidRDefault="00DF79CC" w:rsidP="000F03A2">
      <w:pPr>
        <w:pStyle w:val="ListParagraph"/>
        <w:numPr>
          <w:ilvl w:val="0"/>
          <w:numId w:val="57"/>
        </w:numPr>
        <w:spacing w:after="200" w:line="276" w:lineRule="auto"/>
        <w:rPr>
          <w:rFonts w:ascii="Calibri" w:eastAsia="MS Mincho" w:hAnsi="Calibri" w:cs="Calibri"/>
          <w:color w:val="auto"/>
          <w:sz w:val="22"/>
        </w:rPr>
      </w:pPr>
      <w:r>
        <w:rPr>
          <w:rFonts w:ascii="Calibri" w:eastAsia="MS Mincho" w:hAnsi="Calibri" w:cs="Calibri"/>
          <w:color w:val="auto"/>
          <w:sz w:val="22"/>
        </w:rPr>
        <w:t>is b</w:t>
      </w:r>
      <w:r w:rsidR="00CF0C43" w:rsidRPr="0027782D">
        <w:rPr>
          <w:rFonts w:ascii="Calibri" w:eastAsia="MS Mincho" w:hAnsi="Calibri" w:cs="Calibri"/>
          <w:color w:val="auto"/>
          <w:sz w:val="22"/>
        </w:rPr>
        <w:t>etter positioned to support future revisions</w:t>
      </w:r>
      <w:r>
        <w:rPr>
          <w:rFonts w:ascii="Calibri" w:eastAsia="MS Mincho" w:hAnsi="Calibri" w:cs="Calibri"/>
          <w:color w:val="auto"/>
          <w:sz w:val="22"/>
        </w:rPr>
        <w:t>.</w:t>
      </w:r>
    </w:p>
    <w:p w14:paraId="24961328" w14:textId="77777777" w:rsidR="00CF0C43" w:rsidRPr="00227E3C" w:rsidRDefault="00CF0C43" w:rsidP="00CF0C43">
      <w:pPr>
        <w:spacing w:after="200" w:line="276" w:lineRule="auto"/>
        <w:rPr>
          <w:rFonts w:ascii="Calibri" w:eastAsia="MS Mincho" w:hAnsi="Calibri" w:cs="Calibri"/>
          <w:color w:val="auto"/>
          <w:sz w:val="22"/>
        </w:rPr>
      </w:pPr>
      <w:r w:rsidRPr="00227E3C">
        <w:rPr>
          <w:rFonts w:ascii="Calibri" w:eastAsia="MS Mincho" w:hAnsi="Calibri" w:cs="Calibri"/>
          <w:color w:val="auto"/>
          <w:sz w:val="22"/>
        </w:rPr>
        <w:t>Key difference</w:t>
      </w:r>
      <w:r w:rsidRPr="00227E3C">
        <w:rPr>
          <w:rFonts w:ascii="Calibri" w:eastAsia="MS Mincho" w:hAnsi="Calibri" w:cs="Calibri"/>
          <w:color w:val="auto"/>
          <w:sz w:val="22"/>
        </w:rPr>
        <w:br/>
        <w:t>AS 1428.1 is contemporary and forward</w:t>
      </w:r>
      <w:r w:rsidRPr="00227E3C">
        <w:rPr>
          <w:rFonts w:ascii="Calibri" w:eastAsia="MS Mincho" w:hAnsi="Calibri" w:cs="Calibri"/>
          <w:color w:val="auto"/>
          <w:sz w:val="22"/>
        </w:rPr>
        <w:noBreakHyphen/>
        <w:t>looking; NZS 4121 is functionally robust but dated.</w:t>
      </w:r>
    </w:p>
    <w:p w14:paraId="2C69AEAA" w14:textId="77777777" w:rsidR="00CF0C43" w:rsidRPr="00227E3C" w:rsidRDefault="00CF0C43" w:rsidP="00CF0C43">
      <w:pPr>
        <w:spacing w:after="200" w:line="276" w:lineRule="auto"/>
        <w:rPr>
          <w:rFonts w:ascii="Calibri" w:eastAsia="MS Mincho" w:hAnsi="Calibri" w:cs="Calibri"/>
          <w:b/>
          <w:bCs/>
          <w:color w:val="auto"/>
          <w:sz w:val="22"/>
        </w:rPr>
      </w:pPr>
      <w:r w:rsidRPr="00227E3C">
        <w:rPr>
          <w:rFonts w:ascii="Calibri" w:eastAsia="MS Mincho" w:hAnsi="Calibri" w:cs="Calibri"/>
          <w:b/>
          <w:bCs/>
          <w:color w:val="auto"/>
          <w:sz w:val="22"/>
        </w:rPr>
        <w:t>Overall comparison summary</w:t>
      </w:r>
    </w:p>
    <w:p w14:paraId="6D5E6E05" w14:textId="0CC5C3CA" w:rsidR="00CF0C43" w:rsidRDefault="00CF0C43" w:rsidP="000F03A2">
      <w:pPr>
        <w:pStyle w:val="ListParagraph"/>
        <w:numPr>
          <w:ilvl w:val="0"/>
          <w:numId w:val="50"/>
        </w:numPr>
        <w:spacing w:after="200" w:line="276" w:lineRule="auto"/>
        <w:rPr>
          <w:rFonts w:ascii="Calibri" w:eastAsia="MS Mincho" w:hAnsi="Calibri" w:cs="Calibri"/>
          <w:color w:val="auto"/>
          <w:sz w:val="22"/>
        </w:rPr>
      </w:pPr>
      <w:r w:rsidRPr="00945A41">
        <w:rPr>
          <w:rFonts w:ascii="Calibri" w:eastAsia="MS Mincho" w:hAnsi="Calibri" w:cs="Calibri"/>
          <w:color w:val="auto"/>
          <w:sz w:val="22"/>
        </w:rPr>
        <w:t>NZS 4121:2001 is a strong, conservative, legally anchored access standard focused on minimum compliance</w:t>
      </w:r>
      <w:r w:rsidR="00DF79CC">
        <w:rPr>
          <w:rFonts w:ascii="Calibri" w:eastAsia="MS Mincho" w:hAnsi="Calibri" w:cs="Calibri"/>
          <w:color w:val="auto"/>
          <w:sz w:val="22"/>
        </w:rPr>
        <w:t>.</w:t>
      </w:r>
    </w:p>
    <w:p w14:paraId="5AAFB3D8" w14:textId="0BA89BBA" w:rsidR="00CF0C43" w:rsidRDefault="00CF0C43" w:rsidP="000F03A2">
      <w:pPr>
        <w:pStyle w:val="ListParagraph"/>
        <w:numPr>
          <w:ilvl w:val="0"/>
          <w:numId w:val="50"/>
        </w:numPr>
        <w:spacing w:after="200" w:line="276" w:lineRule="auto"/>
        <w:rPr>
          <w:rFonts w:ascii="Calibri" w:eastAsia="MS Mincho" w:hAnsi="Calibri" w:cs="Calibri"/>
          <w:color w:val="auto"/>
          <w:sz w:val="22"/>
        </w:rPr>
      </w:pPr>
      <w:r w:rsidRPr="00945A41">
        <w:rPr>
          <w:rFonts w:ascii="Calibri" w:eastAsia="MS Mincho" w:hAnsi="Calibri" w:cs="Calibri"/>
          <w:color w:val="auto"/>
          <w:sz w:val="22"/>
        </w:rPr>
        <w:t>AS 1428.1:2021 reflects modern inclusive design, broader disability understanding and contemporary practice</w:t>
      </w:r>
      <w:r w:rsidR="00DF79CC">
        <w:rPr>
          <w:rFonts w:ascii="Calibri" w:eastAsia="MS Mincho" w:hAnsi="Calibri" w:cs="Calibri"/>
          <w:color w:val="auto"/>
          <w:sz w:val="22"/>
        </w:rPr>
        <w:t>.</w:t>
      </w:r>
    </w:p>
    <w:p w14:paraId="21935364" w14:textId="469AE523" w:rsidR="00CF0C43" w:rsidRDefault="00CF0C43" w:rsidP="000F03A2">
      <w:pPr>
        <w:pStyle w:val="ListParagraph"/>
        <w:numPr>
          <w:ilvl w:val="0"/>
          <w:numId w:val="50"/>
        </w:numPr>
        <w:spacing w:after="200" w:line="276" w:lineRule="auto"/>
        <w:rPr>
          <w:rFonts w:ascii="Calibri" w:eastAsia="MS Mincho" w:hAnsi="Calibri" w:cs="Calibri"/>
          <w:color w:val="auto"/>
          <w:sz w:val="22"/>
        </w:rPr>
      </w:pPr>
      <w:r w:rsidRPr="00945A41">
        <w:rPr>
          <w:rFonts w:ascii="Calibri" w:eastAsia="MS Mincho" w:hAnsi="Calibri" w:cs="Calibri"/>
          <w:color w:val="auto"/>
          <w:sz w:val="22"/>
        </w:rPr>
        <w:lastRenderedPageBreak/>
        <w:t xml:space="preserve">NZS 4121 prioritises certainty and </w:t>
      </w:r>
      <w:proofErr w:type="gramStart"/>
      <w:r w:rsidRPr="00945A41">
        <w:rPr>
          <w:rFonts w:ascii="Calibri" w:eastAsia="MS Mincho" w:hAnsi="Calibri" w:cs="Calibri"/>
          <w:color w:val="auto"/>
          <w:sz w:val="22"/>
        </w:rPr>
        <w:t>enforceability;</w:t>
      </w:r>
      <w:proofErr w:type="gramEnd"/>
      <w:r w:rsidRPr="00945A41">
        <w:rPr>
          <w:rFonts w:ascii="Calibri" w:eastAsia="MS Mincho" w:hAnsi="Calibri" w:cs="Calibri"/>
          <w:color w:val="auto"/>
          <w:sz w:val="22"/>
        </w:rPr>
        <w:t xml:space="preserve"> AS 1428.1 prioritises inclusivity and adaptability</w:t>
      </w:r>
      <w:r w:rsidR="00DF79CC">
        <w:rPr>
          <w:rFonts w:ascii="Calibri" w:eastAsia="MS Mincho" w:hAnsi="Calibri" w:cs="Calibri"/>
          <w:color w:val="auto"/>
          <w:sz w:val="22"/>
        </w:rPr>
        <w:t>.</w:t>
      </w:r>
    </w:p>
    <w:p w14:paraId="2BF2E8B7" w14:textId="7A68778C" w:rsidR="00CF0C43" w:rsidRDefault="00CF0C43" w:rsidP="000F03A2">
      <w:pPr>
        <w:pStyle w:val="ListParagraph"/>
        <w:numPr>
          <w:ilvl w:val="0"/>
          <w:numId w:val="50"/>
        </w:numPr>
        <w:spacing w:after="200" w:line="276" w:lineRule="auto"/>
        <w:rPr>
          <w:rFonts w:ascii="Calibri" w:eastAsia="MS Mincho" w:hAnsi="Calibri" w:cs="Calibri"/>
          <w:color w:val="auto"/>
          <w:sz w:val="22"/>
        </w:rPr>
      </w:pPr>
      <w:r w:rsidRPr="00945A41">
        <w:rPr>
          <w:rFonts w:ascii="Calibri" w:eastAsia="MS Mincho" w:hAnsi="Calibri" w:cs="Calibri"/>
          <w:color w:val="auto"/>
          <w:sz w:val="22"/>
        </w:rPr>
        <w:t>NZS 4121 is mobility</w:t>
      </w:r>
      <w:r w:rsidR="00DF79CC">
        <w:rPr>
          <w:rFonts w:ascii="Calibri" w:eastAsia="MS Mincho" w:hAnsi="Calibri" w:cs="Calibri"/>
          <w:color w:val="auto"/>
          <w:sz w:val="22"/>
        </w:rPr>
        <w:t xml:space="preserve"> </w:t>
      </w:r>
      <w:proofErr w:type="gramStart"/>
      <w:r w:rsidRPr="00945A41">
        <w:rPr>
          <w:rFonts w:ascii="Calibri" w:eastAsia="MS Mincho" w:hAnsi="Calibri" w:cs="Calibri"/>
          <w:color w:val="auto"/>
          <w:sz w:val="22"/>
        </w:rPr>
        <w:t>centred;</w:t>
      </w:r>
      <w:proofErr w:type="gramEnd"/>
      <w:r w:rsidRPr="00945A41">
        <w:rPr>
          <w:rFonts w:ascii="Calibri" w:eastAsia="MS Mincho" w:hAnsi="Calibri" w:cs="Calibri"/>
          <w:color w:val="auto"/>
          <w:sz w:val="22"/>
        </w:rPr>
        <w:t xml:space="preserve"> AS 1428.1 is multi</w:t>
      </w:r>
      <w:r w:rsidRPr="00945A41">
        <w:rPr>
          <w:rFonts w:ascii="Calibri" w:eastAsia="MS Mincho" w:hAnsi="Calibri" w:cs="Calibri"/>
          <w:color w:val="auto"/>
          <w:sz w:val="22"/>
        </w:rPr>
        <w:noBreakHyphen/>
        <w:t>dimensional</w:t>
      </w:r>
      <w:r w:rsidR="00DF79CC">
        <w:rPr>
          <w:rFonts w:ascii="Calibri" w:eastAsia="MS Mincho" w:hAnsi="Calibri" w:cs="Calibri"/>
          <w:color w:val="auto"/>
          <w:sz w:val="22"/>
        </w:rPr>
        <w:t>.</w:t>
      </w:r>
    </w:p>
    <w:p w14:paraId="20D66F9A" w14:textId="2A488550" w:rsidR="00CF0C43" w:rsidRDefault="00CF0C43" w:rsidP="000F03A2">
      <w:pPr>
        <w:pStyle w:val="ListParagraph"/>
        <w:numPr>
          <w:ilvl w:val="0"/>
          <w:numId w:val="50"/>
        </w:numPr>
        <w:spacing w:after="200" w:line="276" w:lineRule="auto"/>
        <w:rPr>
          <w:rFonts w:ascii="Calibri" w:eastAsia="MS Mincho" w:hAnsi="Calibri" w:cs="Calibri"/>
          <w:color w:val="auto"/>
          <w:sz w:val="22"/>
        </w:rPr>
      </w:pPr>
      <w:r w:rsidRPr="00945A41">
        <w:rPr>
          <w:rFonts w:ascii="Calibri" w:eastAsia="MS Mincho" w:hAnsi="Calibri" w:cs="Calibri"/>
          <w:color w:val="auto"/>
          <w:sz w:val="22"/>
        </w:rPr>
        <w:t>AS 1428.1 provides a clearer pathway for future accessibility challenges</w:t>
      </w:r>
      <w:r w:rsidR="00DF79CC">
        <w:rPr>
          <w:rFonts w:ascii="Calibri" w:eastAsia="MS Mincho" w:hAnsi="Calibri" w:cs="Calibri"/>
          <w:color w:val="auto"/>
          <w:sz w:val="22"/>
        </w:rPr>
        <w:t>.</w:t>
      </w:r>
    </w:p>
    <w:p w14:paraId="5D84267C" w14:textId="62E37A95" w:rsidR="00CF0C43" w:rsidRPr="00AE4055" w:rsidRDefault="00CF0C43" w:rsidP="000F03A2">
      <w:pPr>
        <w:pStyle w:val="ListParagraph"/>
        <w:numPr>
          <w:ilvl w:val="0"/>
          <w:numId w:val="50"/>
        </w:numPr>
        <w:spacing w:after="200" w:line="276" w:lineRule="auto"/>
        <w:rPr>
          <w:rFonts w:ascii="Calibri" w:eastAsia="MS Mincho" w:hAnsi="Calibri" w:cs="Calibri"/>
          <w:color w:val="auto"/>
          <w:sz w:val="22"/>
        </w:rPr>
      </w:pPr>
      <w:r w:rsidRPr="00945A41">
        <w:rPr>
          <w:rFonts w:ascii="Calibri" w:eastAsia="MS Mincho" w:hAnsi="Calibri" w:cs="Calibri"/>
          <w:color w:val="auto"/>
          <w:sz w:val="22"/>
        </w:rPr>
        <w:t>The gap between the two standards is primarily philosophical and temporal, not technical competence</w:t>
      </w:r>
      <w:r w:rsidR="00DF79CC">
        <w:rPr>
          <w:rFonts w:ascii="Calibri" w:eastAsia="MS Mincho" w:hAnsi="Calibri" w:cs="Calibri"/>
          <w:color w:val="auto"/>
          <w:sz w:val="22"/>
        </w:rPr>
        <w:t>.</w:t>
      </w:r>
    </w:p>
    <w:p w14:paraId="131A9404" w14:textId="77777777" w:rsidR="005917B7" w:rsidRDefault="005917B7">
      <w:pPr>
        <w:spacing w:after="160" w:line="259" w:lineRule="auto"/>
        <w:rPr>
          <w:b/>
          <w:bCs/>
        </w:rPr>
      </w:pPr>
    </w:p>
    <w:p w14:paraId="7DAD0696" w14:textId="7BF9A283" w:rsidR="005917B7" w:rsidRPr="00AE1671" w:rsidRDefault="005917B7" w:rsidP="005917B7">
      <w:pPr>
        <w:spacing w:after="200" w:line="276" w:lineRule="auto"/>
        <w:rPr>
          <w:rFonts w:ascii="Calibri" w:eastAsia="MS Mincho" w:hAnsi="Calibri" w:cs="Calibri"/>
          <w:b/>
          <w:bCs/>
          <w:color w:val="auto"/>
          <w:sz w:val="22"/>
        </w:rPr>
      </w:pPr>
      <w:r w:rsidRPr="00AE1671">
        <w:rPr>
          <w:rFonts w:ascii="Calibri" w:eastAsia="MS Mincho" w:hAnsi="Calibri" w:cs="Calibri"/>
          <w:b/>
          <w:bCs/>
          <w:color w:val="auto"/>
          <w:sz w:val="22"/>
        </w:rPr>
        <w:t xml:space="preserve">NZS 4121:2001 </w:t>
      </w:r>
      <w:r>
        <w:rPr>
          <w:rFonts w:ascii="Calibri" w:eastAsia="MS Mincho" w:hAnsi="Calibri" w:cs="Calibri"/>
          <w:b/>
          <w:bCs/>
          <w:color w:val="auto"/>
          <w:sz w:val="22"/>
        </w:rPr>
        <w:t>and</w:t>
      </w:r>
      <w:r>
        <w:rPr>
          <w:rFonts w:ascii="Calibri" w:eastAsia="MS Mincho" w:hAnsi="Calibri" w:cs="Calibri"/>
          <w:b/>
          <w:bCs/>
          <w:color w:val="auto"/>
          <w:sz w:val="22"/>
        </w:rPr>
        <w:t xml:space="preserve"> ISO 21542:2021</w:t>
      </w:r>
    </w:p>
    <w:p w14:paraId="6CC5610C" w14:textId="7F76647A" w:rsidR="008C645C" w:rsidRPr="005917B7" w:rsidRDefault="005917B7" w:rsidP="005917B7">
      <w:pPr>
        <w:spacing w:after="200" w:line="276" w:lineRule="auto"/>
        <w:rPr>
          <w:rFonts w:ascii="Calibri" w:eastAsia="MS Mincho" w:hAnsi="Calibri" w:cs="Calibri"/>
          <w:color w:val="auto"/>
          <w:sz w:val="22"/>
        </w:rPr>
      </w:pPr>
      <w:r>
        <w:rPr>
          <w:rFonts w:ascii="Calibri" w:eastAsia="MS Mincho" w:hAnsi="Calibri" w:cs="Calibri"/>
          <w:color w:val="auto"/>
          <w:sz w:val="22"/>
        </w:rPr>
        <w:t>Below</w:t>
      </w:r>
      <w:r w:rsidRPr="00227E3C">
        <w:rPr>
          <w:rFonts w:ascii="Calibri" w:eastAsia="MS Mincho" w:hAnsi="Calibri" w:cs="Calibri"/>
          <w:color w:val="auto"/>
          <w:sz w:val="22"/>
        </w:rPr>
        <w:t xml:space="preserve"> is a</w:t>
      </w:r>
      <w:r>
        <w:rPr>
          <w:rFonts w:ascii="Calibri" w:eastAsia="MS Mincho" w:hAnsi="Calibri" w:cs="Calibri"/>
          <w:color w:val="auto"/>
          <w:sz w:val="22"/>
        </w:rPr>
        <w:t xml:space="preserve"> comprehensive high-level comparison of NZS 4121:2001 with </w:t>
      </w:r>
      <w:r>
        <w:rPr>
          <w:rFonts w:ascii="Calibri" w:eastAsia="MS Mincho" w:hAnsi="Calibri" w:cs="Calibri"/>
          <w:color w:val="auto"/>
          <w:sz w:val="22"/>
        </w:rPr>
        <w:t>ISO 21542</w:t>
      </w:r>
      <w:r>
        <w:rPr>
          <w:rFonts w:ascii="Calibri" w:eastAsia="MS Mincho" w:hAnsi="Calibri" w:cs="Calibri"/>
          <w:color w:val="auto"/>
          <w:sz w:val="22"/>
        </w:rPr>
        <w:t>:2021 (assisted by the Artificial Intelligence application Microsoft Copilot)</w:t>
      </w:r>
    </w:p>
    <w:p w14:paraId="4710DEAD" w14:textId="77777777" w:rsidR="006C2180" w:rsidRPr="006218E6" w:rsidRDefault="006C2180" w:rsidP="006C2180">
      <w:pPr>
        <w:spacing w:after="200" w:line="276" w:lineRule="auto"/>
        <w:rPr>
          <w:rFonts w:ascii="Calibri" w:eastAsia="MS Mincho" w:hAnsi="Calibri" w:cs="Calibri"/>
          <w:color w:val="auto"/>
          <w:sz w:val="22"/>
        </w:rPr>
      </w:pPr>
      <w:r>
        <w:rPr>
          <w:rFonts w:asciiTheme="majorHAnsi" w:hAnsiTheme="majorHAnsi" w:cstheme="majorHAnsi"/>
          <w:b/>
          <w:bCs/>
          <w:sz w:val="22"/>
          <w:szCs w:val="24"/>
        </w:rPr>
        <w:t xml:space="preserve">1. </w:t>
      </w:r>
      <w:r w:rsidRPr="00656158">
        <w:rPr>
          <w:rFonts w:asciiTheme="majorHAnsi" w:hAnsiTheme="majorHAnsi" w:cstheme="majorHAnsi"/>
          <w:b/>
          <w:bCs/>
          <w:sz w:val="22"/>
          <w:szCs w:val="24"/>
        </w:rPr>
        <w:t>Scope and regulatory context</w:t>
      </w:r>
    </w:p>
    <w:p w14:paraId="6D3B686A"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NZS 4121:2001</w:t>
      </w:r>
    </w:p>
    <w:p w14:paraId="1B2194FC"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New Zealand–specific compliance standard aligned with the Building Act 1991 and the New Zealand Building Code.</w:t>
      </w:r>
    </w:p>
    <w:p w14:paraId="725D3F5E"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Applies to public buildings and associated facilities.</w:t>
      </w:r>
    </w:p>
    <w:p w14:paraId="7E54DF59"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ISO 21542:2021</w:t>
      </w:r>
    </w:p>
    <w:p w14:paraId="1909503F"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International reference standard intended for adoption or adaptation by national jurisdictions.</w:t>
      </w:r>
    </w:p>
    <w:p w14:paraId="15583E8E"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Applies to buildings and directly associated outdoor features, including new work in existing buildings.</w:t>
      </w:r>
    </w:p>
    <w:p w14:paraId="756493DE"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Key difference</w:t>
      </w:r>
    </w:p>
    <w:p w14:paraId="2E899406" w14:textId="77777777" w:rsidR="006C2180" w:rsidRPr="00986BF4" w:rsidRDefault="006C2180" w:rsidP="006C2180">
      <w:pPr>
        <w:rPr>
          <w:rFonts w:asciiTheme="majorHAnsi" w:hAnsiTheme="majorHAnsi" w:cstheme="majorHAnsi"/>
          <w:sz w:val="22"/>
        </w:rPr>
      </w:pPr>
      <w:r w:rsidRPr="00986BF4">
        <w:rPr>
          <w:rFonts w:asciiTheme="majorHAnsi" w:hAnsiTheme="majorHAnsi" w:cstheme="majorHAnsi"/>
          <w:sz w:val="22"/>
        </w:rPr>
        <w:t>NZS 4121 is jurisdiction-specific and compliance-driven, whereas ISO 21542 is jurisdiction-agnostic and reference-based.</w:t>
      </w:r>
    </w:p>
    <w:p w14:paraId="6F008511" w14:textId="77777777" w:rsidR="006C2180" w:rsidRPr="00FB4F2F" w:rsidRDefault="006C2180" w:rsidP="006C2180">
      <w:pPr>
        <w:rPr>
          <w:rFonts w:asciiTheme="majorHAnsi" w:hAnsiTheme="majorHAnsi" w:cstheme="majorHAnsi"/>
          <w:b/>
          <w:bCs/>
          <w:sz w:val="22"/>
          <w:szCs w:val="24"/>
        </w:rPr>
      </w:pPr>
      <w:r w:rsidRPr="00FB4F2F">
        <w:rPr>
          <w:rFonts w:asciiTheme="majorHAnsi" w:hAnsiTheme="majorHAnsi" w:cstheme="majorHAnsi"/>
          <w:b/>
          <w:bCs/>
          <w:sz w:val="22"/>
          <w:szCs w:val="24"/>
        </w:rPr>
        <w:t>2. Underlying philosophy and intent</w:t>
      </w:r>
    </w:p>
    <w:p w14:paraId="01FDC3AF"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NZS 4121:2001</w:t>
      </w:r>
    </w:p>
    <w:p w14:paraId="7F48B044"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Focuses on reasonable and adequate provision for people with disabilities.</w:t>
      </w:r>
    </w:p>
    <w:p w14:paraId="229F1A8A"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Primarily mobility-centred, with secondary consideration of vision and hearing.</w:t>
      </w:r>
    </w:p>
    <w:p w14:paraId="4CC9F806"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ISO 21542:2021</w:t>
      </w:r>
    </w:p>
    <w:p w14:paraId="7B3CDA7D"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Grounded in universal design and human rights principles.</w:t>
      </w:r>
    </w:p>
    <w:p w14:paraId="6896E538"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Addresses physical, sensory, cognitive and intellectual impairments.</w:t>
      </w:r>
    </w:p>
    <w:p w14:paraId="7FE48043"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Key difference</w:t>
      </w:r>
    </w:p>
    <w:p w14:paraId="7C199242" w14:textId="77777777" w:rsidR="006C2180" w:rsidRPr="00986BF4" w:rsidRDefault="006C2180" w:rsidP="006C2180">
      <w:pPr>
        <w:rPr>
          <w:rFonts w:asciiTheme="majorHAnsi" w:hAnsiTheme="majorHAnsi" w:cstheme="majorHAnsi"/>
          <w:sz w:val="22"/>
        </w:rPr>
      </w:pPr>
      <w:r w:rsidRPr="00986BF4">
        <w:rPr>
          <w:rFonts w:asciiTheme="majorHAnsi" w:hAnsiTheme="majorHAnsi" w:cstheme="majorHAnsi"/>
          <w:sz w:val="22"/>
        </w:rPr>
        <w:t xml:space="preserve">NZS 4121 </w:t>
      </w:r>
      <w:r>
        <w:rPr>
          <w:rFonts w:asciiTheme="majorHAnsi" w:hAnsiTheme="majorHAnsi" w:cstheme="majorHAnsi"/>
          <w:sz w:val="22"/>
        </w:rPr>
        <w:t xml:space="preserve">is </w:t>
      </w:r>
      <w:r w:rsidRPr="00986BF4">
        <w:rPr>
          <w:rFonts w:asciiTheme="majorHAnsi" w:hAnsiTheme="majorHAnsi" w:cstheme="majorHAnsi"/>
          <w:sz w:val="22"/>
        </w:rPr>
        <w:t>compliance</w:t>
      </w:r>
      <w:r>
        <w:rPr>
          <w:rFonts w:asciiTheme="majorHAnsi" w:hAnsiTheme="majorHAnsi" w:cstheme="majorHAnsi"/>
          <w:sz w:val="22"/>
        </w:rPr>
        <w:t>-based and sets minimum requirements</w:t>
      </w:r>
      <w:r w:rsidRPr="00986BF4">
        <w:rPr>
          <w:rFonts w:asciiTheme="majorHAnsi" w:hAnsiTheme="majorHAnsi" w:cstheme="majorHAnsi"/>
          <w:sz w:val="22"/>
        </w:rPr>
        <w:t>; ISO 21542 reflects inclusive, rights-based design.</w:t>
      </w:r>
    </w:p>
    <w:p w14:paraId="7C0CDAFE" w14:textId="77777777" w:rsidR="006C2180" w:rsidRPr="00FB4F2F" w:rsidRDefault="006C2180" w:rsidP="006C2180">
      <w:pPr>
        <w:rPr>
          <w:rFonts w:asciiTheme="majorHAnsi" w:hAnsiTheme="majorHAnsi" w:cstheme="majorHAnsi"/>
          <w:b/>
          <w:bCs/>
          <w:sz w:val="22"/>
          <w:szCs w:val="24"/>
        </w:rPr>
      </w:pPr>
      <w:r w:rsidRPr="00FB4F2F">
        <w:rPr>
          <w:rFonts w:asciiTheme="majorHAnsi" w:hAnsiTheme="majorHAnsi" w:cstheme="majorHAnsi"/>
          <w:b/>
          <w:bCs/>
          <w:sz w:val="22"/>
          <w:szCs w:val="24"/>
        </w:rPr>
        <w:t>3. Level of technical prescription</w:t>
      </w:r>
    </w:p>
    <w:p w14:paraId="143A4D91"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NZS 4121:2001</w:t>
      </w:r>
    </w:p>
    <w:p w14:paraId="1BBE80EE"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Highly prescriptive with fixed minimum dimensions and gradients.</w:t>
      </w:r>
    </w:p>
    <w:p w14:paraId="7664E859"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Limited internal flexibility.</w:t>
      </w:r>
    </w:p>
    <w:p w14:paraId="18329FE3"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lastRenderedPageBreak/>
        <w:t>ISO 21542:2021</w:t>
      </w:r>
    </w:p>
    <w:p w14:paraId="692C7D30"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Mix of requirements and recommendations.</w:t>
      </w:r>
    </w:p>
    <w:p w14:paraId="6ACB7D57"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Uses ranges and conditional requirements, including exceptional considerations for existing buildings.</w:t>
      </w:r>
    </w:p>
    <w:p w14:paraId="1B9469D2"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Key difference</w:t>
      </w:r>
    </w:p>
    <w:p w14:paraId="27AC5078" w14:textId="77777777" w:rsidR="006C2180" w:rsidRPr="00986BF4" w:rsidRDefault="006C2180" w:rsidP="006C2180">
      <w:pPr>
        <w:rPr>
          <w:rFonts w:asciiTheme="majorHAnsi" w:hAnsiTheme="majorHAnsi" w:cstheme="majorHAnsi"/>
          <w:sz w:val="22"/>
        </w:rPr>
      </w:pPr>
      <w:r w:rsidRPr="00986BF4">
        <w:rPr>
          <w:rFonts w:asciiTheme="majorHAnsi" w:hAnsiTheme="majorHAnsi" w:cstheme="majorHAnsi"/>
          <w:sz w:val="22"/>
        </w:rPr>
        <w:t>NZS 4121 relies on static minimums; ISO 21542 embeds structured flexibility.</w:t>
      </w:r>
    </w:p>
    <w:p w14:paraId="1897C165" w14:textId="77777777" w:rsidR="006C2180" w:rsidRPr="00FB4F2F" w:rsidRDefault="006C2180" w:rsidP="006C2180">
      <w:pPr>
        <w:rPr>
          <w:rFonts w:asciiTheme="majorHAnsi" w:hAnsiTheme="majorHAnsi" w:cstheme="majorHAnsi"/>
          <w:b/>
          <w:bCs/>
          <w:sz w:val="22"/>
          <w:szCs w:val="24"/>
        </w:rPr>
      </w:pPr>
      <w:r w:rsidRPr="00FB4F2F">
        <w:rPr>
          <w:rFonts w:asciiTheme="majorHAnsi" w:hAnsiTheme="majorHAnsi" w:cstheme="majorHAnsi"/>
          <w:b/>
          <w:bCs/>
          <w:sz w:val="22"/>
          <w:szCs w:val="24"/>
        </w:rPr>
        <w:t>4. Circulation and spatial requirements</w:t>
      </w:r>
    </w:p>
    <w:p w14:paraId="10E30334"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NZS 4121:2001</w:t>
      </w:r>
    </w:p>
    <w:p w14:paraId="6FFEAE9D"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Typical minimum corridor width 1200 mm.</w:t>
      </w:r>
    </w:p>
    <w:p w14:paraId="187DBD3D"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Turning spaces based on 1500 mm wheelchair circle.</w:t>
      </w:r>
    </w:p>
    <w:p w14:paraId="2AD19EE9"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ISO 21542:2021</w:t>
      </w:r>
    </w:p>
    <w:p w14:paraId="46CA0AA4"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Differentiates circulation widths by frequency and context.</w:t>
      </w:r>
    </w:p>
    <w:p w14:paraId="5006FFAE"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Addresses passing spaces and contemporary mobility devices.</w:t>
      </w:r>
    </w:p>
    <w:p w14:paraId="378BA8B4"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Key difference</w:t>
      </w:r>
    </w:p>
    <w:p w14:paraId="03D3C9DA" w14:textId="77777777" w:rsidR="006C2180" w:rsidRPr="00986BF4" w:rsidRDefault="006C2180" w:rsidP="006C2180">
      <w:pPr>
        <w:rPr>
          <w:rFonts w:asciiTheme="majorHAnsi" w:hAnsiTheme="majorHAnsi" w:cstheme="majorHAnsi"/>
          <w:sz w:val="22"/>
        </w:rPr>
      </w:pPr>
      <w:r w:rsidRPr="00986BF4">
        <w:rPr>
          <w:rFonts w:asciiTheme="majorHAnsi" w:hAnsiTheme="majorHAnsi" w:cstheme="majorHAnsi"/>
          <w:sz w:val="22"/>
        </w:rPr>
        <w:t>ISO 21542 provides more nuanced and contemporary circulation modelling.</w:t>
      </w:r>
    </w:p>
    <w:p w14:paraId="6EF3561B" w14:textId="77777777" w:rsidR="006C2180" w:rsidRPr="00FB4F2F" w:rsidRDefault="006C2180" w:rsidP="006C2180">
      <w:pPr>
        <w:rPr>
          <w:rFonts w:asciiTheme="majorHAnsi" w:hAnsiTheme="majorHAnsi" w:cstheme="majorHAnsi"/>
          <w:b/>
          <w:bCs/>
          <w:sz w:val="22"/>
          <w:szCs w:val="24"/>
        </w:rPr>
      </w:pPr>
      <w:r w:rsidRPr="00FB4F2F">
        <w:rPr>
          <w:rFonts w:asciiTheme="majorHAnsi" w:hAnsiTheme="majorHAnsi" w:cstheme="majorHAnsi"/>
          <w:b/>
          <w:bCs/>
          <w:sz w:val="22"/>
          <w:szCs w:val="24"/>
        </w:rPr>
        <w:t>5. Controls, fittings and operability</w:t>
      </w:r>
    </w:p>
    <w:p w14:paraId="083B4691"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NZS 4121:2001</w:t>
      </w:r>
    </w:p>
    <w:p w14:paraId="650EECC9"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Emphasis on reach ranges, mounting heights and operating force.</w:t>
      </w:r>
    </w:p>
    <w:p w14:paraId="089EB922"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Controls treated primarily as physical objects.</w:t>
      </w:r>
    </w:p>
    <w:p w14:paraId="4C310639"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ISO 21542:2021</w:t>
      </w:r>
    </w:p>
    <w:p w14:paraId="0FC88D61"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Controls treated as part of interaction systems.</w:t>
      </w:r>
    </w:p>
    <w:p w14:paraId="1BE47F75"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Requires tactile, visual and audible feedback.</w:t>
      </w:r>
    </w:p>
    <w:p w14:paraId="27FA6E57"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Key difference</w:t>
      </w:r>
    </w:p>
    <w:p w14:paraId="4D67DA58" w14:textId="77777777" w:rsidR="006C2180" w:rsidRPr="00986BF4" w:rsidRDefault="006C2180" w:rsidP="006C2180">
      <w:pPr>
        <w:rPr>
          <w:rFonts w:asciiTheme="majorHAnsi" w:hAnsiTheme="majorHAnsi" w:cstheme="majorHAnsi"/>
          <w:sz w:val="22"/>
        </w:rPr>
      </w:pPr>
      <w:r w:rsidRPr="00986BF4">
        <w:rPr>
          <w:rFonts w:asciiTheme="majorHAnsi" w:hAnsiTheme="majorHAnsi" w:cstheme="majorHAnsi"/>
          <w:sz w:val="22"/>
        </w:rPr>
        <w:t>ISO 21542 addresses usability holistically; NZS 4121 focuses on physical operability.</w:t>
      </w:r>
    </w:p>
    <w:p w14:paraId="24303A89" w14:textId="77777777" w:rsidR="006C2180" w:rsidRPr="00FB4F2F" w:rsidRDefault="006C2180" w:rsidP="006C2180">
      <w:pPr>
        <w:rPr>
          <w:rFonts w:asciiTheme="majorHAnsi" w:hAnsiTheme="majorHAnsi" w:cstheme="majorHAnsi"/>
          <w:b/>
          <w:bCs/>
          <w:sz w:val="22"/>
          <w:szCs w:val="24"/>
        </w:rPr>
      </w:pPr>
      <w:r w:rsidRPr="00FB4F2F">
        <w:rPr>
          <w:rFonts w:asciiTheme="majorHAnsi" w:hAnsiTheme="majorHAnsi" w:cstheme="majorHAnsi"/>
          <w:b/>
          <w:bCs/>
          <w:sz w:val="22"/>
          <w:szCs w:val="24"/>
        </w:rPr>
        <w:t>6. Visual contrast, lighting and signage</w:t>
      </w:r>
    </w:p>
    <w:p w14:paraId="69426811"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NZS 4121:2001</w:t>
      </w:r>
    </w:p>
    <w:p w14:paraId="339F4D43"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Requires visual contrast at key elements.</w:t>
      </w:r>
    </w:p>
    <w:p w14:paraId="0163CB33"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Limited quantitative detail.</w:t>
      </w:r>
    </w:p>
    <w:p w14:paraId="6C771E6B"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ISO 21542:2021</w:t>
      </w:r>
    </w:p>
    <w:p w14:paraId="30D6E63C"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Detailed luminance contrast values, lighting levels and signage specifications.</w:t>
      </w:r>
    </w:p>
    <w:p w14:paraId="3F4B5873"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Integrated wayfinding approach.</w:t>
      </w:r>
    </w:p>
    <w:p w14:paraId="488D06A6"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Key difference</w:t>
      </w:r>
    </w:p>
    <w:p w14:paraId="6544E418" w14:textId="77777777" w:rsidR="006C2180" w:rsidRPr="00986BF4" w:rsidRDefault="006C2180" w:rsidP="006C2180">
      <w:pPr>
        <w:rPr>
          <w:rFonts w:asciiTheme="majorHAnsi" w:hAnsiTheme="majorHAnsi" w:cstheme="majorHAnsi"/>
          <w:sz w:val="22"/>
        </w:rPr>
      </w:pPr>
      <w:r w:rsidRPr="00986BF4">
        <w:rPr>
          <w:rFonts w:asciiTheme="majorHAnsi" w:hAnsiTheme="majorHAnsi" w:cstheme="majorHAnsi"/>
          <w:sz w:val="22"/>
        </w:rPr>
        <w:t>ISO 21542 provides a comprehensive and quantified framework for visual accessibility.</w:t>
      </w:r>
    </w:p>
    <w:p w14:paraId="1EEF6C19" w14:textId="77777777" w:rsidR="006C2180" w:rsidRPr="00FB4F2F" w:rsidRDefault="006C2180" w:rsidP="006C2180">
      <w:pPr>
        <w:rPr>
          <w:rFonts w:asciiTheme="majorHAnsi" w:hAnsiTheme="majorHAnsi" w:cstheme="majorHAnsi"/>
          <w:b/>
          <w:bCs/>
          <w:sz w:val="22"/>
          <w:szCs w:val="24"/>
        </w:rPr>
      </w:pPr>
      <w:r w:rsidRPr="00FB4F2F">
        <w:rPr>
          <w:rFonts w:asciiTheme="majorHAnsi" w:hAnsiTheme="majorHAnsi" w:cstheme="majorHAnsi"/>
          <w:b/>
          <w:bCs/>
          <w:sz w:val="22"/>
          <w:szCs w:val="24"/>
        </w:rPr>
        <w:t>7. Tactile ground surface indicators</w:t>
      </w:r>
    </w:p>
    <w:p w14:paraId="6212CCD4"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NZS 4121:2001</w:t>
      </w:r>
    </w:p>
    <w:p w14:paraId="0648C161"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Recognises tactile cues but provides limited specification.</w:t>
      </w:r>
    </w:p>
    <w:p w14:paraId="302F49FB"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lastRenderedPageBreak/>
        <w:t>Treats tactile indicators as supplementary.</w:t>
      </w:r>
    </w:p>
    <w:p w14:paraId="2135EE50"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ISO 21542:2021</w:t>
      </w:r>
    </w:p>
    <w:p w14:paraId="2D043B85"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Fully integrates tactile walking surface indicators into navigation systems.</w:t>
      </w:r>
    </w:p>
    <w:p w14:paraId="166C2999"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References ISO 23599.</w:t>
      </w:r>
    </w:p>
    <w:p w14:paraId="4E84829C"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Key difference</w:t>
      </w:r>
    </w:p>
    <w:p w14:paraId="4C938512" w14:textId="77777777" w:rsidR="006C2180" w:rsidRPr="00986BF4" w:rsidRDefault="006C2180" w:rsidP="006C2180">
      <w:pPr>
        <w:rPr>
          <w:rFonts w:asciiTheme="majorHAnsi" w:hAnsiTheme="majorHAnsi" w:cstheme="majorHAnsi"/>
          <w:sz w:val="22"/>
        </w:rPr>
      </w:pPr>
      <w:r w:rsidRPr="00986BF4">
        <w:rPr>
          <w:rFonts w:asciiTheme="majorHAnsi" w:hAnsiTheme="majorHAnsi" w:cstheme="majorHAnsi"/>
          <w:sz w:val="22"/>
        </w:rPr>
        <w:t>ISO 21542 treats tactile systems as core infrastructure.</w:t>
      </w:r>
    </w:p>
    <w:p w14:paraId="5264DAAE" w14:textId="77777777" w:rsidR="006C2180" w:rsidRPr="00FB4F2F" w:rsidRDefault="006C2180" w:rsidP="006C2180">
      <w:pPr>
        <w:rPr>
          <w:rFonts w:asciiTheme="majorHAnsi" w:hAnsiTheme="majorHAnsi" w:cstheme="majorHAnsi"/>
          <w:b/>
          <w:bCs/>
          <w:sz w:val="22"/>
          <w:szCs w:val="24"/>
        </w:rPr>
      </w:pPr>
      <w:r w:rsidRPr="00FB4F2F">
        <w:rPr>
          <w:rFonts w:asciiTheme="majorHAnsi" w:hAnsiTheme="majorHAnsi" w:cstheme="majorHAnsi"/>
          <w:b/>
          <w:bCs/>
          <w:sz w:val="22"/>
          <w:szCs w:val="24"/>
        </w:rPr>
        <w:t>8. Cognitive, sensory and environmental accessibility</w:t>
      </w:r>
    </w:p>
    <w:p w14:paraId="02262892"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NZS 4121:2001</w:t>
      </w:r>
    </w:p>
    <w:p w14:paraId="0CEF16F9"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Focuses mainly on mobility, vision and hearing.</w:t>
      </w:r>
    </w:p>
    <w:p w14:paraId="4B510F32"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Cognitive accessibility largely implicit.</w:t>
      </w:r>
    </w:p>
    <w:p w14:paraId="7FC0DF98"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ISO 21542:2021</w:t>
      </w:r>
    </w:p>
    <w:p w14:paraId="254ED776"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Explicitly addresses cognitive, sensory and intellectual impairments.</w:t>
      </w:r>
    </w:p>
    <w:p w14:paraId="5CAC8C7A"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Covers acoustics, information load and wayfinding clarity.</w:t>
      </w:r>
    </w:p>
    <w:p w14:paraId="62961084"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Key difference</w:t>
      </w:r>
    </w:p>
    <w:p w14:paraId="32047CE2" w14:textId="77777777" w:rsidR="006C2180" w:rsidRPr="00986BF4" w:rsidRDefault="006C2180" w:rsidP="006C2180">
      <w:pPr>
        <w:rPr>
          <w:rFonts w:asciiTheme="majorHAnsi" w:hAnsiTheme="majorHAnsi" w:cstheme="majorHAnsi"/>
          <w:sz w:val="22"/>
        </w:rPr>
      </w:pPr>
      <w:r w:rsidRPr="00986BF4">
        <w:rPr>
          <w:rFonts w:asciiTheme="majorHAnsi" w:hAnsiTheme="majorHAnsi" w:cstheme="majorHAnsi"/>
          <w:sz w:val="22"/>
        </w:rPr>
        <w:t>ISO 21542 adopts a holistic accessibility model.</w:t>
      </w:r>
    </w:p>
    <w:p w14:paraId="7137B746" w14:textId="77777777" w:rsidR="006C2180" w:rsidRPr="00FB4F2F" w:rsidRDefault="006C2180" w:rsidP="006C2180">
      <w:pPr>
        <w:rPr>
          <w:rFonts w:asciiTheme="majorHAnsi" w:hAnsiTheme="majorHAnsi" w:cstheme="majorHAnsi"/>
          <w:b/>
          <w:bCs/>
          <w:sz w:val="22"/>
          <w:szCs w:val="24"/>
        </w:rPr>
      </w:pPr>
      <w:r w:rsidRPr="00FB4F2F">
        <w:rPr>
          <w:rFonts w:asciiTheme="majorHAnsi" w:hAnsiTheme="majorHAnsi" w:cstheme="majorHAnsi"/>
          <w:b/>
          <w:bCs/>
          <w:sz w:val="22"/>
          <w:szCs w:val="24"/>
        </w:rPr>
        <w:t>9. Currency and adaptability</w:t>
      </w:r>
    </w:p>
    <w:p w14:paraId="017EFC15"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NZS 4121:2001</w:t>
      </w:r>
    </w:p>
    <w:p w14:paraId="7F996AA5"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Published in 2001; reflects older assumptions.</w:t>
      </w:r>
    </w:p>
    <w:p w14:paraId="3B9D44E9"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Limited mechanisms for incremental updating.</w:t>
      </w:r>
    </w:p>
    <w:p w14:paraId="1B698586"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ISO 21542:2021</w:t>
      </w:r>
    </w:p>
    <w:p w14:paraId="3A342837"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Published in 2021; reflects contemporary research and practice.</w:t>
      </w:r>
    </w:p>
    <w:p w14:paraId="7DF7AB35" w14:textId="77777777" w:rsidR="006C2180" w:rsidRPr="00986BF4" w:rsidRDefault="006C2180" w:rsidP="000F03A2">
      <w:pPr>
        <w:pStyle w:val="ListParagraph"/>
        <w:numPr>
          <w:ilvl w:val="0"/>
          <w:numId w:val="59"/>
        </w:numPr>
        <w:spacing w:after="200" w:line="276" w:lineRule="auto"/>
        <w:rPr>
          <w:rFonts w:asciiTheme="majorHAnsi" w:hAnsiTheme="majorHAnsi" w:cstheme="majorHAnsi"/>
          <w:sz w:val="22"/>
        </w:rPr>
      </w:pPr>
      <w:r w:rsidRPr="00986BF4">
        <w:rPr>
          <w:rFonts w:asciiTheme="majorHAnsi" w:hAnsiTheme="majorHAnsi" w:cstheme="majorHAnsi"/>
          <w:sz w:val="22"/>
        </w:rPr>
        <w:t>Designed for ongoing adaptation.</w:t>
      </w:r>
    </w:p>
    <w:p w14:paraId="216FF94E" w14:textId="77777777" w:rsidR="006C2180" w:rsidRPr="00986BF4" w:rsidRDefault="006C2180" w:rsidP="006C2180">
      <w:pPr>
        <w:spacing w:after="0"/>
        <w:rPr>
          <w:rFonts w:asciiTheme="majorHAnsi" w:hAnsiTheme="majorHAnsi" w:cstheme="majorHAnsi"/>
          <w:sz w:val="22"/>
        </w:rPr>
      </w:pPr>
      <w:r w:rsidRPr="00986BF4">
        <w:rPr>
          <w:rFonts w:asciiTheme="majorHAnsi" w:hAnsiTheme="majorHAnsi" w:cstheme="majorHAnsi"/>
          <w:sz w:val="22"/>
        </w:rPr>
        <w:t>Key difference</w:t>
      </w:r>
    </w:p>
    <w:p w14:paraId="5FBBF249" w14:textId="77777777" w:rsidR="006C2180" w:rsidRPr="00986BF4" w:rsidRDefault="006C2180" w:rsidP="006C2180">
      <w:pPr>
        <w:rPr>
          <w:rFonts w:asciiTheme="majorHAnsi" w:hAnsiTheme="majorHAnsi" w:cstheme="majorHAnsi"/>
          <w:sz w:val="22"/>
        </w:rPr>
      </w:pPr>
      <w:r w:rsidRPr="00986BF4">
        <w:rPr>
          <w:rFonts w:asciiTheme="majorHAnsi" w:hAnsiTheme="majorHAnsi" w:cstheme="majorHAnsi"/>
          <w:sz w:val="22"/>
        </w:rPr>
        <w:t>ISO 21542 is contemporary and future-oriented; NZS 4121 is robust but dated.</w:t>
      </w:r>
    </w:p>
    <w:p w14:paraId="484AC943" w14:textId="77777777" w:rsidR="006C2180" w:rsidRPr="00FB4F2F" w:rsidRDefault="006C2180" w:rsidP="006C2180">
      <w:pPr>
        <w:rPr>
          <w:rFonts w:asciiTheme="majorHAnsi" w:hAnsiTheme="majorHAnsi" w:cstheme="majorHAnsi"/>
          <w:b/>
          <w:bCs/>
          <w:sz w:val="22"/>
          <w:szCs w:val="24"/>
        </w:rPr>
      </w:pPr>
      <w:r w:rsidRPr="00FB4F2F">
        <w:rPr>
          <w:rFonts w:asciiTheme="majorHAnsi" w:hAnsiTheme="majorHAnsi" w:cstheme="majorHAnsi"/>
          <w:b/>
          <w:bCs/>
          <w:sz w:val="22"/>
          <w:szCs w:val="24"/>
        </w:rPr>
        <w:t>Overall comparison summary</w:t>
      </w:r>
    </w:p>
    <w:p w14:paraId="7817FB02" w14:textId="77777777" w:rsidR="006C2180" w:rsidRPr="00986BF4" w:rsidRDefault="006C2180" w:rsidP="000F03A2">
      <w:pPr>
        <w:pStyle w:val="ListBullet"/>
        <w:numPr>
          <w:ilvl w:val="0"/>
          <w:numId w:val="60"/>
        </w:numPr>
        <w:spacing w:after="200" w:line="276" w:lineRule="auto"/>
        <w:rPr>
          <w:rFonts w:asciiTheme="majorHAnsi" w:hAnsiTheme="majorHAnsi" w:cstheme="majorHAnsi"/>
          <w:sz w:val="22"/>
        </w:rPr>
      </w:pPr>
      <w:r w:rsidRPr="00986BF4">
        <w:rPr>
          <w:rFonts w:asciiTheme="majorHAnsi" w:hAnsiTheme="majorHAnsi" w:cstheme="majorHAnsi"/>
          <w:sz w:val="22"/>
        </w:rPr>
        <w:t>NZS 4121:2001 is a nationally embedded, compliance-focused standard.</w:t>
      </w:r>
    </w:p>
    <w:p w14:paraId="4B057C9A" w14:textId="77777777" w:rsidR="006C2180" w:rsidRPr="00986BF4" w:rsidRDefault="006C2180" w:rsidP="000F03A2">
      <w:pPr>
        <w:pStyle w:val="ListBullet"/>
        <w:numPr>
          <w:ilvl w:val="0"/>
          <w:numId w:val="60"/>
        </w:numPr>
        <w:spacing w:after="200" w:line="276" w:lineRule="auto"/>
        <w:rPr>
          <w:rFonts w:asciiTheme="majorHAnsi" w:hAnsiTheme="majorHAnsi" w:cstheme="majorHAnsi"/>
          <w:sz w:val="22"/>
        </w:rPr>
      </w:pPr>
      <w:r w:rsidRPr="00986BF4">
        <w:rPr>
          <w:rFonts w:asciiTheme="majorHAnsi" w:hAnsiTheme="majorHAnsi" w:cstheme="majorHAnsi"/>
          <w:sz w:val="22"/>
        </w:rPr>
        <w:t>ISO 21542:2021 is an international, inclusive design framework.</w:t>
      </w:r>
    </w:p>
    <w:p w14:paraId="2C8A09F8" w14:textId="77777777" w:rsidR="006C2180" w:rsidRPr="00986BF4" w:rsidRDefault="006C2180" w:rsidP="000F03A2">
      <w:pPr>
        <w:pStyle w:val="ListBullet"/>
        <w:numPr>
          <w:ilvl w:val="0"/>
          <w:numId w:val="60"/>
        </w:numPr>
        <w:spacing w:after="200" w:line="276" w:lineRule="auto"/>
        <w:rPr>
          <w:rFonts w:asciiTheme="majorHAnsi" w:hAnsiTheme="majorHAnsi" w:cstheme="majorHAnsi"/>
          <w:sz w:val="22"/>
        </w:rPr>
      </w:pPr>
      <w:r w:rsidRPr="00986BF4">
        <w:rPr>
          <w:rFonts w:asciiTheme="majorHAnsi" w:hAnsiTheme="majorHAnsi" w:cstheme="majorHAnsi"/>
          <w:sz w:val="22"/>
        </w:rPr>
        <w:t>NZS 4121 prioritises certainty and minimum provision.</w:t>
      </w:r>
    </w:p>
    <w:p w14:paraId="46AD49C2" w14:textId="77777777" w:rsidR="006C2180" w:rsidRPr="00986BF4" w:rsidRDefault="006C2180" w:rsidP="000F03A2">
      <w:pPr>
        <w:pStyle w:val="ListBullet"/>
        <w:numPr>
          <w:ilvl w:val="0"/>
          <w:numId w:val="60"/>
        </w:numPr>
        <w:spacing w:after="200" w:line="276" w:lineRule="auto"/>
        <w:rPr>
          <w:rFonts w:asciiTheme="majorHAnsi" w:hAnsiTheme="majorHAnsi" w:cstheme="majorHAnsi"/>
          <w:sz w:val="22"/>
        </w:rPr>
      </w:pPr>
      <w:r w:rsidRPr="00986BF4">
        <w:rPr>
          <w:rFonts w:asciiTheme="majorHAnsi" w:hAnsiTheme="majorHAnsi" w:cstheme="majorHAnsi"/>
          <w:sz w:val="22"/>
        </w:rPr>
        <w:t>ISO 21542 prioritises inclusivity, usability and adaptability.</w:t>
      </w:r>
    </w:p>
    <w:p w14:paraId="00F36914" w14:textId="77777777" w:rsidR="006C2180" w:rsidRPr="00986BF4" w:rsidRDefault="006C2180" w:rsidP="000F03A2">
      <w:pPr>
        <w:pStyle w:val="ListBullet"/>
        <w:numPr>
          <w:ilvl w:val="0"/>
          <w:numId w:val="60"/>
        </w:numPr>
        <w:spacing w:after="200" w:line="276" w:lineRule="auto"/>
        <w:rPr>
          <w:rFonts w:asciiTheme="majorHAnsi" w:hAnsiTheme="majorHAnsi" w:cstheme="majorHAnsi"/>
          <w:sz w:val="22"/>
        </w:rPr>
      </w:pPr>
      <w:r w:rsidRPr="00986BF4">
        <w:rPr>
          <w:rFonts w:asciiTheme="majorHAnsi" w:hAnsiTheme="majorHAnsi" w:cstheme="majorHAnsi"/>
          <w:sz w:val="22"/>
        </w:rPr>
        <w:t>ISO 21542 addresses a broader spectrum of human abilities.</w:t>
      </w:r>
    </w:p>
    <w:p w14:paraId="1512D054" w14:textId="77777777" w:rsidR="006C2180" w:rsidRPr="00986BF4" w:rsidRDefault="006C2180" w:rsidP="000F03A2">
      <w:pPr>
        <w:pStyle w:val="ListBullet"/>
        <w:numPr>
          <w:ilvl w:val="0"/>
          <w:numId w:val="60"/>
        </w:numPr>
        <w:spacing w:after="200" w:line="276" w:lineRule="auto"/>
        <w:rPr>
          <w:rFonts w:asciiTheme="majorHAnsi" w:hAnsiTheme="majorHAnsi" w:cstheme="majorHAnsi"/>
          <w:sz w:val="22"/>
        </w:rPr>
      </w:pPr>
      <w:r w:rsidRPr="00986BF4">
        <w:rPr>
          <w:rFonts w:asciiTheme="majorHAnsi" w:hAnsiTheme="majorHAnsi" w:cstheme="majorHAnsi"/>
          <w:sz w:val="22"/>
        </w:rPr>
        <w:t>The key differences are philosophical and temporal rather than technical competence.</w:t>
      </w:r>
    </w:p>
    <w:p w14:paraId="5856FB21" w14:textId="77777777" w:rsidR="006C2180" w:rsidRPr="000C4D58" w:rsidRDefault="006C2180">
      <w:pPr>
        <w:spacing w:after="160" w:line="259" w:lineRule="auto"/>
      </w:pPr>
    </w:p>
    <w:sectPr w:rsidR="006C2180" w:rsidRPr="000C4D58" w:rsidSect="00844C99">
      <w:headerReference w:type="even" r:id="rId33"/>
      <w:headerReference w:type="default" r:id="rId34"/>
      <w:headerReference w:type="first" r:id="rId35"/>
      <w:footerReference w:type="first" r:id="rId36"/>
      <w:pgSz w:w="11906" w:h="16838"/>
      <w:pgMar w:top="1588" w:right="1588" w:bottom="1260" w:left="1588" w:header="709" w:footer="4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C7EA4" w14:textId="77777777" w:rsidR="005573AD" w:rsidRDefault="005573AD" w:rsidP="00D40DC7">
      <w:pPr>
        <w:spacing w:after="0" w:line="240" w:lineRule="auto"/>
      </w:pPr>
      <w:r>
        <w:separator/>
      </w:r>
    </w:p>
  </w:endnote>
  <w:endnote w:type="continuationSeparator" w:id="0">
    <w:p w14:paraId="26B10B8F" w14:textId="77777777" w:rsidR="005573AD" w:rsidRDefault="005573AD" w:rsidP="00D40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020307"/>
      <w:docPartObj>
        <w:docPartGallery w:val="Page Numbers (Bottom of Page)"/>
        <w:docPartUnique/>
      </w:docPartObj>
    </w:sdtPr>
    <w:sdtEndPr>
      <w:rPr>
        <w:noProof/>
      </w:rPr>
    </w:sdtEndPr>
    <w:sdtContent>
      <w:p w14:paraId="6746360C" w14:textId="09FDCEB0" w:rsidR="00711454" w:rsidRDefault="007114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087390" w14:textId="77777777" w:rsidR="00711454" w:rsidRDefault="00711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33544"/>
      <w:docPartObj>
        <w:docPartGallery w:val="Page Numbers (Bottom of Page)"/>
        <w:docPartUnique/>
      </w:docPartObj>
    </w:sdtPr>
    <w:sdtEndPr>
      <w:rPr>
        <w:noProof/>
      </w:rPr>
    </w:sdtEndPr>
    <w:sdtContent>
      <w:p w14:paraId="755A8EBB" w14:textId="015055D3" w:rsidR="00491D65" w:rsidRDefault="00491D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933AE4" w14:textId="77777777" w:rsidR="00844C99" w:rsidRPr="00F838A7" w:rsidRDefault="00844C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4FB3" w14:textId="77777777" w:rsidR="007E6A98" w:rsidRPr="00F838A7" w:rsidRDefault="007E6A98">
    <w:pPr>
      <w:pStyle w:val="Footer"/>
    </w:pPr>
  </w:p>
  <w:p w14:paraId="5D825C91" w14:textId="77777777" w:rsidR="007E6A98" w:rsidRPr="00F838A7" w:rsidRDefault="007E6A9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191633"/>
      <w:docPartObj>
        <w:docPartGallery w:val="Page Numbers (Bottom of Page)"/>
        <w:docPartUnique/>
      </w:docPartObj>
    </w:sdtPr>
    <w:sdtEndPr>
      <w:rPr>
        <w:noProof/>
      </w:rPr>
    </w:sdtEndPr>
    <w:sdtContent>
      <w:p w14:paraId="6A8084FD" w14:textId="77777777" w:rsidR="007E6A98" w:rsidRDefault="007E6A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7AC216" w14:textId="77777777" w:rsidR="007E6A98" w:rsidRPr="00F838A7" w:rsidRDefault="007E6A98" w:rsidP="00C625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4069" w14:textId="77777777" w:rsidR="007E6A98" w:rsidRPr="00F838A7" w:rsidRDefault="007E6A98" w:rsidP="00FE7D3D">
    <w:pPr>
      <w:pStyle w:val="Footer"/>
      <w:tabs>
        <w:tab w:val="left" w:pos="596"/>
        <w:tab w:val="right" w:pos="8730"/>
      </w:tabs>
      <w:rPr>
        <w:rStyle w:val="SNZBodyHeaderChar"/>
      </w:rPr>
    </w:pPr>
    <w:r w:rsidRPr="00C8355C">
      <w:rPr>
        <w:noProof/>
        <w:lang w:eastAsia="en-NZ"/>
      </w:rPr>
      <mc:AlternateContent>
        <mc:Choice Requires="wps">
          <w:drawing>
            <wp:anchor distT="0" distB="0" distL="114300" distR="114300" simplePos="0" relativeHeight="251658244" behindDoc="0" locked="0" layoutInCell="1" allowOverlap="1" wp14:anchorId="2065FD60" wp14:editId="03B61F80">
              <wp:simplePos x="0" y="0"/>
              <wp:positionH relativeFrom="column">
                <wp:posOffset>-635</wp:posOffset>
              </wp:positionH>
              <wp:positionV relativeFrom="paragraph">
                <wp:posOffset>-58475</wp:posOffset>
              </wp:positionV>
              <wp:extent cx="8586061" cy="38746"/>
              <wp:effectExtent l="0" t="0" r="24765" b="37465"/>
              <wp:wrapNone/>
              <wp:docPr id="1729617255" name="Straight Connector 1729617255"/>
              <wp:cNvGraphicFramePr/>
              <a:graphic xmlns:a="http://schemas.openxmlformats.org/drawingml/2006/main">
                <a:graphicData uri="http://schemas.microsoft.com/office/word/2010/wordprocessingShape">
                  <wps:wsp>
                    <wps:cNvCnPr/>
                    <wps:spPr>
                      <a:xfrm>
                        <a:off x="0" y="0"/>
                        <a:ext cx="8586061" cy="38746"/>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DC87D0C">
            <v:line id="Straight Connector 1729617255"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from="-.05pt,-4.6pt" to="676pt,-1.55pt" w14:anchorId="3C14CC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"/>
          </w:pict>
        </mc:Fallback>
      </mc:AlternateContent>
    </w:r>
    <w:r w:rsidRPr="00F838A7">
      <w:rPr>
        <w:b/>
        <w:bCs/>
      </w:rPr>
      <w:t>NZS 4303:1990 Scoping exercise</w:t>
    </w:r>
    <w:sdt>
      <w:sdtPr>
        <w:id w:val="1744379843"/>
        <w:docPartObj>
          <w:docPartGallery w:val="Page Numbers (Bottom of Page)"/>
          <w:docPartUnique/>
        </w:docPartObj>
      </w:sdtPr>
      <w:sdtEndPr>
        <w:rPr>
          <w:rStyle w:val="SNZBodyHeaderChar"/>
          <w:b/>
        </w:rPr>
      </w:sdtEndPr>
      <w:sdtContent>
        <w:r w:rsidRPr="00F838A7">
          <w:tab/>
        </w:r>
        <w:r w:rsidRPr="00F838A7">
          <w:tab/>
        </w:r>
        <w:r w:rsidRPr="00F838A7">
          <w:tab/>
        </w:r>
        <w:r w:rsidRPr="00F838A7">
          <w:tab/>
        </w:r>
        <w:r w:rsidRPr="00F838A7">
          <w:tab/>
        </w:r>
        <w:r w:rsidRPr="00F838A7">
          <w:tab/>
        </w:r>
        <w:r w:rsidRPr="00F838A7">
          <w:tab/>
        </w:r>
        <w:r w:rsidRPr="00F838A7">
          <w:tab/>
        </w:r>
        <w:r w:rsidRPr="00F838A7">
          <w:tab/>
        </w:r>
        <w:r w:rsidRPr="00F838A7">
          <w:rPr>
            <w:rStyle w:val="SNZBodyHeaderChar"/>
          </w:rPr>
          <w:fldChar w:fldCharType="begin"/>
        </w:r>
        <w:r w:rsidRPr="00F838A7">
          <w:rPr>
            <w:rStyle w:val="SNZBodyHeaderChar"/>
          </w:rPr>
          <w:instrText xml:space="preserve"> PAGE   \* MERGEFORMAT </w:instrText>
        </w:r>
        <w:r w:rsidRPr="00F838A7">
          <w:rPr>
            <w:rStyle w:val="SNZBodyHeaderChar"/>
          </w:rPr>
          <w:fldChar w:fldCharType="separate"/>
        </w:r>
        <w:r w:rsidRPr="00F838A7">
          <w:rPr>
            <w:rStyle w:val="SNZBodyHeaderChar"/>
          </w:rPr>
          <w:t>10</w:t>
        </w:r>
        <w:r w:rsidRPr="00F838A7">
          <w:rPr>
            <w:rStyle w:val="SNZBodyHeaderChar"/>
          </w:rPr>
          <w:fldChar w:fldCharType="end"/>
        </w:r>
      </w:sdtContent>
    </w:sdt>
  </w:p>
  <w:p w14:paraId="1B73F5C1" w14:textId="77777777" w:rsidR="007E6A98" w:rsidRPr="00F838A7" w:rsidRDefault="007E6A9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5B83" w14:textId="1DD44E07" w:rsidR="00FE7D3D" w:rsidRPr="00FF5DE2" w:rsidRDefault="00FE7D3D" w:rsidP="00FE7D3D">
    <w:pPr>
      <w:pStyle w:val="Footer"/>
      <w:tabs>
        <w:tab w:val="left" w:pos="596"/>
        <w:tab w:val="right" w:pos="8730"/>
      </w:tabs>
      <w:rPr>
        <w:rStyle w:val="SNZBodyHeaderChar"/>
      </w:rPr>
    </w:pPr>
    <w:r>
      <w:rPr>
        <w:noProof/>
        <w:lang w:eastAsia="en-NZ"/>
      </w:rPr>
      <mc:AlternateContent>
        <mc:Choice Requires="wps">
          <w:drawing>
            <wp:anchor distT="0" distB="0" distL="114300" distR="114300" simplePos="0" relativeHeight="251658240" behindDoc="0" locked="0" layoutInCell="1" allowOverlap="1" wp14:anchorId="42E433B3" wp14:editId="47A04061">
              <wp:simplePos x="0" y="0"/>
              <wp:positionH relativeFrom="column">
                <wp:posOffset>0</wp:posOffset>
              </wp:positionH>
              <wp:positionV relativeFrom="paragraph">
                <wp:posOffset>-635</wp:posOffset>
              </wp:positionV>
              <wp:extent cx="5579745" cy="0"/>
              <wp:effectExtent l="0" t="0" r="20955" b="19050"/>
              <wp:wrapNone/>
              <wp:docPr id="694661428" name="Straight Connector 694661428"/>
              <wp:cNvGraphicFramePr/>
              <a:graphic xmlns:a="http://schemas.openxmlformats.org/drawingml/2006/main">
                <a:graphicData uri="http://schemas.microsoft.com/office/word/2010/wordprocessingShape">
                  <wps:wsp>
                    <wps:cNvCnPr/>
                    <wps:spPr>
                      <a:xfrm>
                        <a:off x="0" y="0"/>
                        <a:ext cx="55797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077D35C7">
            <v:line id="Straight Connector 694661428" style="position:absolute;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5pt" from="0,-.05pt" to="439.35pt,-.05pt" w14:anchorId="388F7E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">
              <v:stroke joinstyle="miter"/>
            </v:line>
          </w:pict>
        </mc:Fallback>
      </mc:AlternateContent>
    </w:r>
    <w:r w:rsidRPr="00B66E81">
      <w:rPr>
        <w:b/>
        <w:bCs/>
      </w:rPr>
      <w:t>NZS 4303:1990 Scoping exercise</w:t>
    </w:r>
    <w:sdt>
      <w:sdtPr>
        <w:id w:val="226971465"/>
        <w:docPartObj>
          <w:docPartGallery w:val="Page Numbers (Bottom of Page)"/>
          <w:docPartUnique/>
        </w:docPartObj>
      </w:sdtPr>
      <w:sdtEndPr>
        <w:rPr>
          <w:rStyle w:val="SNZBodyHeaderChar"/>
          <w:b/>
        </w:rPr>
      </w:sdtEndPr>
      <w:sdtContent>
        <w:r>
          <w:tab/>
        </w:r>
        <w:r>
          <w:tab/>
        </w:r>
        <w:r w:rsidRPr="00FF5DE2">
          <w:rPr>
            <w:rStyle w:val="SNZBodyHeaderChar"/>
          </w:rPr>
          <w:fldChar w:fldCharType="begin"/>
        </w:r>
        <w:r w:rsidRPr="00FF5DE2">
          <w:rPr>
            <w:rStyle w:val="SNZBodyHeaderChar"/>
          </w:rPr>
          <w:instrText xml:space="preserve"> PAGE   \* MERGEFORMAT </w:instrText>
        </w:r>
        <w:r w:rsidRPr="00FF5DE2">
          <w:rPr>
            <w:rStyle w:val="SNZBodyHeaderChar"/>
          </w:rPr>
          <w:fldChar w:fldCharType="separate"/>
        </w:r>
        <w:r>
          <w:rPr>
            <w:rStyle w:val="SNZBodyHeaderChar"/>
          </w:rPr>
          <w:t>10</w:t>
        </w:r>
        <w:r w:rsidRPr="00FF5DE2">
          <w:rPr>
            <w:rStyle w:val="SNZBodyHeaderChar"/>
          </w:rPr>
          <w:fldChar w:fldCharType="end"/>
        </w:r>
      </w:sdtContent>
    </w:sdt>
  </w:p>
  <w:p w14:paraId="413FAD32" w14:textId="77777777" w:rsidR="00FE7D3D" w:rsidRDefault="00FE7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C2001" w14:textId="77777777" w:rsidR="005573AD" w:rsidRDefault="005573AD" w:rsidP="00D40DC7">
      <w:pPr>
        <w:spacing w:after="0" w:line="240" w:lineRule="auto"/>
      </w:pPr>
      <w:r>
        <w:separator/>
      </w:r>
    </w:p>
  </w:footnote>
  <w:footnote w:type="continuationSeparator" w:id="0">
    <w:p w14:paraId="34AC8CBF" w14:textId="77777777" w:rsidR="005573AD" w:rsidRDefault="005573AD" w:rsidP="00D40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ED371" w14:textId="698BF587" w:rsidR="00844C99" w:rsidRPr="00F838A7" w:rsidRDefault="006322D3">
    <w:pPr>
      <w:pStyle w:val="Header"/>
    </w:pPr>
    <w:r>
      <w:rPr>
        <w:noProof/>
      </w:rPr>
      <mc:AlternateContent>
        <mc:Choice Requires="wps">
          <w:drawing>
            <wp:anchor distT="0" distB="0" distL="0" distR="0" simplePos="0" relativeHeight="251658255" behindDoc="0" locked="0" layoutInCell="1" allowOverlap="1" wp14:anchorId="49657B30" wp14:editId="13005CDD">
              <wp:simplePos x="635" y="635"/>
              <wp:positionH relativeFrom="page">
                <wp:align>center</wp:align>
              </wp:positionH>
              <wp:positionV relativeFrom="page">
                <wp:align>top</wp:align>
              </wp:positionV>
              <wp:extent cx="904875" cy="390525"/>
              <wp:effectExtent l="0" t="0" r="9525" b="9525"/>
              <wp:wrapNone/>
              <wp:docPr id="135813250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52093E4D" w14:textId="47A7FF77"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657B30" id="_x0000_t202" coordsize="21600,21600" o:spt="202" path="m,l,21600r21600,l21600,xe">
              <v:stroke joinstyle="miter"/>
              <v:path gradientshapeok="t" o:connecttype="rect"/>
            </v:shapetype>
            <v:shape id="_x0000_s1027" type="#_x0000_t202" alt="IN-CONFIDENCE" style="position:absolute;margin-left:0;margin-top:0;width:71.25pt;height:30.75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" filled="f" stroked="f">
              <v:textbox style="mso-fit-shape-to-text:t" inset="0,15pt,0,0">
                <w:txbxContent>
                  <w:p w14:paraId="52093E4D" w14:textId="47A7FF77"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53E71" w14:textId="1B48C18C" w:rsidR="00025392" w:rsidRDefault="006322D3">
    <w:pPr>
      <w:pStyle w:val="Header"/>
    </w:pPr>
    <w:r>
      <w:rPr>
        <w:noProof/>
      </w:rPr>
      <mc:AlternateContent>
        <mc:Choice Requires="wps">
          <w:drawing>
            <wp:anchor distT="0" distB="0" distL="0" distR="0" simplePos="0" relativeHeight="251658264" behindDoc="0" locked="0" layoutInCell="1" allowOverlap="1" wp14:anchorId="5135EAA8" wp14:editId="4EE99A97">
              <wp:simplePos x="635" y="635"/>
              <wp:positionH relativeFrom="page">
                <wp:align>center</wp:align>
              </wp:positionH>
              <wp:positionV relativeFrom="page">
                <wp:align>top</wp:align>
              </wp:positionV>
              <wp:extent cx="904875" cy="390525"/>
              <wp:effectExtent l="0" t="0" r="9525" b="9525"/>
              <wp:wrapNone/>
              <wp:docPr id="665942432" name="Text Box 1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75925909" w14:textId="0A6E9227"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35EAA8" id="_x0000_t202" coordsize="21600,21600" o:spt="202" path="m,l,21600r21600,l21600,xe">
              <v:stroke joinstyle="miter"/>
              <v:path gradientshapeok="t" o:connecttype="rect"/>
            </v:shapetype>
            <v:shape id="Text Box 11" o:spid="_x0000_s1036" type="#_x0000_t202" alt="IN-CONFIDENCE" style="position:absolute;margin-left:0;margin-top:0;width:71.25pt;height:30.75pt;z-index:251658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" filled="f" stroked="f">
              <v:textbox style="mso-fit-shape-to-text:t" inset="0,15pt,0,0">
                <w:txbxContent>
                  <w:p w14:paraId="75925909" w14:textId="0A6E9227"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9ED2" w14:textId="0BF82936" w:rsidR="00025392" w:rsidRDefault="006322D3">
    <w:pPr>
      <w:pStyle w:val="Header"/>
    </w:pPr>
    <w:r>
      <w:rPr>
        <w:noProof/>
      </w:rPr>
      <mc:AlternateContent>
        <mc:Choice Requires="wps">
          <w:drawing>
            <wp:anchor distT="0" distB="0" distL="0" distR="0" simplePos="0" relativeHeight="251658265" behindDoc="0" locked="0" layoutInCell="1" allowOverlap="1" wp14:anchorId="4A51BD48" wp14:editId="36EB9AC2">
              <wp:simplePos x="635" y="635"/>
              <wp:positionH relativeFrom="page">
                <wp:align>center</wp:align>
              </wp:positionH>
              <wp:positionV relativeFrom="page">
                <wp:align>top</wp:align>
              </wp:positionV>
              <wp:extent cx="904875" cy="390525"/>
              <wp:effectExtent l="0" t="0" r="9525" b="9525"/>
              <wp:wrapNone/>
              <wp:docPr id="1544422898" name="Text Box 1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23978FC2" w14:textId="0872CB3D"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51BD48" id="_x0000_t202" coordsize="21600,21600" o:spt="202" path="m,l,21600r21600,l21600,xe">
              <v:stroke joinstyle="miter"/>
              <v:path gradientshapeok="t" o:connecttype="rect"/>
            </v:shapetype>
            <v:shape id="Text Box 12" o:spid="_x0000_s1037" type="#_x0000_t202" alt="IN-CONFIDENCE" style="position:absolute;margin-left:0;margin-top:0;width:71.25pt;height:30.75pt;z-index:2516582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" filled="f" stroked="f">
              <v:textbox style="mso-fit-shape-to-text:t" inset="0,15pt,0,0">
                <w:txbxContent>
                  <w:p w14:paraId="23978FC2" w14:textId="0872CB3D"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801D" w14:textId="169C850A" w:rsidR="008E1491" w:rsidRDefault="006322D3" w:rsidP="008E1491">
    <w:pPr>
      <w:pStyle w:val="SNZBodyHeader"/>
      <w:ind w:right="2340"/>
    </w:pPr>
    <w:r>
      <w:rPr>
        <w:noProof/>
        <w:lang w:eastAsia="en-NZ"/>
      </w:rPr>
      <mc:AlternateContent>
        <mc:Choice Requires="wps">
          <w:drawing>
            <wp:anchor distT="0" distB="0" distL="0" distR="0" simplePos="0" relativeHeight="251658263" behindDoc="0" locked="0" layoutInCell="1" allowOverlap="1" wp14:anchorId="0DA87C78" wp14:editId="51AC2A78">
              <wp:simplePos x="635" y="635"/>
              <wp:positionH relativeFrom="page">
                <wp:align>center</wp:align>
              </wp:positionH>
              <wp:positionV relativeFrom="page">
                <wp:align>top</wp:align>
              </wp:positionV>
              <wp:extent cx="904875" cy="390525"/>
              <wp:effectExtent l="0" t="0" r="9525" b="9525"/>
              <wp:wrapNone/>
              <wp:docPr id="457249075" name="Text Box 10"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2459BB78" w14:textId="21799DEC"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A87C78" id="_x0000_t202" coordsize="21600,21600" o:spt="202" path="m,l,21600r21600,l21600,xe">
              <v:stroke joinstyle="miter"/>
              <v:path gradientshapeok="t" o:connecttype="rect"/>
            </v:shapetype>
            <v:shape id="Text Box 10" o:spid="_x0000_s1038" type="#_x0000_t202" alt="IN-CONFIDENCE" style="position:absolute;margin-left:0;margin-top:0;width:71.25pt;height:30.75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" filled="f" stroked="f">
              <v:textbox style="mso-fit-shape-to-text:t" inset="0,15pt,0,0">
                <w:txbxContent>
                  <w:p w14:paraId="2459BB78" w14:textId="21799DEC"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r w:rsidR="008E1491">
      <w:rPr>
        <w:noProof/>
        <w:lang w:eastAsia="en-NZ"/>
      </w:rPr>
      <mc:AlternateContent>
        <mc:Choice Requires="wps">
          <w:drawing>
            <wp:anchor distT="0" distB="0" distL="114300" distR="114300" simplePos="0" relativeHeight="251658241" behindDoc="0" locked="0" layoutInCell="1" allowOverlap="1" wp14:anchorId="3DCD0A9A" wp14:editId="3D083479">
              <wp:simplePos x="0" y="0"/>
              <wp:positionH relativeFrom="column">
                <wp:posOffset>0</wp:posOffset>
              </wp:positionH>
              <wp:positionV relativeFrom="paragraph">
                <wp:posOffset>211400</wp:posOffset>
              </wp:positionV>
              <wp:extent cx="5579745" cy="0"/>
              <wp:effectExtent l="0" t="0" r="20955" b="19050"/>
              <wp:wrapNone/>
              <wp:docPr id="1314750696" name="Straight Connector 1314750696"/>
              <wp:cNvGraphicFramePr/>
              <a:graphic xmlns:a="http://schemas.openxmlformats.org/drawingml/2006/main">
                <a:graphicData uri="http://schemas.microsoft.com/office/word/2010/wordprocessingShape">
                  <wps:wsp>
                    <wps:cNvCnPr/>
                    <wps:spPr>
                      <a:xfrm>
                        <a:off x="0" y="0"/>
                        <a:ext cx="55797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53B98483">
            <v:line id="Straight Connector 131475069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5pt" from="0,16.65pt" to="439.35pt,16.65pt" w14:anchorId="182E88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">
              <v:stroke joinstyle="miter"/>
            </v:line>
          </w:pict>
        </mc:Fallback>
      </mc:AlternateContent>
    </w:r>
    <w:r w:rsidR="008E1491">
      <w:t>Standards New Zealand</w:t>
    </w:r>
  </w:p>
  <w:p w14:paraId="5D55A137" w14:textId="77777777" w:rsidR="008E1491" w:rsidRDefault="008E1491">
    <w:pPr>
      <w:pStyle w:val="Header"/>
    </w:pPr>
  </w:p>
  <w:p w14:paraId="39169C2A" w14:textId="77777777" w:rsidR="008E1491" w:rsidRDefault="008E14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C206" w14:textId="39573461" w:rsidR="00844C99" w:rsidRPr="00F838A7" w:rsidRDefault="006322D3">
    <w:pPr>
      <w:pStyle w:val="Header"/>
    </w:pPr>
    <w:r>
      <w:rPr>
        <w:noProof/>
      </w:rPr>
      <mc:AlternateContent>
        <mc:Choice Requires="wps">
          <w:drawing>
            <wp:anchor distT="0" distB="0" distL="0" distR="0" simplePos="0" relativeHeight="251658256" behindDoc="0" locked="0" layoutInCell="1" allowOverlap="1" wp14:anchorId="4D100326" wp14:editId="6D8DA869">
              <wp:simplePos x="635" y="635"/>
              <wp:positionH relativeFrom="page">
                <wp:align>center</wp:align>
              </wp:positionH>
              <wp:positionV relativeFrom="page">
                <wp:align>top</wp:align>
              </wp:positionV>
              <wp:extent cx="904875" cy="390525"/>
              <wp:effectExtent l="0" t="0" r="9525" b="9525"/>
              <wp:wrapNone/>
              <wp:docPr id="1023367171"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008FC266" w14:textId="26217B8D"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100326" id="_x0000_t202" coordsize="21600,21600" o:spt="202" path="m,l,21600r21600,l21600,xe">
              <v:stroke joinstyle="miter"/>
              <v:path gradientshapeok="t" o:connecttype="rect"/>
            </v:shapetype>
            <v:shape id="Text Box 3" o:spid="_x0000_s1028" type="#_x0000_t202" alt="IN-CONFIDENCE" style="position:absolute;margin-left:0;margin-top:0;width:71.25pt;height:30.75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" filled="f" stroked="f">
              <v:textbox style="mso-fit-shape-to-text:t" inset="0,15pt,0,0">
                <w:txbxContent>
                  <w:p w14:paraId="008FC266" w14:textId="26217B8D"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8287" w14:textId="20C61121" w:rsidR="00844C99" w:rsidRPr="00F838A7" w:rsidRDefault="006322D3">
    <w:pPr>
      <w:pStyle w:val="Header"/>
    </w:pPr>
    <w:r>
      <w:rPr>
        <w:noProof/>
      </w:rPr>
      <mc:AlternateContent>
        <mc:Choice Requires="wps">
          <w:drawing>
            <wp:anchor distT="0" distB="0" distL="0" distR="0" simplePos="0" relativeHeight="251658254" behindDoc="0" locked="0" layoutInCell="1" allowOverlap="1" wp14:anchorId="4DA7BE05" wp14:editId="658BC535">
              <wp:simplePos x="635" y="635"/>
              <wp:positionH relativeFrom="page">
                <wp:align>center</wp:align>
              </wp:positionH>
              <wp:positionV relativeFrom="page">
                <wp:align>top</wp:align>
              </wp:positionV>
              <wp:extent cx="904875" cy="390525"/>
              <wp:effectExtent l="0" t="0" r="9525" b="9525"/>
              <wp:wrapNone/>
              <wp:docPr id="1117168513"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23293C91" w14:textId="00054745"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A7BE05" id="_x0000_t202" coordsize="21600,21600" o:spt="202" path="m,l,21600r21600,l21600,xe">
              <v:stroke joinstyle="miter"/>
              <v:path gradientshapeok="t" o:connecttype="rect"/>
            </v:shapetype>
            <v:shape id="Text Box 1" o:spid="_x0000_s1029" type="#_x0000_t202" alt="IN-CONFIDENCE" style="position:absolute;margin-left:0;margin-top:0;width:71.25pt;height:30.7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" filled="f" stroked="f">
              <v:textbox style="mso-fit-shape-to-text:t" inset="0,15pt,0,0">
                <w:txbxContent>
                  <w:p w14:paraId="23293C91" w14:textId="00054745"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B735" w14:textId="35ECEED2" w:rsidR="007E6A98" w:rsidRPr="00F838A7" w:rsidRDefault="006322D3">
    <w:pPr>
      <w:pStyle w:val="Header"/>
    </w:pPr>
    <w:r>
      <w:rPr>
        <w:noProof/>
      </w:rPr>
      <mc:AlternateContent>
        <mc:Choice Requires="wps">
          <w:drawing>
            <wp:anchor distT="0" distB="0" distL="0" distR="0" simplePos="0" relativeHeight="251658258" behindDoc="0" locked="0" layoutInCell="1" allowOverlap="1" wp14:anchorId="10E9155E" wp14:editId="2AFC0561">
              <wp:simplePos x="635" y="635"/>
              <wp:positionH relativeFrom="page">
                <wp:align>center</wp:align>
              </wp:positionH>
              <wp:positionV relativeFrom="page">
                <wp:align>top</wp:align>
              </wp:positionV>
              <wp:extent cx="904875" cy="390525"/>
              <wp:effectExtent l="0" t="0" r="9525" b="9525"/>
              <wp:wrapNone/>
              <wp:docPr id="87137635" name="Text Box 5"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4475A5A1" w14:textId="705FEC60"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E9155E" id="_x0000_t202" coordsize="21600,21600" o:spt="202" path="m,l,21600r21600,l21600,xe">
              <v:stroke joinstyle="miter"/>
              <v:path gradientshapeok="t" o:connecttype="rect"/>
            </v:shapetype>
            <v:shape id="Text Box 5" o:spid="_x0000_s1030" type="#_x0000_t202" alt="IN-CONFIDENCE" style="position:absolute;margin-left:0;margin-top:0;width:71.25pt;height:30.75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" filled="f" stroked="f">
              <v:textbox style="mso-fit-shape-to-text:t" inset="0,15pt,0,0">
                <w:txbxContent>
                  <w:p w14:paraId="4475A5A1" w14:textId="705FEC60"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4A76F" w14:textId="5D92BB8A" w:rsidR="007E6A98" w:rsidRPr="00F838A7" w:rsidRDefault="006322D3" w:rsidP="00FF5DE2">
    <w:pPr>
      <w:pStyle w:val="SNZBodyHeader"/>
    </w:pPr>
    <w:r>
      <w:rPr>
        <w:noProof/>
      </w:rPr>
      <mc:AlternateContent>
        <mc:Choice Requires="wps">
          <w:drawing>
            <wp:anchor distT="0" distB="0" distL="0" distR="0" simplePos="0" relativeHeight="251658259" behindDoc="0" locked="0" layoutInCell="1" allowOverlap="1" wp14:anchorId="479E0171" wp14:editId="464F625A">
              <wp:simplePos x="635" y="635"/>
              <wp:positionH relativeFrom="page">
                <wp:align>center</wp:align>
              </wp:positionH>
              <wp:positionV relativeFrom="page">
                <wp:align>top</wp:align>
              </wp:positionV>
              <wp:extent cx="904875" cy="390525"/>
              <wp:effectExtent l="0" t="0" r="9525" b="9525"/>
              <wp:wrapNone/>
              <wp:docPr id="581843449" name="Text Box 6"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6448DC38" w14:textId="5A35356C"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9E0171" id="_x0000_t202" coordsize="21600,21600" o:spt="202" path="m,l,21600r21600,l21600,xe">
              <v:stroke joinstyle="miter"/>
              <v:path gradientshapeok="t" o:connecttype="rect"/>
            </v:shapetype>
            <v:shape id="Text Box 6" o:spid="_x0000_s1031" type="#_x0000_t202" alt="IN-CONFIDENCE" style="position:absolute;margin-left:0;margin-top:0;width:71.25pt;height:30.75pt;z-index:25165825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" filled="f" stroked="f">
              <v:textbox style="mso-fit-shape-to-text:t" inset="0,15pt,0,0">
                <w:txbxContent>
                  <w:p w14:paraId="6448DC38" w14:textId="5A35356C"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r w:rsidR="007E6A98" w:rsidRPr="00C8355C">
      <w:rPr>
        <w:noProof/>
        <w:lang w:eastAsia="en-NZ"/>
      </w:rPr>
      <mc:AlternateContent>
        <mc:Choice Requires="wps">
          <w:drawing>
            <wp:anchor distT="0" distB="0" distL="114300" distR="114300" simplePos="0" relativeHeight="251658242" behindDoc="0" locked="0" layoutInCell="1" allowOverlap="1" wp14:anchorId="5F95EFFF" wp14:editId="1624E43A">
              <wp:simplePos x="0" y="0"/>
              <wp:positionH relativeFrom="column">
                <wp:posOffset>6985</wp:posOffset>
              </wp:positionH>
              <wp:positionV relativeFrom="paragraph">
                <wp:posOffset>224422</wp:posOffset>
              </wp:positionV>
              <wp:extent cx="5579745" cy="0"/>
              <wp:effectExtent l="0" t="0" r="20955" b="19050"/>
              <wp:wrapNone/>
              <wp:docPr id="5" name="Straight Connector 5"/>
              <wp:cNvGraphicFramePr/>
              <a:graphic xmlns:a="http://schemas.openxmlformats.org/drawingml/2006/main">
                <a:graphicData uri="http://schemas.microsoft.com/office/word/2010/wordprocessingShape">
                  <wps:wsp>
                    <wps:cNvCnPr/>
                    <wps:spPr>
                      <a:xfrm>
                        <a:off x="0" y="0"/>
                        <a:ext cx="557974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a="http://schemas.openxmlformats.org/drawingml/2006/main">
          <w:pict w14:anchorId="5CA3B676">
            <v:line id="Straight Connector 5"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from=".55pt,17.65pt" to="439.9pt,17.65pt" w14:anchorId="414F4B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"/>
          </w:pict>
        </mc:Fallback>
      </mc:AlternateContent>
    </w:r>
    <w:r w:rsidR="007E6A98" w:rsidRPr="00F838A7">
      <w:t>Standards New Zealand</w:t>
    </w:r>
  </w:p>
  <w:p w14:paraId="32C837FC" w14:textId="77777777" w:rsidR="007E6A98" w:rsidRPr="00F838A7" w:rsidRDefault="007E6A98">
    <w:pPr>
      <w:pStyle w:val="Header"/>
    </w:pPr>
  </w:p>
  <w:p w14:paraId="46189ADC" w14:textId="77777777" w:rsidR="007E6A98" w:rsidRPr="00F838A7" w:rsidRDefault="007E6A9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9"/>
      <w:gridCol w:w="5622"/>
    </w:tblGrid>
    <w:tr w:rsidR="007E6A98" w:rsidRPr="00F838A7" w14:paraId="73E04708" w14:textId="77777777" w:rsidTr="00A44D43">
      <w:tc>
        <w:tcPr>
          <w:tcW w:w="3729" w:type="dxa"/>
        </w:tcPr>
        <w:p w14:paraId="4D840E55" w14:textId="2A390608" w:rsidR="007E6A98" w:rsidRPr="00F838A7" w:rsidRDefault="006322D3" w:rsidP="00A44D43">
          <w:pPr>
            <w:pStyle w:val="Footer"/>
            <w:rPr>
              <w:rFonts w:cstheme="minorHAnsi"/>
              <w:sz w:val="18"/>
              <w:szCs w:val="18"/>
              <w:highlight w:val="yellow"/>
            </w:rPr>
          </w:pPr>
          <w:r>
            <w:rPr>
              <w:rFonts w:cstheme="minorHAnsi"/>
              <w:noProof/>
              <w:sz w:val="18"/>
              <w:szCs w:val="18"/>
            </w:rPr>
            <mc:AlternateContent>
              <mc:Choice Requires="wps">
                <w:drawing>
                  <wp:anchor distT="0" distB="0" distL="0" distR="0" simplePos="0" relativeHeight="251658257" behindDoc="0" locked="0" layoutInCell="1" allowOverlap="1" wp14:anchorId="68A917AD" wp14:editId="1B0B4BB1">
                    <wp:simplePos x="635" y="635"/>
                    <wp:positionH relativeFrom="page">
                      <wp:align>center</wp:align>
                    </wp:positionH>
                    <wp:positionV relativeFrom="page">
                      <wp:align>top</wp:align>
                    </wp:positionV>
                    <wp:extent cx="904875" cy="390525"/>
                    <wp:effectExtent l="0" t="0" r="9525" b="9525"/>
                    <wp:wrapNone/>
                    <wp:docPr id="867337434"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6F4AFA6F" w14:textId="2A7664F1"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A917AD" id="_x0000_t202" coordsize="21600,21600" o:spt="202" path="m,l,21600r21600,l21600,xe">
                    <v:stroke joinstyle="miter"/>
                    <v:path gradientshapeok="t" o:connecttype="rect"/>
                  </v:shapetype>
                  <v:shape id="Text Box 4" o:spid="_x0000_s1032" type="#_x0000_t202" alt="IN-CONFIDENCE" style="position:absolute;margin-left:0;margin-top:0;width:71.25pt;height:30.75pt;z-index:2516582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" filled="f" stroked="f">
                    <v:textbox style="mso-fit-shape-to-text:t" inset="0,15pt,0,0">
                      <w:txbxContent>
                        <w:p w14:paraId="6F4AFA6F" w14:textId="2A7664F1"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p>
      </w:tc>
      <w:tc>
        <w:tcPr>
          <w:tcW w:w="5622" w:type="dxa"/>
        </w:tcPr>
        <w:p w14:paraId="5E26AB5E" w14:textId="77777777" w:rsidR="007E6A98" w:rsidRPr="00F838A7" w:rsidRDefault="007E6A98" w:rsidP="00A44D43">
          <w:pPr>
            <w:pStyle w:val="Footer"/>
            <w:jc w:val="right"/>
            <w:rPr>
              <w:rFonts w:cstheme="minorHAnsi"/>
              <w:b/>
              <w:bCs/>
              <w:sz w:val="18"/>
              <w:szCs w:val="18"/>
              <w:highlight w:val="yellow"/>
            </w:rPr>
          </w:pPr>
        </w:p>
        <w:p w14:paraId="0C8922D9" w14:textId="77777777" w:rsidR="007E6A98" w:rsidRPr="00F838A7" w:rsidRDefault="007E6A98" w:rsidP="00A44D43">
          <w:pPr>
            <w:pStyle w:val="Footer"/>
            <w:jc w:val="right"/>
            <w:rPr>
              <w:rFonts w:cstheme="minorHAnsi"/>
              <w:b/>
              <w:bCs/>
              <w:sz w:val="18"/>
              <w:szCs w:val="18"/>
              <w:highlight w:val="yellow"/>
            </w:rPr>
          </w:pPr>
        </w:p>
        <w:p w14:paraId="040A8F51" w14:textId="77777777" w:rsidR="007E6A98" w:rsidRPr="00F838A7" w:rsidRDefault="007E6A98" w:rsidP="00A44D43">
          <w:pPr>
            <w:pStyle w:val="Footer"/>
            <w:jc w:val="right"/>
            <w:rPr>
              <w:rFonts w:cstheme="minorHAnsi"/>
              <w:b/>
              <w:bCs/>
              <w:sz w:val="18"/>
              <w:szCs w:val="18"/>
              <w:highlight w:val="yellow"/>
            </w:rPr>
          </w:pPr>
        </w:p>
        <w:p w14:paraId="2428B78C" w14:textId="77777777" w:rsidR="007E6A98" w:rsidRPr="00F838A7" w:rsidRDefault="007E6A98" w:rsidP="00A44D43">
          <w:pPr>
            <w:pStyle w:val="Footer"/>
            <w:jc w:val="right"/>
            <w:rPr>
              <w:rFonts w:cstheme="minorHAnsi"/>
              <w:b/>
              <w:bCs/>
              <w:sz w:val="18"/>
              <w:szCs w:val="18"/>
              <w:highlight w:val="yellow"/>
            </w:rPr>
          </w:pPr>
        </w:p>
        <w:p w14:paraId="49163446" w14:textId="77777777" w:rsidR="007E6A98" w:rsidRPr="00F838A7" w:rsidRDefault="007E6A98" w:rsidP="00A44D43">
          <w:pPr>
            <w:pStyle w:val="Footer"/>
            <w:jc w:val="right"/>
            <w:rPr>
              <w:rFonts w:cstheme="minorHAnsi"/>
              <w:sz w:val="18"/>
              <w:szCs w:val="18"/>
              <w:highlight w:val="yellow"/>
            </w:rPr>
          </w:pPr>
        </w:p>
      </w:tc>
    </w:tr>
  </w:tbl>
  <w:p w14:paraId="7E11E36E" w14:textId="61813C23" w:rsidR="007E6A98" w:rsidRPr="00F838A7" w:rsidRDefault="007E6A98" w:rsidP="00B66E81">
    <w:pPr>
      <w:pStyle w:val="SNZBodyHeader"/>
    </w:pPr>
    <w:r w:rsidRPr="00C8355C">
      <w:rPr>
        <w:noProof/>
        <w:lang w:eastAsia="en-NZ"/>
      </w:rPr>
      <mc:AlternateContent>
        <mc:Choice Requires="wps">
          <w:drawing>
            <wp:anchor distT="0" distB="0" distL="114300" distR="114300" simplePos="0" relativeHeight="251658243" behindDoc="0" locked="0" layoutInCell="1" allowOverlap="1" wp14:anchorId="75A94249" wp14:editId="7960E1E1">
              <wp:simplePos x="0" y="0"/>
              <wp:positionH relativeFrom="column">
                <wp:posOffset>8707</wp:posOffset>
              </wp:positionH>
              <wp:positionV relativeFrom="paragraph">
                <wp:posOffset>224583</wp:posOffset>
              </wp:positionV>
              <wp:extent cx="8830183" cy="0"/>
              <wp:effectExtent l="0" t="0" r="0" b="0"/>
              <wp:wrapNone/>
              <wp:docPr id="242527758" name="Straight Connector 242527758"/>
              <wp:cNvGraphicFramePr/>
              <a:graphic xmlns:a="http://schemas.openxmlformats.org/drawingml/2006/main">
                <a:graphicData uri="http://schemas.microsoft.com/office/word/2010/wordprocessingShape">
                  <wps:wsp>
                    <wps:cNvCnPr/>
                    <wps:spPr>
                      <a:xfrm>
                        <a:off x="0" y="0"/>
                        <a:ext cx="8830183"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A05B5EE">
            <v:line id="Straight Connector 242527758"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from=".7pt,17.7pt" to="696pt,17.7pt" w14:anchorId="28FAD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"/>
          </w:pict>
        </mc:Fallback>
      </mc:AlternateContent>
    </w:r>
  </w:p>
  <w:p w14:paraId="0F4EF7F6" w14:textId="77777777" w:rsidR="007E6A98" w:rsidRPr="00F838A7" w:rsidRDefault="007E6A98">
    <w:pPr>
      <w:pStyle w:val="Header"/>
    </w:pPr>
  </w:p>
  <w:p w14:paraId="638B5BBA" w14:textId="77777777" w:rsidR="007E6A98" w:rsidRPr="00F838A7" w:rsidRDefault="007E6A9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7DFA" w14:textId="7565A8F2" w:rsidR="007E6A98" w:rsidRPr="00F838A7" w:rsidRDefault="006322D3">
    <w:pPr>
      <w:pStyle w:val="Header"/>
    </w:pPr>
    <w:r>
      <w:rPr>
        <w:noProof/>
      </w:rPr>
      <mc:AlternateContent>
        <mc:Choice Requires="wps">
          <w:drawing>
            <wp:anchor distT="0" distB="0" distL="0" distR="0" simplePos="0" relativeHeight="251658261" behindDoc="0" locked="0" layoutInCell="1" allowOverlap="1" wp14:anchorId="580F406D" wp14:editId="6222669C">
              <wp:simplePos x="635" y="635"/>
              <wp:positionH relativeFrom="page">
                <wp:align>center</wp:align>
              </wp:positionH>
              <wp:positionV relativeFrom="page">
                <wp:align>top</wp:align>
              </wp:positionV>
              <wp:extent cx="904875" cy="390525"/>
              <wp:effectExtent l="0" t="0" r="9525" b="9525"/>
              <wp:wrapNone/>
              <wp:docPr id="882324743" name="Text Box 8"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1270B273" w14:textId="087A97E8"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0F406D" id="_x0000_t202" coordsize="21600,21600" o:spt="202" path="m,l,21600r21600,l21600,xe">
              <v:stroke joinstyle="miter"/>
              <v:path gradientshapeok="t" o:connecttype="rect"/>
            </v:shapetype>
            <v:shape id="Text Box 8" o:spid="_x0000_s1033" type="#_x0000_t202" alt="IN-CONFIDENCE" style="position:absolute;margin-left:0;margin-top:0;width:71.25pt;height:30.75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" filled="f" stroked="f">
              <v:textbox style="mso-fit-shape-to-text:t" inset="0,15pt,0,0">
                <w:txbxContent>
                  <w:p w14:paraId="1270B273" w14:textId="087A97E8"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r w:rsidR="008720E9">
      <w:pict w14:anchorId="14C65C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2" type="#_x0000_t136" style="position:absolute;margin-left:0;margin-top:0;width:384.65pt;height:230.75pt;rotation:315;z-index:-251658231;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6EF7" w14:textId="69825E38" w:rsidR="007E6A98" w:rsidRPr="00F838A7" w:rsidRDefault="006322D3">
    <w:pPr>
      <w:pStyle w:val="Header"/>
    </w:pPr>
    <w:r>
      <w:rPr>
        <w:noProof/>
      </w:rPr>
      <mc:AlternateContent>
        <mc:Choice Requires="wps">
          <w:drawing>
            <wp:anchor distT="0" distB="0" distL="0" distR="0" simplePos="0" relativeHeight="251658262" behindDoc="0" locked="0" layoutInCell="1" allowOverlap="1" wp14:anchorId="49656F1F" wp14:editId="171060DC">
              <wp:simplePos x="635" y="635"/>
              <wp:positionH relativeFrom="page">
                <wp:align>center</wp:align>
              </wp:positionH>
              <wp:positionV relativeFrom="page">
                <wp:align>top</wp:align>
              </wp:positionV>
              <wp:extent cx="904875" cy="390525"/>
              <wp:effectExtent l="0" t="0" r="9525" b="9525"/>
              <wp:wrapNone/>
              <wp:docPr id="669288281" name="Text Box 9"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23AFA620" w14:textId="2484D5F2"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656F1F" id="_x0000_t202" coordsize="21600,21600" o:spt="202" path="m,l,21600r21600,l21600,xe">
              <v:stroke joinstyle="miter"/>
              <v:path gradientshapeok="t" o:connecttype="rect"/>
            </v:shapetype>
            <v:shape id="Text Box 9" o:spid="_x0000_s1034" type="#_x0000_t202" alt="IN-CONFIDENCE" style="position:absolute;margin-left:0;margin-top:0;width:71.25pt;height:30.75pt;z-index:2516582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" filled="f" stroked="f">
              <v:textbox style="mso-fit-shape-to-text:t" inset="0,15pt,0,0">
                <w:txbxContent>
                  <w:p w14:paraId="23AFA620" w14:textId="2484D5F2"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r w:rsidR="008720E9">
      <w:pict w14:anchorId="25F3D3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3" type="#_x0000_t136" style="position:absolute;margin-left:0;margin-top:0;width:384.65pt;height:230.75pt;rotation:315;z-index:-25165823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4BE9" w14:textId="4810C15E" w:rsidR="007E6A98" w:rsidRPr="00F838A7" w:rsidRDefault="006322D3">
    <w:pPr>
      <w:pStyle w:val="Header"/>
    </w:pPr>
    <w:r>
      <w:rPr>
        <w:noProof/>
      </w:rPr>
      <mc:AlternateContent>
        <mc:Choice Requires="wps">
          <w:drawing>
            <wp:anchor distT="0" distB="0" distL="0" distR="0" simplePos="0" relativeHeight="251658260" behindDoc="0" locked="0" layoutInCell="1" allowOverlap="1" wp14:anchorId="45D707BE" wp14:editId="38023B85">
              <wp:simplePos x="635" y="635"/>
              <wp:positionH relativeFrom="page">
                <wp:align>center</wp:align>
              </wp:positionH>
              <wp:positionV relativeFrom="page">
                <wp:align>top</wp:align>
              </wp:positionV>
              <wp:extent cx="904875" cy="390525"/>
              <wp:effectExtent l="0" t="0" r="9525" b="9525"/>
              <wp:wrapNone/>
              <wp:docPr id="1499034836" name="Text Box 7"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4875" cy="390525"/>
                      </a:xfrm>
                      <a:prstGeom prst="rect">
                        <a:avLst/>
                      </a:prstGeom>
                      <a:noFill/>
                      <a:ln>
                        <a:noFill/>
                      </a:ln>
                    </wps:spPr>
                    <wps:txbx>
                      <w:txbxContent>
                        <w:p w14:paraId="5F2F3659" w14:textId="3144D092"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D707BE" id="_x0000_t202" coordsize="21600,21600" o:spt="202" path="m,l,21600r21600,l21600,xe">
              <v:stroke joinstyle="miter"/>
              <v:path gradientshapeok="t" o:connecttype="rect"/>
            </v:shapetype>
            <v:shape id="Text Box 7" o:spid="_x0000_s1035" type="#_x0000_t202" alt="IN-CONFIDENCE" style="position:absolute;margin-left:0;margin-top:0;width:71.25pt;height:30.75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" filled="f" stroked="f">
              <v:textbox style="mso-fit-shape-to-text:t" inset="0,15pt,0,0">
                <w:txbxContent>
                  <w:p w14:paraId="5F2F3659" w14:textId="3144D092" w:rsidR="006322D3" w:rsidRPr="006322D3" w:rsidRDefault="006322D3" w:rsidP="006322D3">
                    <w:pPr>
                      <w:spacing w:after="0"/>
                      <w:rPr>
                        <w:rFonts w:ascii="Aptos" w:eastAsia="Aptos" w:hAnsi="Aptos" w:cs="Aptos"/>
                        <w:noProof/>
                        <w:color w:val="000000"/>
                        <w:szCs w:val="20"/>
                      </w:rPr>
                    </w:pPr>
                    <w:r w:rsidRPr="006322D3">
                      <w:rPr>
                        <w:rFonts w:ascii="Aptos" w:eastAsia="Aptos" w:hAnsi="Aptos" w:cs="Aptos"/>
                        <w:noProof/>
                        <w:color w:val="000000"/>
                        <w:szCs w:val="20"/>
                      </w:rPr>
                      <w:t>IN-CONFIDENCE</w:t>
                    </w:r>
                  </w:p>
                </w:txbxContent>
              </v:textbox>
              <w10:wrap anchorx="page" anchory="page"/>
            </v:shape>
          </w:pict>
        </mc:Fallback>
      </mc:AlternateContent>
    </w:r>
    <w:r w:rsidR="008720E9">
      <w:pict w14:anchorId="4D5A3D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4" type="#_x0000_t136" style="position:absolute;margin-left:0;margin-top:0;width:384.65pt;height:230.75pt;rotation:315;z-index:-25165822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1"/>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1"/>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1"/>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1"/>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1"/>
      <w:lvlText w:val="%1."/>
      <w:lvlJc w:val="left"/>
      <w:pPr>
        <w:tabs>
          <w:tab w:val="num" w:pos="360"/>
        </w:tabs>
        <w:ind w:left="360" w:hanging="360"/>
      </w:pPr>
    </w:lvl>
  </w:abstractNum>
  <w:abstractNum w:abstractNumId="5" w15:restartNumberingAfterBreak="0">
    <w:nsid w:val="FFFFFF89"/>
    <w:multiLevelType w:val="singleLevel"/>
    <w:tmpl w:val="C7CA2E5A"/>
    <w:lvl w:ilvl="0">
      <w:start w:val="1"/>
      <w:numFmt w:val="bullet"/>
      <w:pStyle w:val="ListBullet1"/>
      <w:lvlText w:val=""/>
      <w:lvlJc w:val="left"/>
      <w:pPr>
        <w:tabs>
          <w:tab w:val="num" w:pos="360"/>
        </w:tabs>
        <w:ind w:left="360" w:hanging="360"/>
      </w:pPr>
      <w:rPr>
        <w:rFonts w:ascii="Symbol" w:hAnsi="Symbol" w:hint="default"/>
      </w:rPr>
    </w:lvl>
  </w:abstractNum>
  <w:abstractNum w:abstractNumId="6" w15:restartNumberingAfterBreak="0">
    <w:nsid w:val="03E04A8F"/>
    <w:multiLevelType w:val="hybridMultilevel"/>
    <w:tmpl w:val="2084D90E"/>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55D0064"/>
    <w:multiLevelType w:val="hybridMultilevel"/>
    <w:tmpl w:val="66425808"/>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80D06DB"/>
    <w:multiLevelType w:val="hybridMultilevel"/>
    <w:tmpl w:val="541E9A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9E2509E"/>
    <w:multiLevelType w:val="hybridMultilevel"/>
    <w:tmpl w:val="042ED86A"/>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A102FD8"/>
    <w:multiLevelType w:val="hybridMultilevel"/>
    <w:tmpl w:val="5936C4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A1F06AA"/>
    <w:multiLevelType w:val="hybridMultilevel"/>
    <w:tmpl w:val="5FAEFFEA"/>
    <w:lvl w:ilvl="0" w:tplc="E90E7E0E">
      <w:numFmt w:val="bullet"/>
      <w:lvlText w:val="•"/>
      <w:lvlJc w:val="left"/>
      <w:pPr>
        <w:ind w:left="720" w:hanging="360"/>
      </w:pPr>
      <w:rPr>
        <w:rFonts w:ascii="Cambria" w:eastAsiaTheme="minorEastAsia" w:hAnsi="Cambri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D5F2557"/>
    <w:multiLevelType w:val="hybridMultilevel"/>
    <w:tmpl w:val="80E670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DD85275"/>
    <w:multiLevelType w:val="hybridMultilevel"/>
    <w:tmpl w:val="249CEBB8"/>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0F9507D1"/>
    <w:multiLevelType w:val="hybridMultilevel"/>
    <w:tmpl w:val="285E0B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06E6CD2"/>
    <w:multiLevelType w:val="hybridMultilevel"/>
    <w:tmpl w:val="2BEE9CBC"/>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1F6362D"/>
    <w:multiLevelType w:val="hybridMultilevel"/>
    <w:tmpl w:val="157EC9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308444D"/>
    <w:multiLevelType w:val="hybridMultilevel"/>
    <w:tmpl w:val="24A096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3E324C4"/>
    <w:multiLevelType w:val="hybridMultilevel"/>
    <w:tmpl w:val="447224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5632962"/>
    <w:multiLevelType w:val="hybridMultilevel"/>
    <w:tmpl w:val="879E2C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1C871AB5"/>
    <w:multiLevelType w:val="hybridMultilevel"/>
    <w:tmpl w:val="ABE26DE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1" w15:restartNumberingAfterBreak="0">
    <w:nsid w:val="1F593E25"/>
    <w:multiLevelType w:val="hybridMultilevel"/>
    <w:tmpl w:val="A58458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3C214B1"/>
    <w:multiLevelType w:val="hybridMultilevel"/>
    <w:tmpl w:val="FD0691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47B3D12"/>
    <w:multiLevelType w:val="hybridMultilevel"/>
    <w:tmpl w:val="55E234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47F4990"/>
    <w:multiLevelType w:val="hybridMultilevel"/>
    <w:tmpl w:val="CCD236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25BF3A5D"/>
    <w:multiLevelType w:val="hybridMultilevel"/>
    <w:tmpl w:val="454E5740"/>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25EE645F"/>
    <w:multiLevelType w:val="hybridMultilevel"/>
    <w:tmpl w:val="98E2A8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275766AC"/>
    <w:multiLevelType w:val="multilevel"/>
    <w:tmpl w:val="D63AE8B4"/>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7DE2F60"/>
    <w:multiLevelType w:val="hybridMultilevel"/>
    <w:tmpl w:val="E2CAF6B6"/>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2BB1703B"/>
    <w:multiLevelType w:val="hybridMultilevel"/>
    <w:tmpl w:val="9DA669B0"/>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2BCC6318"/>
    <w:multiLevelType w:val="hybridMultilevel"/>
    <w:tmpl w:val="B24CBD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30FD173E"/>
    <w:multiLevelType w:val="hybridMultilevel"/>
    <w:tmpl w:val="BC56C1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32411B49"/>
    <w:multiLevelType w:val="hybridMultilevel"/>
    <w:tmpl w:val="03C044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44E44DF"/>
    <w:multiLevelType w:val="hybridMultilevel"/>
    <w:tmpl w:val="B862F5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35181356"/>
    <w:multiLevelType w:val="multilevel"/>
    <w:tmpl w:val="09D8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9A140A"/>
    <w:multiLevelType w:val="hybridMultilevel"/>
    <w:tmpl w:val="E9E0B77C"/>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36" w15:restartNumberingAfterBreak="0">
    <w:nsid w:val="361C0D0C"/>
    <w:multiLevelType w:val="hybridMultilevel"/>
    <w:tmpl w:val="1A06BC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364953CD"/>
    <w:multiLevelType w:val="hybridMultilevel"/>
    <w:tmpl w:val="3FB2FB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368C5F10"/>
    <w:multiLevelType w:val="hybridMultilevel"/>
    <w:tmpl w:val="843697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370B4FD8"/>
    <w:multiLevelType w:val="hybridMultilevel"/>
    <w:tmpl w:val="CF2E99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37FF78C3"/>
    <w:multiLevelType w:val="hybridMultilevel"/>
    <w:tmpl w:val="4C0858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3B4F7639"/>
    <w:multiLevelType w:val="hybridMultilevel"/>
    <w:tmpl w:val="73E0DB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3B8E7A94"/>
    <w:multiLevelType w:val="hybridMultilevel"/>
    <w:tmpl w:val="9EF4A6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3D1C1478"/>
    <w:multiLevelType w:val="hybridMultilevel"/>
    <w:tmpl w:val="07AA44A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3E9D5142"/>
    <w:multiLevelType w:val="multilevel"/>
    <w:tmpl w:val="EED65018"/>
    <w:lvl w:ilvl="0">
      <w:start w:val="1"/>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7F3217"/>
    <w:multiLevelType w:val="hybridMultilevel"/>
    <w:tmpl w:val="ACFA71D4"/>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413425FA"/>
    <w:multiLevelType w:val="hybridMultilevel"/>
    <w:tmpl w:val="38EC09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43085406"/>
    <w:multiLevelType w:val="hybridMultilevel"/>
    <w:tmpl w:val="0CC66B1E"/>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44315426"/>
    <w:multiLevelType w:val="hybridMultilevel"/>
    <w:tmpl w:val="A3B872D4"/>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475B4186"/>
    <w:multiLevelType w:val="hybridMultilevel"/>
    <w:tmpl w:val="061EEA38"/>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48330377"/>
    <w:multiLevelType w:val="hybridMultilevel"/>
    <w:tmpl w:val="7DE40C3E"/>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A340136"/>
    <w:multiLevelType w:val="hybridMultilevel"/>
    <w:tmpl w:val="39CE12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4A5029D0"/>
    <w:multiLevelType w:val="hybridMultilevel"/>
    <w:tmpl w:val="725CC09E"/>
    <w:lvl w:ilvl="0" w:tplc="1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AB25E99"/>
    <w:multiLevelType w:val="hybridMultilevel"/>
    <w:tmpl w:val="E1147876"/>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4B6E6ECC"/>
    <w:multiLevelType w:val="hybridMultilevel"/>
    <w:tmpl w:val="BF8CD2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4BFB2D5E"/>
    <w:multiLevelType w:val="hybridMultilevel"/>
    <w:tmpl w:val="22AA2AFE"/>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4C9F3950"/>
    <w:multiLevelType w:val="hybridMultilevel"/>
    <w:tmpl w:val="E92836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4DCE2017"/>
    <w:multiLevelType w:val="hybridMultilevel"/>
    <w:tmpl w:val="BEC8852C"/>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EF850DA"/>
    <w:multiLevelType w:val="hybridMultilevel"/>
    <w:tmpl w:val="683E6F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4F80396F"/>
    <w:multiLevelType w:val="hybridMultilevel"/>
    <w:tmpl w:val="2EA4C986"/>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50C25ADF"/>
    <w:multiLevelType w:val="hybridMultilevel"/>
    <w:tmpl w:val="DB3C08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53E5347A"/>
    <w:multiLevelType w:val="hybridMultilevel"/>
    <w:tmpl w:val="EC2043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56E73472"/>
    <w:multiLevelType w:val="hybridMultilevel"/>
    <w:tmpl w:val="808A8E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58561319"/>
    <w:multiLevelType w:val="hybridMultilevel"/>
    <w:tmpl w:val="1F86A4BC"/>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5E9A7EFD"/>
    <w:multiLevelType w:val="hybridMultilevel"/>
    <w:tmpl w:val="154A3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5F3C4F77"/>
    <w:multiLevelType w:val="hybridMultilevel"/>
    <w:tmpl w:val="B792FD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5FB916EF"/>
    <w:multiLevelType w:val="hybridMultilevel"/>
    <w:tmpl w:val="F2CE78E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7" w15:restartNumberingAfterBreak="0">
    <w:nsid w:val="5FDB126E"/>
    <w:multiLevelType w:val="hybridMultilevel"/>
    <w:tmpl w:val="623E83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8" w15:restartNumberingAfterBreak="0">
    <w:nsid w:val="601D09BA"/>
    <w:multiLevelType w:val="hybridMultilevel"/>
    <w:tmpl w:val="A4EA258C"/>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69" w15:restartNumberingAfterBreak="0">
    <w:nsid w:val="61BA775E"/>
    <w:multiLevelType w:val="hybridMultilevel"/>
    <w:tmpl w:val="6740A258"/>
    <w:lvl w:ilvl="0" w:tplc="E90E7E0E">
      <w:numFmt w:val="bullet"/>
      <w:lvlText w:val="•"/>
      <w:lvlJc w:val="left"/>
      <w:pPr>
        <w:ind w:left="720" w:hanging="360"/>
      </w:pPr>
      <w:rPr>
        <w:rFonts w:ascii="Cambria" w:eastAsiaTheme="minorEastAsia" w:hAnsi="Cambri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0" w15:restartNumberingAfterBreak="0">
    <w:nsid w:val="69F82D49"/>
    <w:multiLevelType w:val="hybridMultilevel"/>
    <w:tmpl w:val="0186D2E4"/>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6B29457F"/>
    <w:multiLevelType w:val="hybridMultilevel"/>
    <w:tmpl w:val="8D36D6D6"/>
    <w:lvl w:ilvl="0" w:tplc="7322847C">
      <w:start w:val="1"/>
      <w:numFmt w:val="decimal"/>
      <w:lvlText w:val="%1."/>
      <w:lvlJc w:val="left"/>
      <w:pPr>
        <w:ind w:left="720" w:hanging="360"/>
      </w:pPr>
      <w:rPr>
        <w:rFonts w:hint="default"/>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C567BF8"/>
    <w:multiLevelType w:val="hybridMultilevel"/>
    <w:tmpl w:val="1D989998"/>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6DB90F9E"/>
    <w:multiLevelType w:val="hybridMultilevel"/>
    <w:tmpl w:val="8E2816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70245208"/>
    <w:multiLevelType w:val="hybridMultilevel"/>
    <w:tmpl w:val="9BB4E0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5" w15:restartNumberingAfterBreak="0">
    <w:nsid w:val="71EF2938"/>
    <w:multiLevelType w:val="hybridMultilevel"/>
    <w:tmpl w:val="F034C554"/>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76" w15:restartNumberingAfterBreak="0">
    <w:nsid w:val="73695E71"/>
    <w:multiLevelType w:val="hybridMultilevel"/>
    <w:tmpl w:val="CAA826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7" w15:restartNumberingAfterBreak="0">
    <w:nsid w:val="73AF4D0D"/>
    <w:multiLevelType w:val="hybridMultilevel"/>
    <w:tmpl w:val="600E8E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8" w15:restartNumberingAfterBreak="0">
    <w:nsid w:val="76822579"/>
    <w:multiLevelType w:val="hybridMultilevel"/>
    <w:tmpl w:val="AC28F1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9" w15:restartNumberingAfterBreak="0">
    <w:nsid w:val="77B35B8A"/>
    <w:multiLevelType w:val="multilevel"/>
    <w:tmpl w:val="7C625148"/>
    <w:lvl w:ilvl="0">
      <w:start w:val="1"/>
      <w:numFmt w:val="decimal"/>
      <w:lvlText w:val="%1."/>
      <w:lvlJc w:val="left"/>
      <w:pPr>
        <w:ind w:left="720" w:hanging="360"/>
      </w:pPr>
      <w:rPr>
        <w:rFonts w:hint="default"/>
      </w:rPr>
    </w:lvl>
    <w:lvl w:ilvl="1">
      <w:start w:val="1"/>
      <w:numFmt w:val="decimal"/>
      <w:pStyle w:val="Heading22"/>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0" w15:restartNumberingAfterBreak="0">
    <w:nsid w:val="783B4170"/>
    <w:multiLevelType w:val="hybridMultilevel"/>
    <w:tmpl w:val="62D28B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1" w15:restartNumberingAfterBreak="0">
    <w:nsid w:val="78B9183E"/>
    <w:multiLevelType w:val="hybridMultilevel"/>
    <w:tmpl w:val="568C9D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2" w15:restartNumberingAfterBreak="0">
    <w:nsid w:val="78D019B9"/>
    <w:multiLevelType w:val="hybridMultilevel"/>
    <w:tmpl w:val="0E6E01EC"/>
    <w:lvl w:ilvl="0" w:tplc="791EE42A">
      <w:start w:val="1"/>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3" w15:restartNumberingAfterBreak="0">
    <w:nsid w:val="7E2765DD"/>
    <w:multiLevelType w:val="hybridMultilevel"/>
    <w:tmpl w:val="59E8AC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4" w15:restartNumberingAfterBreak="0">
    <w:nsid w:val="7E457707"/>
    <w:multiLevelType w:val="hybridMultilevel"/>
    <w:tmpl w:val="33220D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5" w15:restartNumberingAfterBreak="0">
    <w:nsid w:val="7F00675B"/>
    <w:multiLevelType w:val="hybridMultilevel"/>
    <w:tmpl w:val="C4DEFA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24627233">
    <w:abstractNumId w:val="79"/>
  </w:num>
  <w:num w:numId="2" w16cid:durableId="480583537">
    <w:abstractNumId w:val="5"/>
  </w:num>
  <w:num w:numId="3" w16cid:durableId="1648584240">
    <w:abstractNumId w:val="3"/>
  </w:num>
  <w:num w:numId="4" w16cid:durableId="1208957616">
    <w:abstractNumId w:val="2"/>
  </w:num>
  <w:num w:numId="5" w16cid:durableId="1558013023">
    <w:abstractNumId w:val="4"/>
  </w:num>
  <w:num w:numId="6" w16cid:durableId="1104422758">
    <w:abstractNumId w:val="1"/>
  </w:num>
  <w:num w:numId="7" w16cid:durableId="568616814">
    <w:abstractNumId w:val="0"/>
  </w:num>
  <w:num w:numId="8" w16cid:durableId="127169111">
    <w:abstractNumId w:val="25"/>
  </w:num>
  <w:num w:numId="9" w16cid:durableId="1107307806">
    <w:abstractNumId w:val="27"/>
  </w:num>
  <w:num w:numId="10" w16cid:durableId="1677683552">
    <w:abstractNumId w:val="19"/>
  </w:num>
  <w:num w:numId="11" w16cid:durableId="1947152882">
    <w:abstractNumId w:val="63"/>
  </w:num>
  <w:num w:numId="12" w16cid:durableId="1994288494">
    <w:abstractNumId w:val="72"/>
  </w:num>
  <w:num w:numId="13" w16cid:durableId="8653074">
    <w:abstractNumId w:val="28"/>
  </w:num>
  <w:num w:numId="14" w16cid:durableId="1414425942">
    <w:abstractNumId w:val="55"/>
  </w:num>
  <w:num w:numId="15" w16cid:durableId="1624388117">
    <w:abstractNumId w:val="34"/>
  </w:num>
  <w:num w:numId="16" w16cid:durableId="223957582">
    <w:abstractNumId w:val="32"/>
  </w:num>
  <w:num w:numId="17" w16cid:durableId="189729895">
    <w:abstractNumId w:val="12"/>
  </w:num>
  <w:num w:numId="18" w16cid:durableId="517354799">
    <w:abstractNumId w:val="83"/>
  </w:num>
  <w:num w:numId="19" w16cid:durableId="188422918">
    <w:abstractNumId w:val="81"/>
  </w:num>
  <w:num w:numId="20" w16cid:durableId="1792624493">
    <w:abstractNumId w:val="65"/>
  </w:num>
  <w:num w:numId="21" w16cid:durableId="1495680802">
    <w:abstractNumId w:val="39"/>
  </w:num>
  <w:num w:numId="22" w16cid:durableId="811412571">
    <w:abstractNumId w:val="56"/>
  </w:num>
  <w:num w:numId="23" w16cid:durableId="870340601">
    <w:abstractNumId w:val="33"/>
  </w:num>
  <w:num w:numId="24" w16cid:durableId="520978181">
    <w:abstractNumId w:val="23"/>
  </w:num>
  <w:num w:numId="25" w16cid:durableId="248392830">
    <w:abstractNumId w:val="10"/>
  </w:num>
  <w:num w:numId="26" w16cid:durableId="1512720847">
    <w:abstractNumId w:val="64"/>
  </w:num>
  <w:num w:numId="27" w16cid:durableId="2043750329">
    <w:abstractNumId w:val="18"/>
  </w:num>
  <w:num w:numId="28" w16cid:durableId="1908301331">
    <w:abstractNumId w:val="62"/>
  </w:num>
  <w:num w:numId="29" w16cid:durableId="1012486050">
    <w:abstractNumId w:val="58"/>
  </w:num>
  <w:num w:numId="30" w16cid:durableId="706296409">
    <w:abstractNumId w:val="36"/>
  </w:num>
  <w:num w:numId="31" w16cid:durableId="1308164678">
    <w:abstractNumId w:val="78"/>
  </w:num>
  <w:num w:numId="32" w16cid:durableId="1038162549">
    <w:abstractNumId w:val="37"/>
  </w:num>
  <w:num w:numId="33" w16cid:durableId="880479973">
    <w:abstractNumId w:val="22"/>
  </w:num>
  <w:num w:numId="34" w16cid:durableId="1412507731">
    <w:abstractNumId w:val="24"/>
  </w:num>
  <w:num w:numId="35" w16cid:durableId="1702129907">
    <w:abstractNumId w:val="80"/>
  </w:num>
  <w:num w:numId="36" w16cid:durableId="1394893761">
    <w:abstractNumId w:val="52"/>
  </w:num>
  <w:num w:numId="37" w16cid:durableId="1305700479">
    <w:abstractNumId w:val="16"/>
  </w:num>
  <w:num w:numId="38" w16cid:durableId="329522275">
    <w:abstractNumId w:val="50"/>
  </w:num>
  <w:num w:numId="39" w16cid:durableId="141427338">
    <w:abstractNumId w:val="14"/>
  </w:num>
  <w:num w:numId="40" w16cid:durableId="1900284112">
    <w:abstractNumId w:val="54"/>
  </w:num>
  <w:num w:numId="41" w16cid:durableId="13204">
    <w:abstractNumId w:val="74"/>
  </w:num>
  <w:num w:numId="42" w16cid:durableId="591015940">
    <w:abstractNumId w:val="61"/>
  </w:num>
  <w:num w:numId="43" w16cid:durableId="778644897">
    <w:abstractNumId w:val="31"/>
  </w:num>
  <w:num w:numId="44" w16cid:durableId="312368488">
    <w:abstractNumId w:val="40"/>
  </w:num>
  <w:num w:numId="45" w16cid:durableId="1707952269">
    <w:abstractNumId w:val="85"/>
  </w:num>
  <w:num w:numId="46" w16cid:durableId="835998317">
    <w:abstractNumId w:val="73"/>
  </w:num>
  <w:num w:numId="47" w16cid:durableId="1569420957">
    <w:abstractNumId w:val="26"/>
  </w:num>
  <w:num w:numId="48" w16cid:durableId="941451425">
    <w:abstractNumId w:val="42"/>
  </w:num>
  <w:num w:numId="49" w16cid:durableId="319310701">
    <w:abstractNumId w:val="51"/>
  </w:num>
  <w:num w:numId="50" w16cid:durableId="1299263328">
    <w:abstractNumId w:val="30"/>
  </w:num>
  <w:num w:numId="51" w16cid:durableId="91127033">
    <w:abstractNumId w:val="21"/>
  </w:num>
  <w:num w:numId="52" w16cid:durableId="1301036054">
    <w:abstractNumId w:val="60"/>
  </w:num>
  <w:num w:numId="53" w16cid:durableId="2047637954">
    <w:abstractNumId w:val="67"/>
  </w:num>
  <w:num w:numId="54" w16cid:durableId="792284493">
    <w:abstractNumId w:val="38"/>
  </w:num>
  <w:num w:numId="55" w16cid:durableId="2026637051">
    <w:abstractNumId w:val="8"/>
  </w:num>
  <w:num w:numId="56" w16cid:durableId="4946294">
    <w:abstractNumId w:val="77"/>
  </w:num>
  <w:num w:numId="57" w16cid:durableId="371344417">
    <w:abstractNumId w:val="76"/>
  </w:num>
  <w:num w:numId="58" w16cid:durableId="1975214037">
    <w:abstractNumId w:val="41"/>
  </w:num>
  <w:num w:numId="59" w16cid:durableId="833882695">
    <w:abstractNumId w:val="11"/>
  </w:num>
  <w:num w:numId="60" w16cid:durableId="6104749">
    <w:abstractNumId w:val="69"/>
  </w:num>
  <w:num w:numId="61" w16cid:durableId="1531723952">
    <w:abstractNumId w:val="57"/>
  </w:num>
  <w:num w:numId="62" w16cid:durableId="440032625">
    <w:abstractNumId w:val="84"/>
  </w:num>
  <w:num w:numId="63" w16cid:durableId="845945517">
    <w:abstractNumId w:val="17"/>
  </w:num>
  <w:num w:numId="64" w16cid:durableId="1682857158">
    <w:abstractNumId w:val="71"/>
  </w:num>
  <w:num w:numId="65" w16cid:durableId="574558276">
    <w:abstractNumId w:val="35"/>
  </w:num>
  <w:num w:numId="66" w16cid:durableId="203520420">
    <w:abstractNumId w:val="68"/>
  </w:num>
  <w:num w:numId="67" w16cid:durableId="1844465645">
    <w:abstractNumId w:val="75"/>
  </w:num>
  <w:num w:numId="68" w16cid:durableId="1926499347">
    <w:abstractNumId w:val="66"/>
  </w:num>
  <w:num w:numId="69" w16cid:durableId="176577845">
    <w:abstractNumId w:val="82"/>
  </w:num>
  <w:num w:numId="70" w16cid:durableId="412746611">
    <w:abstractNumId w:val="44"/>
  </w:num>
  <w:num w:numId="71" w16cid:durableId="929125578">
    <w:abstractNumId w:val="15"/>
  </w:num>
  <w:num w:numId="72" w16cid:durableId="1602839900">
    <w:abstractNumId w:val="59"/>
  </w:num>
  <w:num w:numId="73" w16cid:durableId="1723938636">
    <w:abstractNumId w:val="13"/>
  </w:num>
  <w:num w:numId="74" w16cid:durableId="36202882">
    <w:abstractNumId w:val="70"/>
  </w:num>
  <w:num w:numId="75" w16cid:durableId="995376225">
    <w:abstractNumId w:val="7"/>
  </w:num>
  <w:num w:numId="76" w16cid:durableId="1722903378">
    <w:abstractNumId w:val="9"/>
  </w:num>
  <w:num w:numId="77" w16cid:durableId="1861234108">
    <w:abstractNumId w:val="53"/>
  </w:num>
  <w:num w:numId="78" w16cid:durableId="631256957">
    <w:abstractNumId w:val="6"/>
  </w:num>
  <w:num w:numId="79" w16cid:durableId="566573805">
    <w:abstractNumId w:val="49"/>
  </w:num>
  <w:num w:numId="80" w16cid:durableId="926887683">
    <w:abstractNumId w:val="47"/>
  </w:num>
  <w:num w:numId="81" w16cid:durableId="1107045282">
    <w:abstractNumId w:val="29"/>
  </w:num>
  <w:num w:numId="82" w16cid:durableId="1320770363">
    <w:abstractNumId w:val="45"/>
  </w:num>
  <w:num w:numId="83" w16cid:durableId="1119641697">
    <w:abstractNumId w:val="48"/>
  </w:num>
  <w:num w:numId="84" w16cid:durableId="1422919591">
    <w:abstractNumId w:val="46"/>
  </w:num>
  <w:num w:numId="85" w16cid:durableId="1587496584">
    <w:abstractNumId w:val="20"/>
  </w:num>
  <w:num w:numId="86" w16cid:durableId="723259674">
    <w:abstractNumId w:val="4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7D4"/>
    <w:rsid w:val="000064F3"/>
    <w:rsid w:val="00010FC2"/>
    <w:rsid w:val="0001532B"/>
    <w:rsid w:val="00016464"/>
    <w:rsid w:val="00025392"/>
    <w:rsid w:val="00027A99"/>
    <w:rsid w:val="00032216"/>
    <w:rsid w:val="000326A8"/>
    <w:rsid w:val="00037FBD"/>
    <w:rsid w:val="00041A4E"/>
    <w:rsid w:val="00041DCA"/>
    <w:rsid w:val="00052B86"/>
    <w:rsid w:val="00054973"/>
    <w:rsid w:val="000552D1"/>
    <w:rsid w:val="00056C76"/>
    <w:rsid w:val="00057BA7"/>
    <w:rsid w:val="00061686"/>
    <w:rsid w:val="00062004"/>
    <w:rsid w:val="0006406C"/>
    <w:rsid w:val="00067EFF"/>
    <w:rsid w:val="00072C2A"/>
    <w:rsid w:val="00075D6E"/>
    <w:rsid w:val="0008225E"/>
    <w:rsid w:val="00085808"/>
    <w:rsid w:val="000869FD"/>
    <w:rsid w:val="00086F9E"/>
    <w:rsid w:val="000877D8"/>
    <w:rsid w:val="00091ABA"/>
    <w:rsid w:val="00092FD8"/>
    <w:rsid w:val="000A0DC7"/>
    <w:rsid w:val="000A3E14"/>
    <w:rsid w:val="000A75E3"/>
    <w:rsid w:val="000B230F"/>
    <w:rsid w:val="000B23E6"/>
    <w:rsid w:val="000B782B"/>
    <w:rsid w:val="000C0EA5"/>
    <w:rsid w:val="000C16EE"/>
    <w:rsid w:val="000C4210"/>
    <w:rsid w:val="000C4D58"/>
    <w:rsid w:val="000D31F7"/>
    <w:rsid w:val="000D5B97"/>
    <w:rsid w:val="000E2051"/>
    <w:rsid w:val="000E3E69"/>
    <w:rsid w:val="000E700C"/>
    <w:rsid w:val="000F03A2"/>
    <w:rsid w:val="000F0AF9"/>
    <w:rsid w:val="000F0F60"/>
    <w:rsid w:val="000F1857"/>
    <w:rsid w:val="000F2D15"/>
    <w:rsid w:val="000F555E"/>
    <w:rsid w:val="00103C7F"/>
    <w:rsid w:val="001050BA"/>
    <w:rsid w:val="00107B40"/>
    <w:rsid w:val="00115258"/>
    <w:rsid w:val="00120497"/>
    <w:rsid w:val="0012183B"/>
    <w:rsid w:val="001220D3"/>
    <w:rsid w:val="00126ED2"/>
    <w:rsid w:val="00131935"/>
    <w:rsid w:val="0013213C"/>
    <w:rsid w:val="0013640F"/>
    <w:rsid w:val="00137572"/>
    <w:rsid w:val="00151B5F"/>
    <w:rsid w:val="00152095"/>
    <w:rsid w:val="00155196"/>
    <w:rsid w:val="00156778"/>
    <w:rsid w:val="00173676"/>
    <w:rsid w:val="00174361"/>
    <w:rsid w:val="00174A75"/>
    <w:rsid w:val="00176AE4"/>
    <w:rsid w:val="00176D8D"/>
    <w:rsid w:val="00183EFF"/>
    <w:rsid w:val="00185BA3"/>
    <w:rsid w:val="00187878"/>
    <w:rsid w:val="001904AA"/>
    <w:rsid w:val="00190649"/>
    <w:rsid w:val="00191CE3"/>
    <w:rsid w:val="0019409E"/>
    <w:rsid w:val="00196BDC"/>
    <w:rsid w:val="00196F34"/>
    <w:rsid w:val="001A29E6"/>
    <w:rsid w:val="001A42A9"/>
    <w:rsid w:val="001A4BD3"/>
    <w:rsid w:val="001A4D81"/>
    <w:rsid w:val="001A5636"/>
    <w:rsid w:val="001A612B"/>
    <w:rsid w:val="001A7F4C"/>
    <w:rsid w:val="001B0B22"/>
    <w:rsid w:val="001B1AA0"/>
    <w:rsid w:val="001B20F2"/>
    <w:rsid w:val="001B291F"/>
    <w:rsid w:val="001B3B06"/>
    <w:rsid w:val="001B4758"/>
    <w:rsid w:val="001B7D1B"/>
    <w:rsid w:val="001B7F0F"/>
    <w:rsid w:val="001C25D1"/>
    <w:rsid w:val="001C7125"/>
    <w:rsid w:val="001D209E"/>
    <w:rsid w:val="001D5A6F"/>
    <w:rsid w:val="001D7E33"/>
    <w:rsid w:val="001E0C71"/>
    <w:rsid w:val="001E20F3"/>
    <w:rsid w:val="001E272C"/>
    <w:rsid w:val="001E602F"/>
    <w:rsid w:val="001E7F0F"/>
    <w:rsid w:val="001F2084"/>
    <w:rsid w:val="001F2D64"/>
    <w:rsid w:val="001F64A9"/>
    <w:rsid w:val="002001C2"/>
    <w:rsid w:val="0020036A"/>
    <w:rsid w:val="00201039"/>
    <w:rsid w:val="002030FF"/>
    <w:rsid w:val="00207511"/>
    <w:rsid w:val="002076DF"/>
    <w:rsid w:val="0021283D"/>
    <w:rsid w:val="0021538E"/>
    <w:rsid w:val="00227E3C"/>
    <w:rsid w:val="00231084"/>
    <w:rsid w:val="00235ACE"/>
    <w:rsid w:val="00240049"/>
    <w:rsid w:val="00245774"/>
    <w:rsid w:val="00250912"/>
    <w:rsid w:val="002570C6"/>
    <w:rsid w:val="00257135"/>
    <w:rsid w:val="002602E1"/>
    <w:rsid w:val="002658B1"/>
    <w:rsid w:val="00266659"/>
    <w:rsid w:val="002723D8"/>
    <w:rsid w:val="00275094"/>
    <w:rsid w:val="002762AC"/>
    <w:rsid w:val="0027782D"/>
    <w:rsid w:val="002807DF"/>
    <w:rsid w:val="002816E8"/>
    <w:rsid w:val="00284646"/>
    <w:rsid w:val="00290BB3"/>
    <w:rsid w:val="00293093"/>
    <w:rsid w:val="00296634"/>
    <w:rsid w:val="0029797C"/>
    <w:rsid w:val="002A0124"/>
    <w:rsid w:val="002A32B0"/>
    <w:rsid w:val="002A5A44"/>
    <w:rsid w:val="002A5F5F"/>
    <w:rsid w:val="002A71A9"/>
    <w:rsid w:val="002B0256"/>
    <w:rsid w:val="002B1C47"/>
    <w:rsid w:val="002B2D32"/>
    <w:rsid w:val="002B3022"/>
    <w:rsid w:val="002B39CB"/>
    <w:rsid w:val="002B671E"/>
    <w:rsid w:val="002B7BB4"/>
    <w:rsid w:val="002C0CE6"/>
    <w:rsid w:val="002C0D74"/>
    <w:rsid w:val="002C25C0"/>
    <w:rsid w:val="002C7E00"/>
    <w:rsid w:val="002D2685"/>
    <w:rsid w:val="002D55B5"/>
    <w:rsid w:val="002E1597"/>
    <w:rsid w:val="002E1D18"/>
    <w:rsid w:val="002E717F"/>
    <w:rsid w:val="002E7615"/>
    <w:rsid w:val="002F30A5"/>
    <w:rsid w:val="002F323B"/>
    <w:rsid w:val="0030394A"/>
    <w:rsid w:val="00303CAA"/>
    <w:rsid w:val="003108A3"/>
    <w:rsid w:val="00311C89"/>
    <w:rsid w:val="0031231C"/>
    <w:rsid w:val="0031790F"/>
    <w:rsid w:val="00320DBE"/>
    <w:rsid w:val="00320F7E"/>
    <w:rsid w:val="003229CD"/>
    <w:rsid w:val="00325D6E"/>
    <w:rsid w:val="00326135"/>
    <w:rsid w:val="00327685"/>
    <w:rsid w:val="0033169F"/>
    <w:rsid w:val="00335E3C"/>
    <w:rsid w:val="00340E89"/>
    <w:rsid w:val="003428ED"/>
    <w:rsid w:val="003442D7"/>
    <w:rsid w:val="0035090E"/>
    <w:rsid w:val="00350D17"/>
    <w:rsid w:val="003517AE"/>
    <w:rsid w:val="00351B83"/>
    <w:rsid w:val="00377251"/>
    <w:rsid w:val="00386439"/>
    <w:rsid w:val="00386BEE"/>
    <w:rsid w:val="00386FD8"/>
    <w:rsid w:val="0039060D"/>
    <w:rsid w:val="00390D51"/>
    <w:rsid w:val="0039146C"/>
    <w:rsid w:val="00393A78"/>
    <w:rsid w:val="00395CF9"/>
    <w:rsid w:val="00396E89"/>
    <w:rsid w:val="00397FDC"/>
    <w:rsid w:val="003A02DD"/>
    <w:rsid w:val="003A1C83"/>
    <w:rsid w:val="003A5AFC"/>
    <w:rsid w:val="003A5E24"/>
    <w:rsid w:val="003A6983"/>
    <w:rsid w:val="003B3695"/>
    <w:rsid w:val="003B4950"/>
    <w:rsid w:val="003B64BB"/>
    <w:rsid w:val="003B6AF2"/>
    <w:rsid w:val="003C061D"/>
    <w:rsid w:val="003C0821"/>
    <w:rsid w:val="003C09D3"/>
    <w:rsid w:val="003C464F"/>
    <w:rsid w:val="003C6F33"/>
    <w:rsid w:val="003C70B8"/>
    <w:rsid w:val="003D056D"/>
    <w:rsid w:val="003D4A73"/>
    <w:rsid w:val="003D4AA6"/>
    <w:rsid w:val="003D504E"/>
    <w:rsid w:val="003D577B"/>
    <w:rsid w:val="003E2FB4"/>
    <w:rsid w:val="003F0E14"/>
    <w:rsid w:val="003F346F"/>
    <w:rsid w:val="003F374F"/>
    <w:rsid w:val="003F45C1"/>
    <w:rsid w:val="003F4663"/>
    <w:rsid w:val="003F632D"/>
    <w:rsid w:val="00400E47"/>
    <w:rsid w:val="00404367"/>
    <w:rsid w:val="0040513E"/>
    <w:rsid w:val="0040568D"/>
    <w:rsid w:val="00407B63"/>
    <w:rsid w:val="00410CAC"/>
    <w:rsid w:val="004112E3"/>
    <w:rsid w:val="00417094"/>
    <w:rsid w:val="00417875"/>
    <w:rsid w:val="00420AB6"/>
    <w:rsid w:val="004244B0"/>
    <w:rsid w:val="004244B5"/>
    <w:rsid w:val="00432D0A"/>
    <w:rsid w:val="0043488C"/>
    <w:rsid w:val="004359BF"/>
    <w:rsid w:val="00436FC9"/>
    <w:rsid w:val="00441A81"/>
    <w:rsid w:val="004423E3"/>
    <w:rsid w:val="00445DBC"/>
    <w:rsid w:val="00446B7B"/>
    <w:rsid w:val="00447760"/>
    <w:rsid w:val="004517A1"/>
    <w:rsid w:val="00451E0B"/>
    <w:rsid w:val="00454154"/>
    <w:rsid w:val="00455277"/>
    <w:rsid w:val="00455829"/>
    <w:rsid w:val="0046172E"/>
    <w:rsid w:val="00463CE2"/>
    <w:rsid w:val="0046575B"/>
    <w:rsid w:val="00465890"/>
    <w:rsid w:val="00465D96"/>
    <w:rsid w:val="00465D9B"/>
    <w:rsid w:val="004662F4"/>
    <w:rsid w:val="00466EAE"/>
    <w:rsid w:val="004715A8"/>
    <w:rsid w:val="00472A95"/>
    <w:rsid w:val="00473E91"/>
    <w:rsid w:val="0047409E"/>
    <w:rsid w:val="00476C6C"/>
    <w:rsid w:val="0048219F"/>
    <w:rsid w:val="004824BB"/>
    <w:rsid w:val="00483966"/>
    <w:rsid w:val="00484849"/>
    <w:rsid w:val="004859C1"/>
    <w:rsid w:val="0048626D"/>
    <w:rsid w:val="004877C7"/>
    <w:rsid w:val="00491D65"/>
    <w:rsid w:val="004923B1"/>
    <w:rsid w:val="004941FF"/>
    <w:rsid w:val="00496E12"/>
    <w:rsid w:val="004A26AA"/>
    <w:rsid w:val="004A4DE3"/>
    <w:rsid w:val="004B0768"/>
    <w:rsid w:val="004B1BF1"/>
    <w:rsid w:val="004B21E5"/>
    <w:rsid w:val="004B239B"/>
    <w:rsid w:val="004B2F0C"/>
    <w:rsid w:val="004B3BA1"/>
    <w:rsid w:val="004B3CE2"/>
    <w:rsid w:val="004B5222"/>
    <w:rsid w:val="004C1693"/>
    <w:rsid w:val="004C78F3"/>
    <w:rsid w:val="004D08DD"/>
    <w:rsid w:val="004D0F48"/>
    <w:rsid w:val="004D2417"/>
    <w:rsid w:val="004D2A17"/>
    <w:rsid w:val="004E178D"/>
    <w:rsid w:val="004E17E6"/>
    <w:rsid w:val="004E1D59"/>
    <w:rsid w:val="004E3C55"/>
    <w:rsid w:val="004E4DA4"/>
    <w:rsid w:val="004E5189"/>
    <w:rsid w:val="004E6E3A"/>
    <w:rsid w:val="004E76AA"/>
    <w:rsid w:val="004F1006"/>
    <w:rsid w:val="004F566A"/>
    <w:rsid w:val="004F6F3C"/>
    <w:rsid w:val="004F6F62"/>
    <w:rsid w:val="004F76E6"/>
    <w:rsid w:val="00500DAC"/>
    <w:rsid w:val="0050120A"/>
    <w:rsid w:val="00504A18"/>
    <w:rsid w:val="005121AF"/>
    <w:rsid w:val="00512B95"/>
    <w:rsid w:val="005175F2"/>
    <w:rsid w:val="00520678"/>
    <w:rsid w:val="005251B6"/>
    <w:rsid w:val="00525896"/>
    <w:rsid w:val="00536BAD"/>
    <w:rsid w:val="00537E77"/>
    <w:rsid w:val="0054547D"/>
    <w:rsid w:val="00546EA9"/>
    <w:rsid w:val="00547EC6"/>
    <w:rsid w:val="0055139A"/>
    <w:rsid w:val="00552EB6"/>
    <w:rsid w:val="005530F8"/>
    <w:rsid w:val="00553834"/>
    <w:rsid w:val="0055556E"/>
    <w:rsid w:val="005559DD"/>
    <w:rsid w:val="005564E2"/>
    <w:rsid w:val="005573AD"/>
    <w:rsid w:val="00557CC1"/>
    <w:rsid w:val="0056453A"/>
    <w:rsid w:val="0057514B"/>
    <w:rsid w:val="005761C8"/>
    <w:rsid w:val="00576F56"/>
    <w:rsid w:val="00576F64"/>
    <w:rsid w:val="00580750"/>
    <w:rsid w:val="00580B14"/>
    <w:rsid w:val="005817FB"/>
    <w:rsid w:val="00585DF4"/>
    <w:rsid w:val="00590E1C"/>
    <w:rsid w:val="005917B7"/>
    <w:rsid w:val="00593490"/>
    <w:rsid w:val="005A621A"/>
    <w:rsid w:val="005B07E8"/>
    <w:rsid w:val="005B32FA"/>
    <w:rsid w:val="005C611B"/>
    <w:rsid w:val="005D142B"/>
    <w:rsid w:val="005D3509"/>
    <w:rsid w:val="005D4F12"/>
    <w:rsid w:val="005D6E76"/>
    <w:rsid w:val="005E0D91"/>
    <w:rsid w:val="005E37D4"/>
    <w:rsid w:val="005E4167"/>
    <w:rsid w:val="005E4C4D"/>
    <w:rsid w:val="005E6C40"/>
    <w:rsid w:val="005E70F0"/>
    <w:rsid w:val="005E7CC8"/>
    <w:rsid w:val="005F1F05"/>
    <w:rsid w:val="005F7928"/>
    <w:rsid w:val="00602FD4"/>
    <w:rsid w:val="00603042"/>
    <w:rsid w:val="006038BA"/>
    <w:rsid w:val="006128F9"/>
    <w:rsid w:val="0061327C"/>
    <w:rsid w:val="0061428C"/>
    <w:rsid w:val="00615A4B"/>
    <w:rsid w:val="00615CF3"/>
    <w:rsid w:val="0061604D"/>
    <w:rsid w:val="00617AAF"/>
    <w:rsid w:val="006211FF"/>
    <w:rsid w:val="006218E6"/>
    <w:rsid w:val="006253F7"/>
    <w:rsid w:val="00631553"/>
    <w:rsid w:val="006322D3"/>
    <w:rsid w:val="006349CA"/>
    <w:rsid w:val="00634A08"/>
    <w:rsid w:val="00634CBD"/>
    <w:rsid w:val="006360CD"/>
    <w:rsid w:val="0064039E"/>
    <w:rsid w:val="00643067"/>
    <w:rsid w:val="006431FE"/>
    <w:rsid w:val="00653280"/>
    <w:rsid w:val="00653F62"/>
    <w:rsid w:val="00656158"/>
    <w:rsid w:val="006632AA"/>
    <w:rsid w:val="0066360D"/>
    <w:rsid w:val="006649E4"/>
    <w:rsid w:val="00666F8C"/>
    <w:rsid w:val="006675F7"/>
    <w:rsid w:val="00677EB4"/>
    <w:rsid w:val="006871AB"/>
    <w:rsid w:val="006904FE"/>
    <w:rsid w:val="006947AA"/>
    <w:rsid w:val="006A0101"/>
    <w:rsid w:val="006A1920"/>
    <w:rsid w:val="006A1F87"/>
    <w:rsid w:val="006A387B"/>
    <w:rsid w:val="006A4CCE"/>
    <w:rsid w:val="006A6E1F"/>
    <w:rsid w:val="006B142E"/>
    <w:rsid w:val="006B2002"/>
    <w:rsid w:val="006B2462"/>
    <w:rsid w:val="006B5834"/>
    <w:rsid w:val="006B5D74"/>
    <w:rsid w:val="006B7E13"/>
    <w:rsid w:val="006C2180"/>
    <w:rsid w:val="006C24AC"/>
    <w:rsid w:val="006C453C"/>
    <w:rsid w:val="006C4978"/>
    <w:rsid w:val="006C57F9"/>
    <w:rsid w:val="006C71D0"/>
    <w:rsid w:val="006D1FEF"/>
    <w:rsid w:val="006D3715"/>
    <w:rsid w:val="006E70DB"/>
    <w:rsid w:val="006F3B11"/>
    <w:rsid w:val="00704D56"/>
    <w:rsid w:val="00705105"/>
    <w:rsid w:val="00706753"/>
    <w:rsid w:val="00711454"/>
    <w:rsid w:val="007174B0"/>
    <w:rsid w:val="00721D7C"/>
    <w:rsid w:val="007226E7"/>
    <w:rsid w:val="007244CD"/>
    <w:rsid w:val="00726148"/>
    <w:rsid w:val="007265A3"/>
    <w:rsid w:val="0073266E"/>
    <w:rsid w:val="00734782"/>
    <w:rsid w:val="00736BCD"/>
    <w:rsid w:val="00737341"/>
    <w:rsid w:val="00740D9A"/>
    <w:rsid w:val="00741636"/>
    <w:rsid w:val="00741638"/>
    <w:rsid w:val="007417C7"/>
    <w:rsid w:val="00745A33"/>
    <w:rsid w:val="007470E9"/>
    <w:rsid w:val="0075769C"/>
    <w:rsid w:val="007635CA"/>
    <w:rsid w:val="00770055"/>
    <w:rsid w:val="00783552"/>
    <w:rsid w:val="00790E7E"/>
    <w:rsid w:val="0079129C"/>
    <w:rsid w:val="007923FB"/>
    <w:rsid w:val="007934A3"/>
    <w:rsid w:val="00793B9D"/>
    <w:rsid w:val="007945B0"/>
    <w:rsid w:val="007A3AEE"/>
    <w:rsid w:val="007B0290"/>
    <w:rsid w:val="007B5EB0"/>
    <w:rsid w:val="007C3071"/>
    <w:rsid w:val="007D4BBB"/>
    <w:rsid w:val="007E3F14"/>
    <w:rsid w:val="007E4749"/>
    <w:rsid w:val="007E5A35"/>
    <w:rsid w:val="007E6A98"/>
    <w:rsid w:val="007E732A"/>
    <w:rsid w:val="007E7B71"/>
    <w:rsid w:val="007F131F"/>
    <w:rsid w:val="0080075B"/>
    <w:rsid w:val="00803F71"/>
    <w:rsid w:val="00805EB7"/>
    <w:rsid w:val="00805FD9"/>
    <w:rsid w:val="008065E6"/>
    <w:rsid w:val="00806EE8"/>
    <w:rsid w:val="008105D5"/>
    <w:rsid w:val="00813A7F"/>
    <w:rsid w:val="00817F0A"/>
    <w:rsid w:val="00824592"/>
    <w:rsid w:val="00834F2E"/>
    <w:rsid w:val="00836E4A"/>
    <w:rsid w:val="00841533"/>
    <w:rsid w:val="00844C99"/>
    <w:rsid w:val="00845FC0"/>
    <w:rsid w:val="00847170"/>
    <w:rsid w:val="00855730"/>
    <w:rsid w:val="008603F4"/>
    <w:rsid w:val="0086329F"/>
    <w:rsid w:val="008634E2"/>
    <w:rsid w:val="00865A09"/>
    <w:rsid w:val="008720E9"/>
    <w:rsid w:val="00875EBC"/>
    <w:rsid w:val="008769B4"/>
    <w:rsid w:val="00881403"/>
    <w:rsid w:val="00881CF7"/>
    <w:rsid w:val="00884410"/>
    <w:rsid w:val="00892C5B"/>
    <w:rsid w:val="008A247F"/>
    <w:rsid w:val="008A31AD"/>
    <w:rsid w:val="008A4734"/>
    <w:rsid w:val="008A6333"/>
    <w:rsid w:val="008B01A4"/>
    <w:rsid w:val="008B37CF"/>
    <w:rsid w:val="008C0F35"/>
    <w:rsid w:val="008C3668"/>
    <w:rsid w:val="008C369A"/>
    <w:rsid w:val="008C645C"/>
    <w:rsid w:val="008D1E28"/>
    <w:rsid w:val="008E0301"/>
    <w:rsid w:val="008E1491"/>
    <w:rsid w:val="008E2748"/>
    <w:rsid w:val="008E32E2"/>
    <w:rsid w:val="008E50AB"/>
    <w:rsid w:val="008E6971"/>
    <w:rsid w:val="008F210F"/>
    <w:rsid w:val="008F5A30"/>
    <w:rsid w:val="008F7367"/>
    <w:rsid w:val="008F798B"/>
    <w:rsid w:val="009016AC"/>
    <w:rsid w:val="00903364"/>
    <w:rsid w:val="00904131"/>
    <w:rsid w:val="00905F5A"/>
    <w:rsid w:val="00911631"/>
    <w:rsid w:val="00914C73"/>
    <w:rsid w:val="00914D10"/>
    <w:rsid w:val="009161B1"/>
    <w:rsid w:val="00927327"/>
    <w:rsid w:val="00927702"/>
    <w:rsid w:val="009329F4"/>
    <w:rsid w:val="00933EE3"/>
    <w:rsid w:val="0094498E"/>
    <w:rsid w:val="00945A41"/>
    <w:rsid w:val="00945A71"/>
    <w:rsid w:val="00946FB2"/>
    <w:rsid w:val="009475B0"/>
    <w:rsid w:val="009547B3"/>
    <w:rsid w:val="009573BB"/>
    <w:rsid w:val="009604CE"/>
    <w:rsid w:val="00960C90"/>
    <w:rsid w:val="00961A2E"/>
    <w:rsid w:val="0096633C"/>
    <w:rsid w:val="00966407"/>
    <w:rsid w:val="00967A33"/>
    <w:rsid w:val="00975206"/>
    <w:rsid w:val="0098279A"/>
    <w:rsid w:val="009902CB"/>
    <w:rsid w:val="00995EB8"/>
    <w:rsid w:val="00996E33"/>
    <w:rsid w:val="00997CFE"/>
    <w:rsid w:val="009A23FC"/>
    <w:rsid w:val="009A36CB"/>
    <w:rsid w:val="009A56D0"/>
    <w:rsid w:val="009A586C"/>
    <w:rsid w:val="009A5E76"/>
    <w:rsid w:val="009A6661"/>
    <w:rsid w:val="009C1682"/>
    <w:rsid w:val="009C420A"/>
    <w:rsid w:val="009C57A4"/>
    <w:rsid w:val="009C64A0"/>
    <w:rsid w:val="009C6ED4"/>
    <w:rsid w:val="009D0FAE"/>
    <w:rsid w:val="009D5C4D"/>
    <w:rsid w:val="009E1A2C"/>
    <w:rsid w:val="009F0205"/>
    <w:rsid w:val="009F04DC"/>
    <w:rsid w:val="009F46C7"/>
    <w:rsid w:val="009F4F82"/>
    <w:rsid w:val="009F6824"/>
    <w:rsid w:val="00A00859"/>
    <w:rsid w:val="00A062AA"/>
    <w:rsid w:val="00A07D1C"/>
    <w:rsid w:val="00A10E29"/>
    <w:rsid w:val="00A1257F"/>
    <w:rsid w:val="00A129DA"/>
    <w:rsid w:val="00A138AC"/>
    <w:rsid w:val="00A1523F"/>
    <w:rsid w:val="00A210E2"/>
    <w:rsid w:val="00A22968"/>
    <w:rsid w:val="00A2577A"/>
    <w:rsid w:val="00A32A8F"/>
    <w:rsid w:val="00A364DB"/>
    <w:rsid w:val="00A37801"/>
    <w:rsid w:val="00A37A38"/>
    <w:rsid w:val="00A43725"/>
    <w:rsid w:val="00A44D43"/>
    <w:rsid w:val="00A45B50"/>
    <w:rsid w:val="00A46CA4"/>
    <w:rsid w:val="00A5452B"/>
    <w:rsid w:val="00A54E13"/>
    <w:rsid w:val="00A5548A"/>
    <w:rsid w:val="00A63B5D"/>
    <w:rsid w:val="00A63CF7"/>
    <w:rsid w:val="00A657BD"/>
    <w:rsid w:val="00A67642"/>
    <w:rsid w:val="00A703B4"/>
    <w:rsid w:val="00A7075C"/>
    <w:rsid w:val="00A72B5D"/>
    <w:rsid w:val="00A74027"/>
    <w:rsid w:val="00A841D1"/>
    <w:rsid w:val="00A84727"/>
    <w:rsid w:val="00A84779"/>
    <w:rsid w:val="00A91C83"/>
    <w:rsid w:val="00A9576B"/>
    <w:rsid w:val="00AA14B9"/>
    <w:rsid w:val="00AA18B5"/>
    <w:rsid w:val="00AA390A"/>
    <w:rsid w:val="00AA4236"/>
    <w:rsid w:val="00AA494C"/>
    <w:rsid w:val="00AA4DB6"/>
    <w:rsid w:val="00AA4F1B"/>
    <w:rsid w:val="00AA5B18"/>
    <w:rsid w:val="00AA77F0"/>
    <w:rsid w:val="00AB0AF9"/>
    <w:rsid w:val="00AB397C"/>
    <w:rsid w:val="00AB41D1"/>
    <w:rsid w:val="00AB5192"/>
    <w:rsid w:val="00AB55F5"/>
    <w:rsid w:val="00AC0A60"/>
    <w:rsid w:val="00AC1C4D"/>
    <w:rsid w:val="00AC2BF2"/>
    <w:rsid w:val="00AC54F7"/>
    <w:rsid w:val="00AD0399"/>
    <w:rsid w:val="00AD213C"/>
    <w:rsid w:val="00AD2D14"/>
    <w:rsid w:val="00AD2F35"/>
    <w:rsid w:val="00AD5B55"/>
    <w:rsid w:val="00AD7310"/>
    <w:rsid w:val="00AE1671"/>
    <w:rsid w:val="00AE4055"/>
    <w:rsid w:val="00AF0A63"/>
    <w:rsid w:val="00AF2F5C"/>
    <w:rsid w:val="00AF5ECC"/>
    <w:rsid w:val="00B0016C"/>
    <w:rsid w:val="00B025FC"/>
    <w:rsid w:val="00B03585"/>
    <w:rsid w:val="00B03E22"/>
    <w:rsid w:val="00B07770"/>
    <w:rsid w:val="00B116D7"/>
    <w:rsid w:val="00B12B5E"/>
    <w:rsid w:val="00B13F47"/>
    <w:rsid w:val="00B20114"/>
    <w:rsid w:val="00B23204"/>
    <w:rsid w:val="00B27788"/>
    <w:rsid w:val="00B30FB1"/>
    <w:rsid w:val="00B3280A"/>
    <w:rsid w:val="00B344EB"/>
    <w:rsid w:val="00B35E8B"/>
    <w:rsid w:val="00B361B5"/>
    <w:rsid w:val="00B37B09"/>
    <w:rsid w:val="00B40844"/>
    <w:rsid w:val="00B428BB"/>
    <w:rsid w:val="00B45737"/>
    <w:rsid w:val="00B503B1"/>
    <w:rsid w:val="00B52DD6"/>
    <w:rsid w:val="00B54DC2"/>
    <w:rsid w:val="00B56E17"/>
    <w:rsid w:val="00B5753E"/>
    <w:rsid w:val="00B63263"/>
    <w:rsid w:val="00B66E81"/>
    <w:rsid w:val="00B715F2"/>
    <w:rsid w:val="00B716F7"/>
    <w:rsid w:val="00B751FD"/>
    <w:rsid w:val="00B75DA3"/>
    <w:rsid w:val="00B76E46"/>
    <w:rsid w:val="00B81C51"/>
    <w:rsid w:val="00B91D1A"/>
    <w:rsid w:val="00B9329A"/>
    <w:rsid w:val="00B962F3"/>
    <w:rsid w:val="00BA2E5B"/>
    <w:rsid w:val="00BA32AC"/>
    <w:rsid w:val="00BA75C6"/>
    <w:rsid w:val="00BB5253"/>
    <w:rsid w:val="00BB529D"/>
    <w:rsid w:val="00BB590A"/>
    <w:rsid w:val="00BB71D4"/>
    <w:rsid w:val="00BC12C9"/>
    <w:rsid w:val="00BC4C86"/>
    <w:rsid w:val="00BC5ADB"/>
    <w:rsid w:val="00BD0B9A"/>
    <w:rsid w:val="00BD4732"/>
    <w:rsid w:val="00BD4AE6"/>
    <w:rsid w:val="00BD5029"/>
    <w:rsid w:val="00BD7B62"/>
    <w:rsid w:val="00BE3727"/>
    <w:rsid w:val="00BE5633"/>
    <w:rsid w:val="00BF7A5F"/>
    <w:rsid w:val="00C008C3"/>
    <w:rsid w:val="00C02C48"/>
    <w:rsid w:val="00C0606F"/>
    <w:rsid w:val="00C06CA7"/>
    <w:rsid w:val="00C07384"/>
    <w:rsid w:val="00C10D8E"/>
    <w:rsid w:val="00C11E26"/>
    <w:rsid w:val="00C267E8"/>
    <w:rsid w:val="00C32313"/>
    <w:rsid w:val="00C376FC"/>
    <w:rsid w:val="00C505AF"/>
    <w:rsid w:val="00C5660F"/>
    <w:rsid w:val="00C57251"/>
    <w:rsid w:val="00C612E8"/>
    <w:rsid w:val="00C625EC"/>
    <w:rsid w:val="00C7304E"/>
    <w:rsid w:val="00C7401E"/>
    <w:rsid w:val="00C75FB1"/>
    <w:rsid w:val="00C807B9"/>
    <w:rsid w:val="00C81BE0"/>
    <w:rsid w:val="00C8497E"/>
    <w:rsid w:val="00C86785"/>
    <w:rsid w:val="00C902EF"/>
    <w:rsid w:val="00C91D6A"/>
    <w:rsid w:val="00C924AE"/>
    <w:rsid w:val="00CA468A"/>
    <w:rsid w:val="00CA5EFB"/>
    <w:rsid w:val="00CA6E5D"/>
    <w:rsid w:val="00CB1143"/>
    <w:rsid w:val="00CB22B3"/>
    <w:rsid w:val="00CB5A42"/>
    <w:rsid w:val="00CB6BDC"/>
    <w:rsid w:val="00CC06A6"/>
    <w:rsid w:val="00CC09D4"/>
    <w:rsid w:val="00CC19CD"/>
    <w:rsid w:val="00CC631A"/>
    <w:rsid w:val="00CC663C"/>
    <w:rsid w:val="00CC6C75"/>
    <w:rsid w:val="00CD29B2"/>
    <w:rsid w:val="00CE2D3E"/>
    <w:rsid w:val="00CE2F7F"/>
    <w:rsid w:val="00CE35B4"/>
    <w:rsid w:val="00CF0C43"/>
    <w:rsid w:val="00CF20DD"/>
    <w:rsid w:val="00CF39B5"/>
    <w:rsid w:val="00CF3A5D"/>
    <w:rsid w:val="00CF431A"/>
    <w:rsid w:val="00D00C1E"/>
    <w:rsid w:val="00D0318E"/>
    <w:rsid w:val="00D05FAF"/>
    <w:rsid w:val="00D12BDF"/>
    <w:rsid w:val="00D147FF"/>
    <w:rsid w:val="00D2060C"/>
    <w:rsid w:val="00D21481"/>
    <w:rsid w:val="00D2292C"/>
    <w:rsid w:val="00D22F22"/>
    <w:rsid w:val="00D26E57"/>
    <w:rsid w:val="00D32BD3"/>
    <w:rsid w:val="00D34D7B"/>
    <w:rsid w:val="00D367EE"/>
    <w:rsid w:val="00D40DC7"/>
    <w:rsid w:val="00D4491E"/>
    <w:rsid w:val="00D46E15"/>
    <w:rsid w:val="00D62CA1"/>
    <w:rsid w:val="00D65482"/>
    <w:rsid w:val="00D67010"/>
    <w:rsid w:val="00D72C1C"/>
    <w:rsid w:val="00D74FCB"/>
    <w:rsid w:val="00D7776D"/>
    <w:rsid w:val="00D87319"/>
    <w:rsid w:val="00D90CB8"/>
    <w:rsid w:val="00D92CA6"/>
    <w:rsid w:val="00D9420B"/>
    <w:rsid w:val="00D96823"/>
    <w:rsid w:val="00DA0386"/>
    <w:rsid w:val="00DA0F7C"/>
    <w:rsid w:val="00DA3232"/>
    <w:rsid w:val="00DA4CC0"/>
    <w:rsid w:val="00DB05C0"/>
    <w:rsid w:val="00DB313E"/>
    <w:rsid w:val="00DB4371"/>
    <w:rsid w:val="00DB7528"/>
    <w:rsid w:val="00DB7EFE"/>
    <w:rsid w:val="00DC4696"/>
    <w:rsid w:val="00DC6564"/>
    <w:rsid w:val="00DD22FA"/>
    <w:rsid w:val="00DF0F53"/>
    <w:rsid w:val="00DF16FC"/>
    <w:rsid w:val="00DF232D"/>
    <w:rsid w:val="00DF2346"/>
    <w:rsid w:val="00DF2648"/>
    <w:rsid w:val="00DF33D9"/>
    <w:rsid w:val="00DF679E"/>
    <w:rsid w:val="00DF79CC"/>
    <w:rsid w:val="00E0116F"/>
    <w:rsid w:val="00E020F7"/>
    <w:rsid w:val="00E06644"/>
    <w:rsid w:val="00E06942"/>
    <w:rsid w:val="00E0726F"/>
    <w:rsid w:val="00E1029A"/>
    <w:rsid w:val="00E106B8"/>
    <w:rsid w:val="00E14AD8"/>
    <w:rsid w:val="00E238F9"/>
    <w:rsid w:val="00E306B5"/>
    <w:rsid w:val="00E31603"/>
    <w:rsid w:val="00E36BA5"/>
    <w:rsid w:val="00E40E22"/>
    <w:rsid w:val="00E41FBE"/>
    <w:rsid w:val="00E455A4"/>
    <w:rsid w:val="00E45A44"/>
    <w:rsid w:val="00E61681"/>
    <w:rsid w:val="00E62727"/>
    <w:rsid w:val="00E6615A"/>
    <w:rsid w:val="00E664C4"/>
    <w:rsid w:val="00E6793F"/>
    <w:rsid w:val="00E67A9F"/>
    <w:rsid w:val="00E67C8B"/>
    <w:rsid w:val="00E72ABF"/>
    <w:rsid w:val="00E7343E"/>
    <w:rsid w:val="00E76C84"/>
    <w:rsid w:val="00E83A64"/>
    <w:rsid w:val="00E84E66"/>
    <w:rsid w:val="00E9231E"/>
    <w:rsid w:val="00E964CA"/>
    <w:rsid w:val="00EA59E7"/>
    <w:rsid w:val="00EA5DBF"/>
    <w:rsid w:val="00EB113B"/>
    <w:rsid w:val="00EB13BF"/>
    <w:rsid w:val="00EB3EF4"/>
    <w:rsid w:val="00EB5D36"/>
    <w:rsid w:val="00EB678A"/>
    <w:rsid w:val="00EB6AE0"/>
    <w:rsid w:val="00EC665B"/>
    <w:rsid w:val="00ED4905"/>
    <w:rsid w:val="00EE1AF1"/>
    <w:rsid w:val="00EE38DE"/>
    <w:rsid w:val="00EF27F8"/>
    <w:rsid w:val="00EF5467"/>
    <w:rsid w:val="00F00140"/>
    <w:rsid w:val="00F01D38"/>
    <w:rsid w:val="00F0267C"/>
    <w:rsid w:val="00F05335"/>
    <w:rsid w:val="00F1058D"/>
    <w:rsid w:val="00F1137B"/>
    <w:rsid w:val="00F11A1E"/>
    <w:rsid w:val="00F12605"/>
    <w:rsid w:val="00F14015"/>
    <w:rsid w:val="00F14B30"/>
    <w:rsid w:val="00F269B8"/>
    <w:rsid w:val="00F350E3"/>
    <w:rsid w:val="00F35BE0"/>
    <w:rsid w:val="00F47459"/>
    <w:rsid w:val="00F4790E"/>
    <w:rsid w:val="00F52B45"/>
    <w:rsid w:val="00F53139"/>
    <w:rsid w:val="00F55CF7"/>
    <w:rsid w:val="00F56F17"/>
    <w:rsid w:val="00F60757"/>
    <w:rsid w:val="00F67089"/>
    <w:rsid w:val="00F67B41"/>
    <w:rsid w:val="00F764F7"/>
    <w:rsid w:val="00F76C3F"/>
    <w:rsid w:val="00F81594"/>
    <w:rsid w:val="00F82C2A"/>
    <w:rsid w:val="00F856C7"/>
    <w:rsid w:val="00F863DA"/>
    <w:rsid w:val="00F86F97"/>
    <w:rsid w:val="00F91A37"/>
    <w:rsid w:val="00F91F68"/>
    <w:rsid w:val="00F9301F"/>
    <w:rsid w:val="00F935AA"/>
    <w:rsid w:val="00F978A0"/>
    <w:rsid w:val="00FA3C38"/>
    <w:rsid w:val="00FA6271"/>
    <w:rsid w:val="00FB17DF"/>
    <w:rsid w:val="00FB3B7E"/>
    <w:rsid w:val="00FB4F2F"/>
    <w:rsid w:val="00FB5012"/>
    <w:rsid w:val="00FB5A8B"/>
    <w:rsid w:val="00FB70CA"/>
    <w:rsid w:val="00FC05E9"/>
    <w:rsid w:val="00FC0A73"/>
    <w:rsid w:val="00FC3637"/>
    <w:rsid w:val="00FC4ACD"/>
    <w:rsid w:val="00FC6435"/>
    <w:rsid w:val="00FD15EA"/>
    <w:rsid w:val="00FD2026"/>
    <w:rsid w:val="00FD791A"/>
    <w:rsid w:val="00FE0797"/>
    <w:rsid w:val="00FE3018"/>
    <w:rsid w:val="00FE7D3D"/>
    <w:rsid w:val="00FF3502"/>
    <w:rsid w:val="00FF5DE2"/>
    <w:rsid w:val="00FF76ED"/>
    <w:rsid w:val="1321BFE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C6F0109"/>
  <w14:defaultImageDpi w14:val="330"/>
  <w15:chartTrackingRefBased/>
  <w15:docId w15:val="{CBBD9B42-58C4-4364-A431-5AAFB6FCF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NZ Body"/>
    <w:qFormat/>
    <w:rsid w:val="008B37CF"/>
    <w:pPr>
      <w:spacing w:after="140" w:line="320" w:lineRule="exact"/>
    </w:pPr>
    <w:rPr>
      <w:color w:val="000000" w:themeColor="text1"/>
      <w:sz w:val="20"/>
    </w:rPr>
  </w:style>
  <w:style w:type="paragraph" w:styleId="Heading1">
    <w:name w:val="heading 1"/>
    <w:basedOn w:val="Normal"/>
    <w:next w:val="Normal"/>
    <w:link w:val="Heading1Char"/>
    <w:uiPriority w:val="9"/>
    <w:qFormat/>
    <w:rsid w:val="00546EA9"/>
    <w:pPr>
      <w:keepNext/>
      <w:keepLines/>
      <w:spacing w:before="240" w:after="0"/>
      <w:outlineLvl w:val="0"/>
    </w:pPr>
    <w:rPr>
      <w:rFonts w:asciiTheme="majorHAnsi" w:eastAsiaTheme="majorEastAsia" w:hAnsiTheme="majorHAnsi" w:cstheme="majorBidi"/>
      <w:color w:val="005D7C" w:themeColor="accent1" w:themeShade="BF"/>
      <w:sz w:val="32"/>
      <w:szCs w:val="32"/>
    </w:rPr>
  </w:style>
  <w:style w:type="paragraph" w:styleId="Heading2">
    <w:name w:val="heading 2"/>
    <w:basedOn w:val="Normal"/>
    <w:next w:val="Normal"/>
    <w:link w:val="Heading2Char"/>
    <w:uiPriority w:val="9"/>
    <w:unhideWhenUsed/>
    <w:qFormat/>
    <w:rsid w:val="009D5C4D"/>
    <w:pPr>
      <w:keepNext/>
      <w:keepLines/>
      <w:spacing w:before="160" w:after="80" w:line="259" w:lineRule="auto"/>
      <w:outlineLvl w:val="1"/>
    </w:pPr>
    <w:rPr>
      <w:rFonts w:asciiTheme="majorHAnsi" w:eastAsiaTheme="majorEastAsia" w:hAnsiTheme="majorHAnsi" w:cstheme="majorBidi"/>
      <w:color w:val="005D7C" w:themeColor="accent1" w:themeShade="BF"/>
      <w:sz w:val="28"/>
      <w:szCs w:val="32"/>
    </w:rPr>
  </w:style>
  <w:style w:type="paragraph" w:styleId="Heading3">
    <w:name w:val="heading 3"/>
    <w:basedOn w:val="Normal"/>
    <w:next w:val="Normal"/>
    <w:link w:val="Heading3Char"/>
    <w:uiPriority w:val="9"/>
    <w:unhideWhenUsed/>
    <w:qFormat/>
    <w:rsid w:val="0031231C"/>
    <w:pPr>
      <w:keepNext/>
      <w:keepLines/>
      <w:spacing w:before="40" w:after="0"/>
      <w:outlineLvl w:val="2"/>
    </w:pPr>
    <w:rPr>
      <w:rFonts w:asciiTheme="majorHAnsi" w:eastAsiaTheme="majorEastAsia" w:hAnsiTheme="majorHAnsi" w:cstheme="majorBidi"/>
      <w:color w:val="007DA6" w:themeColor="accent1"/>
      <w:sz w:val="24"/>
      <w:szCs w:val="24"/>
    </w:rPr>
  </w:style>
  <w:style w:type="paragraph" w:styleId="Heading4">
    <w:name w:val="heading 4"/>
    <w:basedOn w:val="Normal"/>
    <w:next w:val="Normal"/>
    <w:link w:val="Heading4Char"/>
    <w:uiPriority w:val="9"/>
    <w:unhideWhenUsed/>
    <w:qFormat/>
    <w:rsid w:val="00B45737"/>
    <w:pPr>
      <w:keepNext/>
      <w:keepLines/>
      <w:spacing w:before="40" w:after="0"/>
      <w:outlineLvl w:val="3"/>
    </w:pPr>
    <w:rPr>
      <w:rFonts w:asciiTheme="majorHAnsi" w:eastAsiaTheme="majorEastAsia" w:hAnsiTheme="majorHAnsi" w:cstheme="majorBidi"/>
      <w:i/>
      <w:iCs/>
      <w:color w:val="005D7C" w:themeColor="accent1" w:themeShade="BF"/>
    </w:rPr>
  </w:style>
  <w:style w:type="paragraph" w:styleId="Heading5">
    <w:name w:val="heading 5"/>
    <w:basedOn w:val="Normal"/>
    <w:next w:val="Normal"/>
    <w:link w:val="Heading5Char"/>
    <w:uiPriority w:val="9"/>
    <w:semiHidden/>
    <w:unhideWhenUsed/>
    <w:qFormat/>
    <w:rsid w:val="00844C99"/>
    <w:pPr>
      <w:keepNext/>
      <w:keepLines/>
      <w:spacing w:before="40" w:after="0"/>
      <w:outlineLvl w:val="4"/>
    </w:pPr>
    <w:rPr>
      <w:rFonts w:ascii="Calibri" w:eastAsia="MS Gothic" w:hAnsi="Calibri" w:cs="Times New Roman"/>
      <w:color w:val="243F60"/>
      <w:sz w:val="22"/>
    </w:rPr>
  </w:style>
  <w:style w:type="paragraph" w:styleId="Heading6">
    <w:name w:val="heading 6"/>
    <w:basedOn w:val="Normal"/>
    <w:next w:val="Normal"/>
    <w:link w:val="Heading6Char"/>
    <w:uiPriority w:val="9"/>
    <w:semiHidden/>
    <w:unhideWhenUsed/>
    <w:qFormat/>
    <w:rsid w:val="00844C99"/>
    <w:pPr>
      <w:keepNext/>
      <w:keepLines/>
      <w:spacing w:before="40" w:after="0"/>
      <w:outlineLvl w:val="5"/>
    </w:pPr>
    <w:rPr>
      <w:rFonts w:ascii="Calibri" w:eastAsia="MS Gothic" w:hAnsi="Calibri" w:cs="Times New Roman"/>
      <w:i/>
      <w:iCs/>
      <w:color w:val="243F60"/>
      <w:sz w:val="22"/>
    </w:rPr>
  </w:style>
  <w:style w:type="paragraph" w:styleId="Heading7">
    <w:name w:val="heading 7"/>
    <w:basedOn w:val="Normal"/>
    <w:next w:val="Normal"/>
    <w:link w:val="Heading7Char"/>
    <w:uiPriority w:val="9"/>
    <w:semiHidden/>
    <w:unhideWhenUsed/>
    <w:qFormat/>
    <w:rsid w:val="00844C99"/>
    <w:pPr>
      <w:keepNext/>
      <w:keepLines/>
      <w:spacing w:before="40" w:after="0"/>
      <w:outlineLvl w:val="6"/>
    </w:pPr>
    <w:rPr>
      <w:rFonts w:ascii="Calibri" w:eastAsia="MS Gothic" w:hAnsi="Calibri" w:cs="Times New Roman"/>
      <w:i/>
      <w:iCs/>
      <w:color w:val="404040"/>
      <w:sz w:val="22"/>
    </w:rPr>
  </w:style>
  <w:style w:type="paragraph" w:styleId="Heading8">
    <w:name w:val="heading 8"/>
    <w:basedOn w:val="Normal"/>
    <w:next w:val="Normal"/>
    <w:link w:val="Heading8Char"/>
    <w:uiPriority w:val="9"/>
    <w:semiHidden/>
    <w:unhideWhenUsed/>
    <w:qFormat/>
    <w:rsid w:val="00844C99"/>
    <w:pPr>
      <w:keepNext/>
      <w:keepLines/>
      <w:spacing w:before="40" w:after="0"/>
      <w:outlineLvl w:val="7"/>
    </w:pPr>
    <w:rPr>
      <w:rFonts w:ascii="Calibri" w:eastAsia="MS Gothic" w:hAnsi="Calibri" w:cs="Times New Roman"/>
      <w:color w:val="4F81BD"/>
      <w:szCs w:val="20"/>
    </w:rPr>
  </w:style>
  <w:style w:type="paragraph" w:styleId="Heading9">
    <w:name w:val="heading 9"/>
    <w:basedOn w:val="Normal"/>
    <w:next w:val="Normal"/>
    <w:link w:val="Heading9Char"/>
    <w:uiPriority w:val="9"/>
    <w:semiHidden/>
    <w:unhideWhenUsed/>
    <w:qFormat/>
    <w:rsid w:val="00844C99"/>
    <w:pPr>
      <w:keepNext/>
      <w:keepLines/>
      <w:spacing w:before="40" w:after="0"/>
      <w:outlineLvl w:val="8"/>
    </w:pPr>
    <w:rPr>
      <w:rFonts w:ascii="Calibri" w:eastAsia="MS Gothic" w:hAnsi="Calibri" w:cs="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0D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DC7"/>
  </w:style>
  <w:style w:type="paragraph" w:styleId="Footer">
    <w:name w:val="footer"/>
    <w:basedOn w:val="Normal"/>
    <w:link w:val="FooterChar"/>
    <w:uiPriority w:val="99"/>
    <w:unhideWhenUsed/>
    <w:rsid w:val="00D40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DC7"/>
  </w:style>
  <w:style w:type="paragraph" w:customStyle="1" w:styleId="SNZCaption">
    <w:name w:val="SNZ Caption"/>
    <w:link w:val="SNZCaptionChar"/>
    <w:qFormat/>
    <w:rsid w:val="002C7E00"/>
    <w:pPr>
      <w:spacing w:after="0" w:line="200" w:lineRule="exact"/>
    </w:pPr>
    <w:rPr>
      <w:color w:val="000000" w:themeColor="text1"/>
      <w:sz w:val="16"/>
    </w:rPr>
  </w:style>
  <w:style w:type="paragraph" w:customStyle="1" w:styleId="SNZBodyHeader">
    <w:name w:val="SNZ Body Header"/>
    <w:basedOn w:val="Normal"/>
    <w:link w:val="SNZBodyHeaderChar"/>
    <w:qFormat/>
    <w:rsid w:val="002C7E00"/>
    <w:rPr>
      <w:b/>
    </w:rPr>
  </w:style>
  <w:style w:type="character" w:customStyle="1" w:styleId="SNZCaptionChar">
    <w:name w:val="SNZ Caption Char"/>
    <w:basedOn w:val="DefaultParagraphFont"/>
    <w:link w:val="SNZCaption"/>
    <w:rsid w:val="002C7E00"/>
    <w:rPr>
      <w:color w:val="000000" w:themeColor="text1"/>
      <w:sz w:val="16"/>
    </w:rPr>
  </w:style>
  <w:style w:type="paragraph" w:styleId="NormalWeb">
    <w:name w:val="Normal (Web)"/>
    <w:basedOn w:val="Normal"/>
    <w:uiPriority w:val="99"/>
    <w:semiHidden/>
    <w:unhideWhenUsed/>
    <w:rsid w:val="007265A3"/>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SNZBodyHeaderChar">
    <w:name w:val="SNZ Body Header Char"/>
    <w:basedOn w:val="DefaultParagraphFont"/>
    <w:link w:val="SNZBodyHeader"/>
    <w:rsid w:val="002C7E00"/>
    <w:rPr>
      <w:b/>
      <w:sz w:val="20"/>
    </w:rPr>
  </w:style>
  <w:style w:type="paragraph" w:customStyle="1" w:styleId="MainTitle">
    <w:name w:val="Main Title"/>
    <w:link w:val="MainTitleChar"/>
    <w:qFormat/>
    <w:rsid w:val="009A56D0"/>
    <w:pPr>
      <w:spacing w:after="360" w:line="800" w:lineRule="exact"/>
    </w:pPr>
    <w:rPr>
      <w:b/>
      <w:color w:val="000000" w:themeColor="text1"/>
      <w:sz w:val="80"/>
    </w:rPr>
  </w:style>
  <w:style w:type="paragraph" w:customStyle="1" w:styleId="IntroCopy">
    <w:name w:val="Intro Copy"/>
    <w:link w:val="IntroCopyChar"/>
    <w:qFormat/>
    <w:rsid w:val="00DA0386"/>
    <w:pPr>
      <w:spacing w:after="240" w:line="320" w:lineRule="exact"/>
    </w:pPr>
    <w:rPr>
      <w:color w:val="000000" w:themeColor="text1"/>
      <w:sz w:val="28"/>
    </w:rPr>
  </w:style>
  <w:style w:type="character" w:customStyle="1" w:styleId="MainTitleChar">
    <w:name w:val="Main Title Char"/>
    <w:basedOn w:val="SNZBodyHeaderChar"/>
    <w:link w:val="MainTitle"/>
    <w:rsid w:val="009A56D0"/>
    <w:rPr>
      <w:b/>
      <w:color w:val="000000" w:themeColor="text1"/>
      <w:sz w:val="80"/>
    </w:rPr>
  </w:style>
  <w:style w:type="paragraph" w:customStyle="1" w:styleId="BodySubhead">
    <w:name w:val="Body Subhead"/>
    <w:link w:val="BodySubheadChar"/>
    <w:qFormat/>
    <w:rsid w:val="00DA0386"/>
    <w:pPr>
      <w:spacing w:after="0" w:line="280" w:lineRule="exact"/>
    </w:pPr>
    <w:rPr>
      <w:b/>
      <w:color w:val="000000" w:themeColor="text1"/>
      <w:sz w:val="28"/>
    </w:rPr>
  </w:style>
  <w:style w:type="character" w:customStyle="1" w:styleId="IntroCopyChar">
    <w:name w:val="Intro Copy Char"/>
    <w:basedOn w:val="DefaultParagraphFont"/>
    <w:link w:val="IntroCopy"/>
    <w:rsid w:val="00DA0386"/>
    <w:rPr>
      <w:color w:val="000000" w:themeColor="text1"/>
      <w:sz w:val="28"/>
    </w:rPr>
  </w:style>
  <w:style w:type="character" w:customStyle="1" w:styleId="BodySubheadChar">
    <w:name w:val="Body Subhead Char"/>
    <w:basedOn w:val="DefaultParagraphFont"/>
    <w:link w:val="BodySubhead"/>
    <w:rsid w:val="00DA0386"/>
    <w:rPr>
      <w:b/>
      <w:color w:val="000000" w:themeColor="text1"/>
      <w:sz w:val="28"/>
    </w:rPr>
  </w:style>
  <w:style w:type="paragraph" w:styleId="BalloonText">
    <w:name w:val="Balloon Text"/>
    <w:basedOn w:val="Normal"/>
    <w:link w:val="BalloonTextChar"/>
    <w:uiPriority w:val="99"/>
    <w:semiHidden/>
    <w:unhideWhenUsed/>
    <w:rsid w:val="00944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98E"/>
    <w:rPr>
      <w:rFonts w:ascii="Segoe UI" w:hAnsi="Segoe UI" w:cs="Segoe UI"/>
      <w:color w:val="000000" w:themeColor="text1"/>
      <w:sz w:val="18"/>
      <w:szCs w:val="18"/>
    </w:rPr>
  </w:style>
  <w:style w:type="table" w:styleId="PlainTable2">
    <w:name w:val="Plain Table 2"/>
    <w:basedOn w:val="TableNormal"/>
    <w:uiPriority w:val="42"/>
    <w:rsid w:val="004E5189"/>
    <w:pPr>
      <w:spacing w:after="0" w:line="240" w:lineRule="auto"/>
    </w:pPr>
    <w:rPr>
      <w:rFonts w:ascii="Arial" w:hAnsi="Arial"/>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DefaultParagraphFont"/>
    <w:rsid w:val="004E5189"/>
  </w:style>
  <w:style w:type="paragraph" w:customStyle="1" w:styleId="Default">
    <w:name w:val="Default"/>
    <w:rsid w:val="004E518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65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46EA9"/>
    <w:rPr>
      <w:rFonts w:asciiTheme="majorHAnsi" w:eastAsiaTheme="majorEastAsia" w:hAnsiTheme="majorHAnsi" w:cstheme="majorBidi"/>
      <w:color w:val="005D7C" w:themeColor="accent1" w:themeShade="BF"/>
      <w:sz w:val="32"/>
      <w:szCs w:val="32"/>
    </w:rPr>
  </w:style>
  <w:style w:type="paragraph" w:styleId="TOCHeading">
    <w:name w:val="TOC Heading"/>
    <w:basedOn w:val="Heading1"/>
    <w:next w:val="Normal"/>
    <w:uiPriority w:val="39"/>
    <w:unhideWhenUsed/>
    <w:qFormat/>
    <w:rsid w:val="00546EA9"/>
    <w:pPr>
      <w:spacing w:line="259" w:lineRule="auto"/>
      <w:outlineLvl w:val="9"/>
    </w:pPr>
    <w:rPr>
      <w:lang w:val="en-US"/>
    </w:rPr>
  </w:style>
  <w:style w:type="paragraph" w:styleId="ListParagraph">
    <w:name w:val="List Paragraph"/>
    <w:basedOn w:val="Normal"/>
    <w:link w:val="ListParagraphChar"/>
    <w:uiPriority w:val="34"/>
    <w:qFormat/>
    <w:rsid w:val="002A5A44"/>
    <w:pPr>
      <w:ind w:left="720"/>
      <w:contextualSpacing/>
    </w:pPr>
  </w:style>
  <w:style w:type="character" w:customStyle="1" w:styleId="ListParagraphChar">
    <w:name w:val="List Paragraph Char"/>
    <w:basedOn w:val="DefaultParagraphFont"/>
    <w:link w:val="ListParagraph"/>
    <w:uiPriority w:val="34"/>
    <w:rsid w:val="00A84727"/>
    <w:rPr>
      <w:color w:val="000000" w:themeColor="text1"/>
      <w:sz w:val="20"/>
    </w:rPr>
  </w:style>
  <w:style w:type="character" w:customStyle="1" w:styleId="Heading2Char">
    <w:name w:val="Heading 2 Char"/>
    <w:basedOn w:val="DefaultParagraphFont"/>
    <w:link w:val="Heading2"/>
    <w:uiPriority w:val="9"/>
    <w:rsid w:val="009D5C4D"/>
    <w:rPr>
      <w:rFonts w:asciiTheme="majorHAnsi" w:eastAsiaTheme="majorEastAsia" w:hAnsiTheme="majorHAnsi" w:cstheme="majorBidi"/>
      <w:color w:val="005D7C" w:themeColor="accent1" w:themeShade="BF"/>
      <w:sz w:val="28"/>
      <w:szCs w:val="32"/>
    </w:rPr>
  </w:style>
  <w:style w:type="character" w:styleId="Hyperlink">
    <w:name w:val="Hyperlink"/>
    <w:basedOn w:val="DefaultParagraphFont"/>
    <w:uiPriority w:val="99"/>
    <w:unhideWhenUsed/>
    <w:rsid w:val="00824592"/>
    <w:rPr>
      <w:color w:val="FF6900" w:themeColor="hyperlink"/>
      <w:u w:val="single"/>
    </w:rPr>
  </w:style>
  <w:style w:type="character" w:styleId="UnresolvedMention">
    <w:name w:val="Unresolved Mention"/>
    <w:basedOn w:val="DefaultParagraphFont"/>
    <w:uiPriority w:val="99"/>
    <w:semiHidden/>
    <w:unhideWhenUsed/>
    <w:rsid w:val="00824592"/>
    <w:rPr>
      <w:color w:val="605E5C"/>
      <w:shd w:val="clear" w:color="auto" w:fill="E1DFDD"/>
    </w:rPr>
  </w:style>
  <w:style w:type="paragraph" w:styleId="FootnoteText">
    <w:name w:val="footnote text"/>
    <w:basedOn w:val="Normal"/>
    <w:link w:val="FootnoteTextChar"/>
    <w:uiPriority w:val="99"/>
    <w:semiHidden/>
    <w:unhideWhenUsed/>
    <w:rsid w:val="00643067"/>
    <w:pPr>
      <w:spacing w:after="0" w:line="240" w:lineRule="auto"/>
    </w:pPr>
    <w:rPr>
      <w:szCs w:val="20"/>
    </w:rPr>
  </w:style>
  <w:style w:type="character" w:customStyle="1" w:styleId="FootnoteTextChar">
    <w:name w:val="Footnote Text Char"/>
    <w:basedOn w:val="DefaultParagraphFont"/>
    <w:link w:val="FootnoteText"/>
    <w:uiPriority w:val="99"/>
    <w:semiHidden/>
    <w:rsid w:val="00643067"/>
    <w:rPr>
      <w:color w:val="000000" w:themeColor="text1"/>
      <w:sz w:val="20"/>
      <w:szCs w:val="20"/>
    </w:rPr>
  </w:style>
  <w:style w:type="character" w:styleId="FootnoteReference">
    <w:name w:val="footnote reference"/>
    <w:basedOn w:val="DefaultParagraphFont"/>
    <w:uiPriority w:val="99"/>
    <w:semiHidden/>
    <w:unhideWhenUsed/>
    <w:rsid w:val="00643067"/>
    <w:rPr>
      <w:vertAlign w:val="superscript"/>
    </w:rPr>
  </w:style>
  <w:style w:type="paragraph" w:styleId="Revision">
    <w:name w:val="Revision"/>
    <w:hidden/>
    <w:uiPriority w:val="99"/>
    <w:semiHidden/>
    <w:rsid w:val="001A7F4C"/>
    <w:pPr>
      <w:spacing w:after="0" w:line="240" w:lineRule="auto"/>
    </w:pPr>
    <w:rPr>
      <w:color w:val="000000" w:themeColor="text1"/>
      <w:sz w:val="20"/>
    </w:rPr>
  </w:style>
  <w:style w:type="character" w:styleId="CommentReference">
    <w:name w:val="annotation reference"/>
    <w:basedOn w:val="DefaultParagraphFont"/>
    <w:uiPriority w:val="99"/>
    <w:semiHidden/>
    <w:unhideWhenUsed/>
    <w:rsid w:val="00B91D1A"/>
    <w:rPr>
      <w:sz w:val="16"/>
      <w:szCs w:val="16"/>
    </w:rPr>
  </w:style>
  <w:style w:type="paragraph" w:styleId="CommentText">
    <w:name w:val="annotation text"/>
    <w:basedOn w:val="Normal"/>
    <w:link w:val="CommentTextChar"/>
    <w:uiPriority w:val="99"/>
    <w:unhideWhenUsed/>
    <w:rsid w:val="00B91D1A"/>
    <w:pPr>
      <w:spacing w:line="240" w:lineRule="auto"/>
    </w:pPr>
    <w:rPr>
      <w:szCs w:val="20"/>
    </w:rPr>
  </w:style>
  <w:style w:type="character" w:customStyle="1" w:styleId="CommentTextChar">
    <w:name w:val="Comment Text Char"/>
    <w:basedOn w:val="DefaultParagraphFont"/>
    <w:link w:val="CommentText"/>
    <w:uiPriority w:val="99"/>
    <w:rsid w:val="00B91D1A"/>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91D1A"/>
    <w:rPr>
      <w:b/>
      <w:bCs/>
    </w:rPr>
  </w:style>
  <w:style w:type="character" w:customStyle="1" w:styleId="CommentSubjectChar">
    <w:name w:val="Comment Subject Char"/>
    <w:basedOn w:val="CommentTextChar"/>
    <w:link w:val="CommentSubject"/>
    <w:uiPriority w:val="99"/>
    <w:semiHidden/>
    <w:rsid w:val="00B91D1A"/>
    <w:rPr>
      <w:b/>
      <w:bCs/>
      <w:color w:val="000000" w:themeColor="text1"/>
      <w:sz w:val="20"/>
      <w:szCs w:val="20"/>
    </w:rPr>
  </w:style>
  <w:style w:type="paragraph" w:styleId="TOC2">
    <w:name w:val="toc 2"/>
    <w:basedOn w:val="Normal"/>
    <w:next w:val="Normal"/>
    <w:autoRedefine/>
    <w:uiPriority w:val="39"/>
    <w:unhideWhenUsed/>
    <w:rsid w:val="007A3AEE"/>
    <w:pPr>
      <w:spacing w:after="100"/>
      <w:ind w:left="200"/>
    </w:pPr>
  </w:style>
  <w:style w:type="paragraph" w:styleId="TOC1">
    <w:name w:val="toc 1"/>
    <w:basedOn w:val="Normal"/>
    <w:next w:val="Normal"/>
    <w:autoRedefine/>
    <w:uiPriority w:val="39"/>
    <w:unhideWhenUsed/>
    <w:rsid w:val="00E7343E"/>
    <w:pPr>
      <w:spacing w:after="100"/>
    </w:pPr>
  </w:style>
  <w:style w:type="character" w:customStyle="1" w:styleId="Heading3Char">
    <w:name w:val="Heading 3 Char"/>
    <w:basedOn w:val="DefaultParagraphFont"/>
    <w:link w:val="Heading3"/>
    <w:uiPriority w:val="9"/>
    <w:rsid w:val="0031231C"/>
    <w:rPr>
      <w:rFonts w:asciiTheme="majorHAnsi" w:eastAsiaTheme="majorEastAsia" w:hAnsiTheme="majorHAnsi" w:cstheme="majorBidi"/>
      <w:color w:val="007DA6" w:themeColor="accent1"/>
      <w:sz w:val="24"/>
      <w:szCs w:val="24"/>
    </w:rPr>
  </w:style>
  <w:style w:type="paragraph" w:customStyle="1" w:styleId="Heading22">
    <w:name w:val="Heading 22"/>
    <w:basedOn w:val="ListParagraph"/>
    <w:link w:val="Heading22Char"/>
    <w:qFormat/>
    <w:rsid w:val="0031231C"/>
    <w:pPr>
      <w:numPr>
        <w:ilvl w:val="1"/>
        <w:numId w:val="1"/>
      </w:numPr>
    </w:pPr>
    <w:rPr>
      <w:rFonts w:eastAsia="Times New Roman" w:cstheme="minorHAnsi"/>
      <w:b/>
      <w:bCs/>
      <w:color w:val="007DA6" w:themeColor="accent1"/>
      <w:sz w:val="24"/>
      <w:lang w:eastAsia="en-NZ"/>
    </w:rPr>
  </w:style>
  <w:style w:type="character" w:customStyle="1" w:styleId="Heading22Char">
    <w:name w:val="Heading 22 Char"/>
    <w:basedOn w:val="ListParagraphChar"/>
    <w:link w:val="Heading22"/>
    <w:rsid w:val="0031231C"/>
    <w:rPr>
      <w:rFonts w:eastAsia="Times New Roman" w:cstheme="minorHAnsi"/>
      <w:b/>
      <w:bCs/>
      <w:color w:val="007DA6" w:themeColor="accent1"/>
      <w:sz w:val="24"/>
      <w:lang w:eastAsia="en-NZ"/>
    </w:rPr>
  </w:style>
  <w:style w:type="paragraph" w:styleId="TOC3">
    <w:name w:val="toc 3"/>
    <w:basedOn w:val="Normal"/>
    <w:next w:val="Normal"/>
    <w:autoRedefine/>
    <w:uiPriority w:val="39"/>
    <w:unhideWhenUsed/>
    <w:rsid w:val="00E7343E"/>
    <w:pPr>
      <w:spacing w:after="100"/>
      <w:ind w:left="400"/>
    </w:pPr>
  </w:style>
  <w:style w:type="character" w:customStyle="1" w:styleId="Heading4Char">
    <w:name w:val="Heading 4 Char"/>
    <w:basedOn w:val="DefaultParagraphFont"/>
    <w:link w:val="Heading4"/>
    <w:uiPriority w:val="9"/>
    <w:rsid w:val="00B45737"/>
    <w:rPr>
      <w:rFonts w:asciiTheme="majorHAnsi" w:eastAsiaTheme="majorEastAsia" w:hAnsiTheme="majorHAnsi" w:cstheme="majorBidi"/>
      <w:i/>
      <w:iCs/>
      <w:color w:val="005D7C" w:themeColor="accent1" w:themeShade="BF"/>
      <w:sz w:val="20"/>
    </w:rPr>
  </w:style>
  <w:style w:type="paragraph" w:styleId="TableofFigures">
    <w:name w:val="table of figures"/>
    <w:basedOn w:val="Normal"/>
    <w:next w:val="Normal"/>
    <w:uiPriority w:val="99"/>
    <w:unhideWhenUsed/>
    <w:rsid w:val="00E62727"/>
    <w:pPr>
      <w:spacing w:after="0"/>
    </w:pPr>
  </w:style>
  <w:style w:type="paragraph" w:styleId="TOC4">
    <w:name w:val="toc 4"/>
    <w:basedOn w:val="Normal"/>
    <w:next w:val="Normal"/>
    <w:autoRedefine/>
    <w:uiPriority w:val="39"/>
    <w:unhideWhenUsed/>
    <w:rsid w:val="0020036A"/>
    <w:pPr>
      <w:spacing w:after="100"/>
      <w:ind w:left="600"/>
    </w:pPr>
  </w:style>
  <w:style w:type="paragraph" w:customStyle="1" w:styleId="Heading51">
    <w:name w:val="Heading 51"/>
    <w:basedOn w:val="Normal"/>
    <w:next w:val="Normal"/>
    <w:uiPriority w:val="9"/>
    <w:semiHidden/>
    <w:unhideWhenUsed/>
    <w:qFormat/>
    <w:rsid w:val="00844C99"/>
    <w:pPr>
      <w:keepNext/>
      <w:keepLines/>
      <w:spacing w:before="200" w:after="0" w:line="276" w:lineRule="auto"/>
      <w:outlineLvl w:val="4"/>
    </w:pPr>
    <w:rPr>
      <w:rFonts w:ascii="Calibri" w:eastAsia="MS Gothic" w:hAnsi="Calibri" w:cs="Times New Roman"/>
      <w:color w:val="243F60"/>
      <w:sz w:val="22"/>
    </w:rPr>
  </w:style>
  <w:style w:type="paragraph" w:customStyle="1" w:styleId="Heading61">
    <w:name w:val="Heading 61"/>
    <w:basedOn w:val="Normal"/>
    <w:next w:val="Normal"/>
    <w:uiPriority w:val="9"/>
    <w:semiHidden/>
    <w:unhideWhenUsed/>
    <w:qFormat/>
    <w:rsid w:val="00844C99"/>
    <w:pPr>
      <w:keepNext/>
      <w:keepLines/>
      <w:spacing w:before="200" w:after="0" w:line="276" w:lineRule="auto"/>
      <w:outlineLvl w:val="5"/>
    </w:pPr>
    <w:rPr>
      <w:rFonts w:ascii="Calibri" w:eastAsia="MS Gothic" w:hAnsi="Calibri" w:cs="Times New Roman"/>
      <w:i/>
      <w:iCs/>
      <w:color w:val="243F60"/>
      <w:sz w:val="22"/>
    </w:rPr>
  </w:style>
  <w:style w:type="paragraph" w:customStyle="1" w:styleId="Heading71">
    <w:name w:val="Heading 71"/>
    <w:basedOn w:val="Normal"/>
    <w:next w:val="Normal"/>
    <w:uiPriority w:val="9"/>
    <w:semiHidden/>
    <w:unhideWhenUsed/>
    <w:qFormat/>
    <w:rsid w:val="00844C99"/>
    <w:pPr>
      <w:keepNext/>
      <w:keepLines/>
      <w:spacing w:before="200" w:after="0" w:line="276" w:lineRule="auto"/>
      <w:outlineLvl w:val="6"/>
    </w:pPr>
    <w:rPr>
      <w:rFonts w:ascii="Calibri" w:eastAsia="MS Gothic" w:hAnsi="Calibri" w:cs="Times New Roman"/>
      <w:i/>
      <w:iCs/>
      <w:color w:val="404040"/>
      <w:sz w:val="22"/>
    </w:rPr>
  </w:style>
  <w:style w:type="paragraph" w:customStyle="1" w:styleId="Heading81">
    <w:name w:val="Heading 81"/>
    <w:basedOn w:val="Normal"/>
    <w:next w:val="Normal"/>
    <w:uiPriority w:val="9"/>
    <w:semiHidden/>
    <w:unhideWhenUsed/>
    <w:qFormat/>
    <w:rsid w:val="00844C99"/>
    <w:pPr>
      <w:keepNext/>
      <w:keepLines/>
      <w:spacing w:before="200" w:after="0" w:line="276" w:lineRule="auto"/>
      <w:outlineLvl w:val="7"/>
    </w:pPr>
    <w:rPr>
      <w:rFonts w:ascii="Calibri" w:eastAsia="MS Gothic" w:hAnsi="Calibri" w:cs="Times New Roman"/>
      <w:color w:val="4F81BD"/>
      <w:szCs w:val="20"/>
    </w:rPr>
  </w:style>
  <w:style w:type="paragraph" w:customStyle="1" w:styleId="Heading91">
    <w:name w:val="Heading 91"/>
    <w:basedOn w:val="Normal"/>
    <w:next w:val="Normal"/>
    <w:uiPriority w:val="9"/>
    <w:semiHidden/>
    <w:unhideWhenUsed/>
    <w:qFormat/>
    <w:rsid w:val="00844C99"/>
    <w:pPr>
      <w:keepNext/>
      <w:keepLines/>
      <w:spacing w:before="200" w:after="0" w:line="276" w:lineRule="auto"/>
      <w:outlineLvl w:val="8"/>
    </w:pPr>
    <w:rPr>
      <w:rFonts w:ascii="Calibri" w:eastAsia="MS Gothic" w:hAnsi="Calibri" w:cs="Times New Roman"/>
      <w:i/>
      <w:iCs/>
      <w:color w:val="404040"/>
      <w:szCs w:val="20"/>
    </w:rPr>
  </w:style>
  <w:style w:type="numbering" w:customStyle="1" w:styleId="NoList1">
    <w:name w:val="No List1"/>
    <w:next w:val="NoList"/>
    <w:uiPriority w:val="99"/>
    <w:semiHidden/>
    <w:unhideWhenUsed/>
    <w:rsid w:val="00844C99"/>
  </w:style>
  <w:style w:type="character" w:customStyle="1" w:styleId="Heading5Char">
    <w:name w:val="Heading 5 Char"/>
    <w:basedOn w:val="DefaultParagraphFont"/>
    <w:link w:val="Heading5"/>
    <w:uiPriority w:val="9"/>
    <w:semiHidden/>
    <w:rsid w:val="00844C99"/>
    <w:rPr>
      <w:rFonts w:ascii="Calibri" w:eastAsia="MS Gothic" w:hAnsi="Calibri" w:cs="Times New Roman"/>
      <w:color w:val="243F60"/>
      <w:lang w:val="en-NZ"/>
    </w:rPr>
  </w:style>
  <w:style w:type="character" w:customStyle="1" w:styleId="Heading6Char">
    <w:name w:val="Heading 6 Char"/>
    <w:basedOn w:val="DefaultParagraphFont"/>
    <w:link w:val="Heading6"/>
    <w:uiPriority w:val="9"/>
    <w:semiHidden/>
    <w:rsid w:val="00844C99"/>
    <w:rPr>
      <w:rFonts w:ascii="Calibri" w:eastAsia="MS Gothic" w:hAnsi="Calibri" w:cs="Times New Roman"/>
      <w:i/>
      <w:iCs/>
      <w:color w:val="243F60"/>
      <w:lang w:val="en-NZ"/>
    </w:rPr>
  </w:style>
  <w:style w:type="character" w:customStyle="1" w:styleId="Heading7Char">
    <w:name w:val="Heading 7 Char"/>
    <w:basedOn w:val="DefaultParagraphFont"/>
    <w:link w:val="Heading7"/>
    <w:uiPriority w:val="9"/>
    <w:semiHidden/>
    <w:rsid w:val="00844C99"/>
    <w:rPr>
      <w:rFonts w:ascii="Calibri" w:eastAsia="MS Gothic" w:hAnsi="Calibri" w:cs="Times New Roman"/>
      <w:i/>
      <w:iCs/>
      <w:color w:val="404040"/>
      <w:lang w:val="en-NZ"/>
    </w:rPr>
  </w:style>
  <w:style w:type="character" w:customStyle="1" w:styleId="Heading8Char">
    <w:name w:val="Heading 8 Char"/>
    <w:basedOn w:val="DefaultParagraphFont"/>
    <w:link w:val="Heading8"/>
    <w:uiPriority w:val="9"/>
    <w:semiHidden/>
    <w:rsid w:val="00844C99"/>
    <w:rPr>
      <w:rFonts w:ascii="Calibri" w:eastAsia="MS Gothic" w:hAnsi="Calibri" w:cs="Times New Roman"/>
      <w:color w:val="4F81BD"/>
      <w:sz w:val="20"/>
      <w:szCs w:val="20"/>
      <w:lang w:val="en-NZ"/>
    </w:rPr>
  </w:style>
  <w:style w:type="character" w:customStyle="1" w:styleId="Heading9Char">
    <w:name w:val="Heading 9 Char"/>
    <w:basedOn w:val="DefaultParagraphFont"/>
    <w:link w:val="Heading9"/>
    <w:uiPriority w:val="9"/>
    <w:semiHidden/>
    <w:rsid w:val="00844C99"/>
    <w:rPr>
      <w:rFonts w:ascii="Calibri" w:eastAsia="MS Gothic" w:hAnsi="Calibri" w:cs="Times New Roman"/>
      <w:i/>
      <w:iCs/>
      <w:color w:val="404040"/>
      <w:sz w:val="20"/>
      <w:szCs w:val="20"/>
      <w:lang w:val="en-NZ"/>
    </w:rPr>
  </w:style>
  <w:style w:type="paragraph" w:customStyle="1" w:styleId="NoSpacing1">
    <w:name w:val="No Spacing1"/>
    <w:next w:val="NoSpacing"/>
    <w:uiPriority w:val="1"/>
    <w:qFormat/>
    <w:rsid w:val="00844C99"/>
    <w:pPr>
      <w:spacing w:after="0" w:line="240" w:lineRule="auto"/>
    </w:pPr>
    <w:rPr>
      <w:rFonts w:eastAsia="MS Mincho"/>
      <w:lang w:val="en-US"/>
    </w:rPr>
  </w:style>
  <w:style w:type="paragraph" w:customStyle="1" w:styleId="Title1">
    <w:name w:val="Title1"/>
    <w:basedOn w:val="Normal"/>
    <w:next w:val="Normal"/>
    <w:uiPriority w:val="10"/>
    <w:qFormat/>
    <w:rsid w:val="00844C99"/>
    <w:pPr>
      <w:pBdr>
        <w:bottom w:val="single" w:sz="8" w:space="4" w:color="4F81BD"/>
      </w:pBdr>
      <w:spacing w:after="300" w:line="240" w:lineRule="auto"/>
      <w:contextualSpacing/>
    </w:pPr>
    <w:rPr>
      <w:rFonts w:ascii="Calibri" w:eastAsia="MS Gothic" w:hAnsi="Calibri" w:cs="Times New Roman"/>
      <w:color w:val="17365D"/>
      <w:spacing w:val="5"/>
      <w:kern w:val="28"/>
      <w:sz w:val="52"/>
      <w:szCs w:val="52"/>
    </w:rPr>
  </w:style>
  <w:style w:type="character" w:customStyle="1" w:styleId="TitleChar">
    <w:name w:val="Title Char"/>
    <w:basedOn w:val="DefaultParagraphFont"/>
    <w:link w:val="Title"/>
    <w:uiPriority w:val="10"/>
    <w:rsid w:val="00844C99"/>
    <w:rPr>
      <w:rFonts w:ascii="Calibri" w:eastAsia="MS Gothic" w:hAnsi="Calibri" w:cs="Times New Roman"/>
      <w:color w:val="17365D"/>
      <w:spacing w:val="5"/>
      <w:kern w:val="28"/>
      <w:sz w:val="52"/>
      <w:szCs w:val="52"/>
      <w:lang w:val="en-NZ"/>
    </w:rPr>
  </w:style>
  <w:style w:type="paragraph" w:customStyle="1" w:styleId="Subtitle1">
    <w:name w:val="Subtitle1"/>
    <w:basedOn w:val="Normal"/>
    <w:next w:val="Normal"/>
    <w:uiPriority w:val="11"/>
    <w:qFormat/>
    <w:rsid w:val="00844C99"/>
    <w:pPr>
      <w:numPr>
        <w:ilvl w:val="1"/>
      </w:numPr>
      <w:spacing w:after="200" w:line="276" w:lineRule="auto"/>
    </w:pPr>
    <w:rPr>
      <w:rFonts w:ascii="Calibri" w:eastAsia="MS Gothic" w:hAnsi="Calibri" w:cs="Times New Roman"/>
      <w:i/>
      <w:iCs/>
      <w:color w:val="4F81BD"/>
      <w:spacing w:val="15"/>
      <w:sz w:val="24"/>
      <w:szCs w:val="24"/>
    </w:rPr>
  </w:style>
  <w:style w:type="character" w:customStyle="1" w:styleId="SubtitleChar">
    <w:name w:val="Subtitle Char"/>
    <w:basedOn w:val="DefaultParagraphFont"/>
    <w:link w:val="Subtitle"/>
    <w:uiPriority w:val="11"/>
    <w:rsid w:val="00844C99"/>
    <w:rPr>
      <w:rFonts w:ascii="Calibri" w:eastAsia="MS Gothic" w:hAnsi="Calibri" w:cs="Times New Roman"/>
      <w:i/>
      <w:iCs/>
      <w:color w:val="4F81BD"/>
      <w:spacing w:val="15"/>
      <w:sz w:val="24"/>
      <w:szCs w:val="24"/>
      <w:lang w:val="en-NZ"/>
    </w:rPr>
  </w:style>
  <w:style w:type="paragraph" w:customStyle="1" w:styleId="BodyText1">
    <w:name w:val="Body Text1"/>
    <w:basedOn w:val="Normal"/>
    <w:next w:val="BodyText"/>
    <w:link w:val="BodyTextChar"/>
    <w:uiPriority w:val="99"/>
    <w:unhideWhenUsed/>
    <w:rsid w:val="00844C99"/>
    <w:pPr>
      <w:spacing w:after="120" w:line="276" w:lineRule="auto"/>
    </w:pPr>
    <w:rPr>
      <w:color w:val="auto"/>
      <w:sz w:val="22"/>
    </w:rPr>
  </w:style>
  <w:style w:type="character" w:customStyle="1" w:styleId="BodyTextChar">
    <w:name w:val="Body Text Char"/>
    <w:basedOn w:val="DefaultParagraphFont"/>
    <w:link w:val="BodyText1"/>
    <w:uiPriority w:val="99"/>
    <w:rsid w:val="00844C99"/>
    <w:rPr>
      <w:lang w:val="en-NZ"/>
    </w:rPr>
  </w:style>
  <w:style w:type="paragraph" w:customStyle="1" w:styleId="BodyText21">
    <w:name w:val="Body Text 21"/>
    <w:basedOn w:val="Normal"/>
    <w:next w:val="BodyText2"/>
    <w:link w:val="BodyText2Char"/>
    <w:uiPriority w:val="99"/>
    <w:unhideWhenUsed/>
    <w:rsid w:val="00844C99"/>
    <w:pPr>
      <w:spacing w:after="120" w:line="480" w:lineRule="auto"/>
    </w:pPr>
    <w:rPr>
      <w:color w:val="auto"/>
      <w:sz w:val="22"/>
    </w:rPr>
  </w:style>
  <w:style w:type="character" w:customStyle="1" w:styleId="BodyText2Char">
    <w:name w:val="Body Text 2 Char"/>
    <w:basedOn w:val="DefaultParagraphFont"/>
    <w:link w:val="BodyText21"/>
    <w:uiPriority w:val="99"/>
    <w:rsid w:val="00844C99"/>
    <w:rPr>
      <w:lang w:val="en-NZ"/>
    </w:rPr>
  </w:style>
  <w:style w:type="paragraph" w:customStyle="1" w:styleId="BodyText31">
    <w:name w:val="Body Text 31"/>
    <w:basedOn w:val="Normal"/>
    <w:next w:val="BodyText3"/>
    <w:link w:val="BodyText3Char"/>
    <w:uiPriority w:val="99"/>
    <w:unhideWhenUsed/>
    <w:rsid w:val="00844C99"/>
    <w:pPr>
      <w:spacing w:after="120" w:line="276" w:lineRule="auto"/>
    </w:pPr>
    <w:rPr>
      <w:color w:val="auto"/>
      <w:sz w:val="16"/>
      <w:szCs w:val="16"/>
    </w:rPr>
  </w:style>
  <w:style w:type="character" w:customStyle="1" w:styleId="BodyText3Char">
    <w:name w:val="Body Text 3 Char"/>
    <w:basedOn w:val="DefaultParagraphFont"/>
    <w:link w:val="BodyText31"/>
    <w:uiPriority w:val="99"/>
    <w:rsid w:val="00844C99"/>
    <w:rPr>
      <w:sz w:val="16"/>
      <w:szCs w:val="16"/>
      <w:lang w:val="en-NZ"/>
    </w:rPr>
  </w:style>
  <w:style w:type="paragraph" w:customStyle="1" w:styleId="List1">
    <w:name w:val="List1"/>
    <w:basedOn w:val="Normal"/>
    <w:next w:val="List"/>
    <w:uiPriority w:val="99"/>
    <w:unhideWhenUsed/>
    <w:rsid w:val="00844C99"/>
    <w:pPr>
      <w:spacing w:after="200" w:line="276" w:lineRule="auto"/>
      <w:ind w:left="360" w:hanging="360"/>
      <w:contextualSpacing/>
    </w:pPr>
    <w:rPr>
      <w:rFonts w:eastAsia="MS Mincho"/>
      <w:color w:val="auto"/>
      <w:sz w:val="22"/>
    </w:rPr>
  </w:style>
  <w:style w:type="paragraph" w:customStyle="1" w:styleId="List21">
    <w:name w:val="List 21"/>
    <w:basedOn w:val="Normal"/>
    <w:next w:val="List2"/>
    <w:uiPriority w:val="99"/>
    <w:unhideWhenUsed/>
    <w:rsid w:val="00844C99"/>
    <w:pPr>
      <w:spacing w:after="200" w:line="276" w:lineRule="auto"/>
      <w:ind w:left="720" w:hanging="360"/>
      <w:contextualSpacing/>
    </w:pPr>
    <w:rPr>
      <w:rFonts w:eastAsia="MS Mincho"/>
      <w:color w:val="auto"/>
      <w:sz w:val="22"/>
    </w:rPr>
  </w:style>
  <w:style w:type="paragraph" w:customStyle="1" w:styleId="List31">
    <w:name w:val="List 31"/>
    <w:basedOn w:val="Normal"/>
    <w:next w:val="List3"/>
    <w:uiPriority w:val="99"/>
    <w:unhideWhenUsed/>
    <w:rsid w:val="00844C99"/>
    <w:pPr>
      <w:spacing w:after="200" w:line="276" w:lineRule="auto"/>
      <w:ind w:left="1080" w:hanging="360"/>
      <w:contextualSpacing/>
    </w:pPr>
    <w:rPr>
      <w:rFonts w:eastAsia="MS Mincho"/>
      <w:color w:val="auto"/>
      <w:sz w:val="22"/>
    </w:rPr>
  </w:style>
  <w:style w:type="paragraph" w:customStyle="1" w:styleId="ListBullet1">
    <w:name w:val="List Bullet1"/>
    <w:basedOn w:val="Normal"/>
    <w:next w:val="ListBullet"/>
    <w:uiPriority w:val="99"/>
    <w:unhideWhenUsed/>
    <w:rsid w:val="00844C99"/>
    <w:pPr>
      <w:numPr>
        <w:numId w:val="2"/>
      </w:numPr>
      <w:tabs>
        <w:tab w:val="clear" w:pos="360"/>
      </w:tabs>
      <w:spacing w:after="200" w:line="276" w:lineRule="auto"/>
      <w:ind w:left="0" w:firstLine="0"/>
      <w:contextualSpacing/>
    </w:pPr>
    <w:rPr>
      <w:rFonts w:eastAsia="MS Mincho"/>
      <w:color w:val="auto"/>
      <w:sz w:val="22"/>
    </w:rPr>
  </w:style>
  <w:style w:type="paragraph" w:customStyle="1" w:styleId="ListBullet21">
    <w:name w:val="List Bullet 21"/>
    <w:basedOn w:val="Normal"/>
    <w:next w:val="ListBullet2"/>
    <w:uiPriority w:val="99"/>
    <w:unhideWhenUsed/>
    <w:rsid w:val="00844C99"/>
    <w:pPr>
      <w:numPr>
        <w:numId w:val="3"/>
      </w:numPr>
      <w:tabs>
        <w:tab w:val="clear" w:pos="720"/>
      </w:tabs>
      <w:spacing w:after="200" w:line="276" w:lineRule="auto"/>
      <w:ind w:left="0" w:firstLine="0"/>
      <w:contextualSpacing/>
    </w:pPr>
    <w:rPr>
      <w:rFonts w:eastAsia="MS Mincho"/>
      <w:color w:val="auto"/>
      <w:sz w:val="22"/>
    </w:rPr>
  </w:style>
  <w:style w:type="paragraph" w:customStyle="1" w:styleId="ListBullet31">
    <w:name w:val="List Bullet 31"/>
    <w:basedOn w:val="Normal"/>
    <w:next w:val="ListBullet3"/>
    <w:uiPriority w:val="99"/>
    <w:unhideWhenUsed/>
    <w:rsid w:val="00844C99"/>
    <w:pPr>
      <w:numPr>
        <w:numId w:val="4"/>
      </w:numPr>
      <w:tabs>
        <w:tab w:val="clear" w:pos="1080"/>
      </w:tabs>
      <w:spacing w:after="200" w:line="276" w:lineRule="auto"/>
      <w:ind w:left="0" w:firstLine="0"/>
      <w:contextualSpacing/>
    </w:pPr>
    <w:rPr>
      <w:rFonts w:eastAsia="MS Mincho"/>
      <w:color w:val="auto"/>
      <w:sz w:val="22"/>
    </w:rPr>
  </w:style>
  <w:style w:type="paragraph" w:customStyle="1" w:styleId="ListNumber1">
    <w:name w:val="List Number1"/>
    <w:basedOn w:val="Normal"/>
    <w:next w:val="ListNumber"/>
    <w:uiPriority w:val="99"/>
    <w:unhideWhenUsed/>
    <w:rsid w:val="00844C99"/>
    <w:pPr>
      <w:numPr>
        <w:numId w:val="5"/>
      </w:numPr>
      <w:tabs>
        <w:tab w:val="clear" w:pos="360"/>
      </w:tabs>
      <w:spacing w:after="200" w:line="276" w:lineRule="auto"/>
      <w:ind w:left="0" w:firstLine="0"/>
      <w:contextualSpacing/>
    </w:pPr>
    <w:rPr>
      <w:rFonts w:eastAsia="MS Mincho"/>
      <w:color w:val="auto"/>
      <w:sz w:val="22"/>
    </w:rPr>
  </w:style>
  <w:style w:type="paragraph" w:customStyle="1" w:styleId="ListNumber21">
    <w:name w:val="List Number 21"/>
    <w:basedOn w:val="Normal"/>
    <w:next w:val="ListNumber2"/>
    <w:uiPriority w:val="99"/>
    <w:unhideWhenUsed/>
    <w:rsid w:val="00844C99"/>
    <w:pPr>
      <w:numPr>
        <w:numId w:val="6"/>
      </w:numPr>
      <w:tabs>
        <w:tab w:val="clear" w:pos="720"/>
      </w:tabs>
      <w:spacing w:after="200" w:line="276" w:lineRule="auto"/>
      <w:ind w:left="0" w:firstLine="0"/>
      <w:contextualSpacing/>
    </w:pPr>
    <w:rPr>
      <w:rFonts w:eastAsia="MS Mincho"/>
      <w:color w:val="auto"/>
      <w:sz w:val="22"/>
    </w:rPr>
  </w:style>
  <w:style w:type="paragraph" w:customStyle="1" w:styleId="ListNumber31">
    <w:name w:val="List Number 31"/>
    <w:basedOn w:val="Normal"/>
    <w:next w:val="ListNumber3"/>
    <w:uiPriority w:val="99"/>
    <w:unhideWhenUsed/>
    <w:rsid w:val="00844C99"/>
    <w:pPr>
      <w:numPr>
        <w:numId w:val="7"/>
      </w:numPr>
      <w:tabs>
        <w:tab w:val="clear" w:pos="1080"/>
      </w:tabs>
      <w:spacing w:after="200" w:line="276" w:lineRule="auto"/>
      <w:ind w:left="0" w:firstLine="0"/>
      <w:contextualSpacing/>
    </w:pPr>
    <w:rPr>
      <w:rFonts w:eastAsia="MS Mincho"/>
      <w:color w:val="auto"/>
      <w:sz w:val="22"/>
    </w:rPr>
  </w:style>
  <w:style w:type="paragraph" w:customStyle="1" w:styleId="ListContinue1">
    <w:name w:val="List Continue1"/>
    <w:basedOn w:val="Normal"/>
    <w:next w:val="ListContinue"/>
    <w:uiPriority w:val="99"/>
    <w:unhideWhenUsed/>
    <w:rsid w:val="00844C99"/>
    <w:pPr>
      <w:spacing w:after="120" w:line="276" w:lineRule="auto"/>
      <w:ind w:left="360"/>
      <w:contextualSpacing/>
    </w:pPr>
    <w:rPr>
      <w:rFonts w:eastAsia="MS Mincho"/>
      <w:color w:val="auto"/>
      <w:sz w:val="22"/>
    </w:rPr>
  </w:style>
  <w:style w:type="paragraph" w:customStyle="1" w:styleId="ListContinue21">
    <w:name w:val="List Continue 21"/>
    <w:basedOn w:val="Normal"/>
    <w:next w:val="ListContinue2"/>
    <w:uiPriority w:val="99"/>
    <w:unhideWhenUsed/>
    <w:rsid w:val="00844C99"/>
    <w:pPr>
      <w:spacing w:after="120" w:line="276" w:lineRule="auto"/>
      <w:ind w:left="720"/>
      <w:contextualSpacing/>
    </w:pPr>
    <w:rPr>
      <w:rFonts w:eastAsia="MS Mincho"/>
      <w:color w:val="auto"/>
      <w:sz w:val="22"/>
    </w:rPr>
  </w:style>
  <w:style w:type="paragraph" w:customStyle="1" w:styleId="ListContinue31">
    <w:name w:val="List Continue 31"/>
    <w:basedOn w:val="Normal"/>
    <w:next w:val="ListContinue3"/>
    <w:uiPriority w:val="99"/>
    <w:unhideWhenUsed/>
    <w:rsid w:val="00844C99"/>
    <w:pPr>
      <w:spacing w:after="120" w:line="276" w:lineRule="auto"/>
      <w:ind w:left="1080"/>
      <w:contextualSpacing/>
    </w:pPr>
    <w:rPr>
      <w:rFonts w:eastAsia="MS Mincho"/>
      <w:color w:val="auto"/>
      <w:sz w:val="22"/>
    </w:rPr>
  </w:style>
  <w:style w:type="paragraph" w:customStyle="1" w:styleId="MacroText1">
    <w:name w:val="Macro Text1"/>
    <w:next w:val="MacroText"/>
    <w:link w:val="MacroTextChar"/>
    <w:uiPriority w:val="99"/>
    <w:unhideWhenUsed/>
    <w:rsid w:val="00844C99"/>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character" w:customStyle="1" w:styleId="MacroTextChar">
    <w:name w:val="Macro Text Char"/>
    <w:basedOn w:val="DefaultParagraphFont"/>
    <w:link w:val="MacroText1"/>
    <w:uiPriority w:val="99"/>
    <w:rsid w:val="00844C99"/>
    <w:rPr>
      <w:rFonts w:ascii="Courier" w:hAnsi="Courier"/>
      <w:sz w:val="20"/>
      <w:szCs w:val="20"/>
    </w:rPr>
  </w:style>
  <w:style w:type="paragraph" w:customStyle="1" w:styleId="Quote1">
    <w:name w:val="Quote1"/>
    <w:basedOn w:val="Normal"/>
    <w:next w:val="Normal"/>
    <w:uiPriority w:val="29"/>
    <w:qFormat/>
    <w:rsid w:val="00844C99"/>
    <w:pPr>
      <w:spacing w:after="200" w:line="276" w:lineRule="auto"/>
    </w:pPr>
    <w:rPr>
      <w:rFonts w:eastAsia="MS Mincho"/>
      <w:i/>
      <w:iCs/>
      <w:sz w:val="22"/>
    </w:rPr>
  </w:style>
  <w:style w:type="character" w:customStyle="1" w:styleId="QuoteChar">
    <w:name w:val="Quote Char"/>
    <w:basedOn w:val="DefaultParagraphFont"/>
    <w:link w:val="Quote"/>
    <w:uiPriority w:val="29"/>
    <w:rsid w:val="00844C99"/>
    <w:rPr>
      <w:i/>
      <w:iCs/>
      <w:color w:val="000000"/>
      <w:lang w:val="en-NZ"/>
    </w:rPr>
  </w:style>
  <w:style w:type="paragraph" w:customStyle="1" w:styleId="Caption1">
    <w:name w:val="Caption1"/>
    <w:basedOn w:val="Normal"/>
    <w:next w:val="Normal"/>
    <w:uiPriority w:val="35"/>
    <w:semiHidden/>
    <w:unhideWhenUsed/>
    <w:qFormat/>
    <w:rsid w:val="00844C99"/>
    <w:pPr>
      <w:spacing w:after="200" w:line="240" w:lineRule="auto"/>
    </w:pPr>
    <w:rPr>
      <w:rFonts w:eastAsia="MS Mincho"/>
      <w:b/>
      <w:bCs/>
      <w:color w:val="4F81BD"/>
      <w:sz w:val="18"/>
      <w:szCs w:val="18"/>
    </w:rPr>
  </w:style>
  <w:style w:type="character" w:styleId="Strong">
    <w:name w:val="Strong"/>
    <w:basedOn w:val="DefaultParagraphFont"/>
    <w:uiPriority w:val="22"/>
    <w:qFormat/>
    <w:rsid w:val="00844C99"/>
    <w:rPr>
      <w:b/>
      <w:bCs/>
    </w:rPr>
  </w:style>
  <w:style w:type="character" w:styleId="Emphasis">
    <w:name w:val="Emphasis"/>
    <w:basedOn w:val="DefaultParagraphFont"/>
    <w:uiPriority w:val="20"/>
    <w:qFormat/>
    <w:rsid w:val="00844C99"/>
    <w:rPr>
      <w:i/>
      <w:iCs/>
    </w:rPr>
  </w:style>
  <w:style w:type="paragraph" w:customStyle="1" w:styleId="IntenseQuote1">
    <w:name w:val="Intense Quote1"/>
    <w:basedOn w:val="Normal"/>
    <w:next w:val="Normal"/>
    <w:uiPriority w:val="30"/>
    <w:qFormat/>
    <w:rsid w:val="00844C99"/>
    <w:pPr>
      <w:pBdr>
        <w:bottom w:val="single" w:sz="4" w:space="4" w:color="4F81BD"/>
      </w:pBdr>
      <w:spacing w:before="200" w:after="280" w:line="276" w:lineRule="auto"/>
      <w:ind w:left="936" w:right="936"/>
    </w:pPr>
    <w:rPr>
      <w:rFonts w:eastAsia="MS Mincho"/>
      <w:b/>
      <w:bCs/>
      <w:i/>
      <w:iCs/>
      <w:color w:val="4F81BD"/>
      <w:sz w:val="22"/>
    </w:rPr>
  </w:style>
  <w:style w:type="character" w:customStyle="1" w:styleId="IntenseQuoteChar">
    <w:name w:val="Intense Quote Char"/>
    <w:basedOn w:val="DefaultParagraphFont"/>
    <w:link w:val="IntenseQuote"/>
    <w:uiPriority w:val="30"/>
    <w:rsid w:val="00844C99"/>
    <w:rPr>
      <w:b/>
      <w:bCs/>
      <w:i/>
      <w:iCs/>
      <w:color w:val="4F81BD"/>
      <w:lang w:val="en-NZ"/>
    </w:rPr>
  </w:style>
  <w:style w:type="character" w:customStyle="1" w:styleId="SubtleEmphasis1">
    <w:name w:val="Subtle Emphasis1"/>
    <w:basedOn w:val="DefaultParagraphFont"/>
    <w:uiPriority w:val="19"/>
    <w:qFormat/>
    <w:rsid w:val="00844C99"/>
    <w:rPr>
      <w:i/>
      <w:iCs/>
      <w:color w:val="808080"/>
    </w:rPr>
  </w:style>
  <w:style w:type="character" w:customStyle="1" w:styleId="IntenseEmphasis1">
    <w:name w:val="Intense Emphasis1"/>
    <w:basedOn w:val="DefaultParagraphFont"/>
    <w:uiPriority w:val="21"/>
    <w:qFormat/>
    <w:rsid w:val="00844C99"/>
    <w:rPr>
      <w:b/>
      <w:bCs/>
      <w:i/>
      <w:iCs/>
      <w:color w:val="4F81BD"/>
    </w:rPr>
  </w:style>
  <w:style w:type="character" w:customStyle="1" w:styleId="SubtleReference1">
    <w:name w:val="Subtle Reference1"/>
    <w:basedOn w:val="DefaultParagraphFont"/>
    <w:uiPriority w:val="31"/>
    <w:qFormat/>
    <w:rsid w:val="00844C99"/>
    <w:rPr>
      <w:smallCaps/>
      <w:color w:val="C0504D"/>
      <w:u w:val="single"/>
    </w:rPr>
  </w:style>
  <w:style w:type="character" w:customStyle="1" w:styleId="IntenseReference1">
    <w:name w:val="Intense Reference1"/>
    <w:basedOn w:val="DefaultParagraphFont"/>
    <w:uiPriority w:val="32"/>
    <w:qFormat/>
    <w:rsid w:val="00844C99"/>
    <w:rPr>
      <w:b/>
      <w:bCs/>
      <w:smallCaps/>
      <w:color w:val="C0504D"/>
      <w:spacing w:val="5"/>
      <w:u w:val="single"/>
    </w:rPr>
  </w:style>
  <w:style w:type="character" w:styleId="BookTitle">
    <w:name w:val="Book Title"/>
    <w:basedOn w:val="DefaultParagraphFont"/>
    <w:uiPriority w:val="33"/>
    <w:qFormat/>
    <w:rsid w:val="00844C99"/>
    <w:rPr>
      <w:b/>
      <w:bCs/>
      <w:smallCaps/>
      <w:spacing w:val="5"/>
    </w:rPr>
  </w:style>
  <w:style w:type="table" w:customStyle="1" w:styleId="TableGrid1">
    <w:name w:val="Table Grid1"/>
    <w:basedOn w:val="TableNormal"/>
    <w:next w:val="TableGrid"/>
    <w:uiPriority w:val="39"/>
    <w:rsid w:val="00844C99"/>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844C99"/>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44C99"/>
    <w:pPr>
      <w:spacing w:after="0" w:line="240" w:lineRule="auto"/>
    </w:pPr>
    <w:rPr>
      <w:rFonts w:eastAsia="MS Mincho"/>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844C99"/>
    <w:pPr>
      <w:spacing w:after="0" w:line="240" w:lineRule="auto"/>
    </w:pPr>
    <w:rPr>
      <w:rFonts w:eastAsia="MS Mincho"/>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844C99"/>
    <w:pPr>
      <w:spacing w:after="0" w:line="240" w:lineRule="auto"/>
    </w:pPr>
    <w:rPr>
      <w:rFonts w:eastAsia="MS Mincho"/>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844C99"/>
    <w:pPr>
      <w:spacing w:after="0" w:line="240" w:lineRule="auto"/>
    </w:pPr>
    <w:rPr>
      <w:rFonts w:eastAsia="MS Mincho"/>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844C99"/>
    <w:pPr>
      <w:spacing w:after="0" w:line="240" w:lineRule="auto"/>
    </w:pPr>
    <w:rPr>
      <w:rFonts w:eastAsia="MS Mincho"/>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844C99"/>
    <w:pPr>
      <w:spacing w:after="0" w:line="240" w:lineRule="auto"/>
    </w:pPr>
    <w:rPr>
      <w:rFonts w:eastAsia="MS Mincho"/>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844C99"/>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844C99"/>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844C99"/>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844C99"/>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844C99"/>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844C99"/>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844C99"/>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844C99"/>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844C99"/>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844C99"/>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844C99"/>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844C99"/>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844C99"/>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844C99"/>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844C99"/>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844C99"/>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844C99"/>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44C99"/>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44C99"/>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44C99"/>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44C99"/>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844C99"/>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844C99"/>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44C99"/>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844C99"/>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844C99"/>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44C99"/>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844C99"/>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844C99"/>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844C99"/>
    <w:pPr>
      <w:spacing w:after="0" w:line="240" w:lineRule="auto"/>
    </w:pPr>
    <w:rPr>
      <w:rFonts w:eastAsia="MS Mincho"/>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844C99"/>
    <w:pPr>
      <w:spacing w:after="0" w:line="240" w:lineRule="auto"/>
    </w:pPr>
    <w:rPr>
      <w:rFonts w:eastAsia="MS Mincho"/>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844C99"/>
    <w:pPr>
      <w:spacing w:after="0" w:line="240" w:lineRule="auto"/>
    </w:pPr>
    <w:rPr>
      <w:rFonts w:eastAsia="MS Mincho"/>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844C99"/>
    <w:pPr>
      <w:spacing w:after="0" w:line="240" w:lineRule="auto"/>
    </w:pPr>
    <w:rPr>
      <w:rFonts w:eastAsia="MS Mincho"/>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844C99"/>
    <w:pPr>
      <w:spacing w:after="0" w:line="240" w:lineRule="auto"/>
    </w:pPr>
    <w:rPr>
      <w:rFonts w:eastAsia="MS Mincho"/>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844C99"/>
    <w:pPr>
      <w:spacing w:after="0" w:line="240" w:lineRule="auto"/>
    </w:pPr>
    <w:rPr>
      <w:rFonts w:eastAsia="MS Mincho"/>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844C99"/>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844C99"/>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844C99"/>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844C99"/>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844C99"/>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844C99"/>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844C99"/>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844C99"/>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844C99"/>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844C99"/>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844C99"/>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844C99"/>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844C99"/>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844C99"/>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844C99"/>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844C99"/>
    <w:pPr>
      <w:spacing w:after="0" w:line="240" w:lineRule="auto"/>
    </w:pPr>
    <w:rPr>
      <w:rFonts w:eastAsia="MS Mincho"/>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844C99"/>
    <w:pPr>
      <w:spacing w:after="0" w:line="240" w:lineRule="auto"/>
    </w:pPr>
    <w:rPr>
      <w:rFonts w:eastAsia="MS Mincho"/>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844C99"/>
    <w:pPr>
      <w:spacing w:after="0" w:line="240" w:lineRule="auto"/>
    </w:pPr>
    <w:rPr>
      <w:rFonts w:eastAsia="MS Mincho"/>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844C99"/>
    <w:pPr>
      <w:spacing w:after="0" w:line="240" w:lineRule="auto"/>
    </w:pPr>
    <w:rPr>
      <w:rFonts w:eastAsia="MS Mincho"/>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844C99"/>
    <w:pPr>
      <w:spacing w:after="0" w:line="240" w:lineRule="auto"/>
    </w:pPr>
    <w:rPr>
      <w:rFonts w:eastAsia="MS Mincho"/>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844C99"/>
    <w:pPr>
      <w:spacing w:after="0" w:line="240" w:lineRule="auto"/>
    </w:pPr>
    <w:rPr>
      <w:rFonts w:eastAsia="MS Mincho"/>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844C99"/>
    <w:pPr>
      <w:spacing w:after="0" w:line="240" w:lineRule="auto"/>
    </w:pPr>
    <w:rPr>
      <w:rFonts w:eastAsia="MS Mincho"/>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844C99"/>
    <w:pPr>
      <w:spacing w:after="0" w:line="240" w:lineRule="auto"/>
    </w:pPr>
    <w:rPr>
      <w:rFonts w:eastAsia="MS Mincho"/>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844C99"/>
    <w:pPr>
      <w:spacing w:after="0" w:line="240" w:lineRule="auto"/>
    </w:pPr>
    <w:rPr>
      <w:rFonts w:eastAsia="MS Mincho"/>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844C99"/>
    <w:pPr>
      <w:spacing w:after="0" w:line="240" w:lineRule="auto"/>
    </w:pPr>
    <w:rPr>
      <w:rFonts w:eastAsia="MS Mincho"/>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844C99"/>
    <w:pPr>
      <w:spacing w:after="0" w:line="240" w:lineRule="auto"/>
    </w:pPr>
    <w:rPr>
      <w:rFonts w:eastAsia="MS Mincho"/>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844C99"/>
    <w:pPr>
      <w:spacing w:after="0" w:line="240" w:lineRule="auto"/>
    </w:pPr>
    <w:rPr>
      <w:rFonts w:eastAsia="MS Mincho"/>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844C99"/>
    <w:pPr>
      <w:spacing w:after="0" w:line="240" w:lineRule="auto"/>
    </w:pPr>
    <w:rPr>
      <w:rFonts w:eastAsia="MS Mincho"/>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844C99"/>
    <w:pPr>
      <w:spacing w:after="0" w:line="240" w:lineRule="auto"/>
    </w:pPr>
    <w:rPr>
      <w:rFonts w:eastAsia="MS Mincho"/>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844C99"/>
    <w:pPr>
      <w:spacing w:after="0" w:line="240" w:lineRule="auto"/>
    </w:pPr>
    <w:rPr>
      <w:rFonts w:eastAsia="MS Mincho"/>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844C99"/>
    <w:pPr>
      <w:spacing w:after="0" w:line="240" w:lineRule="auto"/>
    </w:pPr>
    <w:rPr>
      <w:rFonts w:eastAsia="MS Mincho"/>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844C99"/>
    <w:pPr>
      <w:spacing w:after="0" w:line="240" w:lineRule="auto"/>
    </w:pPr>
    <w:rPr>
      <w:rFonts w:eastAsia="MS Mincho"/>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844C99"/>
    <w:pPr>
      <w:spacing w:after="0" w:line="240" w:lineRule="auto"/>
    </w:pPr>
    <w:rPr>
      <w:rFonts w:eastAsia="MS Mincho"/>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844C99"/>
    <w:pPr>
      <w:spacing w:after="0" w:line="240" w:lineRule="auto"/>
    </w:pPr>
    <w:rPr>
      <w:rFonts w:eastAsia="MS Mincho"/>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844C99"/>
    <w:pPr>
      <w:spacing w:after="0" w:line="240" w:lineRule="auto"/>
    </w:pPr>
    <w:rPr>
      <w:rFonts w:eastAsia="MS Mincho"/>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844C99"/>
    <w:pPr>
      <w:spacing w:after="0" w:line="240" w:lineRule="auto"/>
    </w:pPr>
    <w:rPr>
      <w:rFonts w:eastAsia="MS Mincho"/>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844C99"/>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844C99"/>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844C99"/>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844C99"/>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844C99"/>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844C99"/>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844C99"/>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Style1">
    <w:name w:val="Style1"/>
    <w:uiPriority w:val="99"/>
    <w:rsid w:val="00844C99"/>
    <w:pPr>
      <w:numPr>
        <w:numId w:val="9"/>
      </w:numPr>
    </w:pPr>
  </w:style>
  <w:style w:type="character" w:customStyle="1" w:styleId="Heading5Char1">
    <w:name w:val="Heading 5 Char1"/>
    <w:basedOn w:val="DefaultParagraphFont"/>
    <w:uiPriority w:val="9"/>
    <w:semiHidden/>
    <w:rsid w:val="00844C99"/>
    <w:rPr>
      <w:rFonts w:asciiTheme="majorHAnsi" w:eastAsiaTheme="majorEastAsia" w:hAnsiTheme="majorHAnsi" w:cstheme="majorBidi"/>
      <w:color w:val="005D7C" w:themeColor="accent1" w:themeShade="BF"/>
      <w:sz w:val="20"/>
    </w:rPr>
  </w:style>
  <w:style w:type="character" w:customStyle="1" w:styleId="Heading6Char1">
    <w:name w:val="Heading 6 Char1"/>
    <w:basedOn w:val="DefaultParagraphFont"/>
    <w:uiPriority w:val="9"/>
    <w:semiHidden/>
    <w:rsid w:val="00844C99"/>
    <w:rPr>
      <w:rFonts w:asciiTheme="majorHAnsi" w:eastAsiaTheme="majorEastAsia" w:hAnsiTheme="majorHAnsi" w:cstheme="majorBidi"/>
      <w:color w:val="003E52" w:themeColor="accent1" w:themeShade="7F"/>
      <w:sz w:val="20"/>
    </w:rPr>
  </w:style>
  <w:style w:type="character" w:customStyle="1" w:styleId="Heading7Char1">
    <w:name w:val="Heading 7 Char1"/>
    <w:basedOn w:val="DefaultParagraphFont"/>
    <w:uiPriority w:val="9"/>
    <w:semiHidden/>
    <w:rsid w:val="00844C99"/>
    <w:rPr>
      <w:rFonts w:asciiTheme="majorHAnsi" w:eastAsiaTheme="majorEastAsia" w:hAnsiTheme="majorHAnsi" w:cstheme="majorBidi"/>
      <w:i/>
      <w:iCs/>
      <w:color w:val="003E52" w:themeColor="accent1" w:themeShade="7F"/>
      <w:sz w:val="20"/>
    </w:rPr>
  </w:style>
  <w:style w:type="character" w:customStyle="1" w:styleId="Heading8Char1">
    <w:name w:val="Heading 8 Char1"/>
    <w:basedOn w:val="DefaultParagraphFont"/>
    <w:uiPriority w:val="9"/>
    <w:semiHidden/>
    <w:rsid w:val="00844C9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44C99"/>
    <w:rPr>
      <w:rFonts w:asciiTheme="majorHAnsi" w:eastAsiaTheme="majorEastAsia" w:hAnsiTheme="majorHAnsi" w:cstheme="majorBidi"/>
      <w:i/>
      <w:iCs/>
      <w:color w:val="272727" w:themeColor="text1" w:themeTint="D8"/>
      <w:sz w:val="21"/>
      <w:szCs w:val="21"/>
    </w:rPr>
  </w:style>
  <w:style w:type="paragraph" w:styleId="NoSpacing">
    <w:name w:val="No Spacing"/>
    <w:uiPriority w:val="1"/>
    <w:rsid w:val="00844C99"/>
    <w:pPr>
      <w:spacing w:after="0" w:line="240" w:lineRule="auto"/>
    </w:pPr>
    <w:rPr>
      <w:color w:val="000000" w:themeColor="text1"/>
      <w:sz w:val="20"/>
    </w:rPr>
  </w:style>
  <w:style w:type="paragraph" w:styleId="Title">
    <w:name w:val="Title"/>
    <w:basedOn w:val="Normal"/>
    <w:next w:val="Normal"/>
    <w:link w:val="TitleChar"/>
    <w:uiPriority w:val="10"/>
    <w:rsid w:val="00844C99"/>
    <w:pPr>
      <w:spacing w:after="0" w:line="240" w:lineRule="auto"/>
      <w:contextualSpacing/>
    </w:pPr>
    <w:rPr>
      <w:rFonts w:ascii="Calibri" w:eastAsia="MS Gothic" w:hAnsi="Calibri" w:cs="Times New Roman"/>
      <w:color w:val="17365D"/>
      <w:spacing w:val="5"/>
      <w:kern w:val="28"/>
      <w:sz w:val="52"/>
      <w:szCs w:val="52"/>
    </w:rPr>
  </w:style>
  <w:style w:type="character" w:customStyle="1" w:styleId="TitleChar1">
    <w:name w:val="Title Char1"/>
    <w:basedOn w:val="DefaultParagraphFont"/>
    <w:uiPriority w:val="10"/>
    <w:rsid w:val="00844C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44C99"/>
    <w:pPr>
      <w:numPr>
        <w:ilvl w:val="1"/>
      </w:numPr>
      <w:spacing w:after="160"/>
    </w:pPr>
    <w:rPr>
      <w:rFonts w:ascii="Calibri" w:eastAsia="MS Gothic" w:hAnsi="Calibri" w:cs="Times New Roman"/>
      <w:i/>
      <w:iCs/>
      <w:color w:val="4F81BD"/>
      <w:spacing w:val="15"/>
      <w:sz w:val="24"/>
      <w:szCs w:val="24"/>
    </w:rPr>
  </w:style>
  <w:style w:type="character" w:customStyle="1" w:styleId="SubtitleChar1">
    <w:name w:val="Subtitle Char1"/>
    <w:basedOn w:val="DefaultParagraphFont"/>
    <w:uiPriority w:val="11"/>
    <w:rsid w:val="00844C99"/>
    <w:rPr>
      <w:rFonts w:eastAsiaTheme="minorEastAsia"/>
      <w:color w:val="5A5A5A" w:themeColor="text1" w:themeTint="A5"/>
      <w:spacing w:val="15"/>
    </w:rPr>
  </w:style>
  <w:style w:type="paragraph" w:styleId="BodyText">
    <w:name w:val="Body Text"/>
    <w:basedOn w:val="Normal"/>
    <w:link w:val="BodyTextChar1"/>
    <w:uiPriority w:val="99"/>
    <w:semiHidden/>
    <w:unhideWhenUsed/>
    <w:rsid w:val="00844C99"/>
    <w:pPr>
      <w:spacing w:after="120"/>
    </w:pPr>
  </w:style>
  <w:style w:type="character" w:customStyle="1" w:styleId="BodyTextChar1">
    <w:name w:val="Body Text Char1"/>
    <w:basedOn w:val="DefaultParagraphFont"/>
    <w:link w:val="BodyText"/>
    <w:uiPriority w:val="99"/>
    <w:semiHidden/>
    <w:rsid w:val="00844C99"/>
    <w:rPr>
      <w:color w:val="000000" w:themeColor="text1"/>
      <w:sz w:val="20"/>
    </w:rPr>
  </w:style>
  <w:style w:type="paragraph" w:styleId="BodyText2">
    <w:name w:val="Body Text 2"/>
    <w:basedOn w:val="Normal"/>
    <w:link w:val="BodyText2Char1"/>
    <w:uiPriority w:val="99"/>
    <w:semiHidden/>
    <w:unhideWhenUsed/>
    <w:rsid w:val="00844C99"/>
    <w:pPr>
      <w:spacing w:after="120" w:line="480" w:lineRule="auto"/>
    </w:pPr>
  </w:style>
  <w:style w:type="character" w:customStyle="1" w:styleId="BodyText2Char1">
    <w:name w:val="Body Text 2 Char1"/>
    <w:basedOn w:val="DefaultParagraphFont"/>
    <w:link w:val="BodyText2"/>
    <w:uiPriority w:val="99"/>
    <w:semiHidden/>
    <w:rsid w:val="00844C99"/>
    <w:rPr>
      <w:color w:val="000000" w:themeColor="text1"/>
      <w:sz w:val="20"/>
    </w:rPr>
  </w:style>
  <w:style w:type="paragraph" w:styleId="BodyText3">
    <w:name w:val="Body Text 3"/>
    <w:basedOn w:val="Normal"/>
    <w:link w:val="BodyText3Char1"/>
    <w:uiPriority w:val="99"/>
    <w:semiHidden/>
    <w:unhideWhenUsed/>
    <w:rsid w:val="00844C99"/>
    <w:pPr>
      <w:spacing w:after="120"/>
    </w:pPr>
    <w:rPr>
      <w:sz w:val="16"/>
      <w:szCs w:val="16"/>
    </w:rPr>
  </w:style>
  <w:style w:type="character" w:customStyle="1" w:styleId="BodyText3Char1">
    <w:name w:val="Body Text 3 Char1"/>
    <w:basedOn w:val="DefaultParagraphFont"/>
    <w:link w:val="BodyText3"/>
    <w:uiPriority w:val="99"/>
    <w:semiHidden/>
    <w:rsid w:val="00844C99"/>
    <w:rPr>
      <w:color w:val="000000" w:themeColor="text1"/>
      <w:sz w:val="16"/>
      <w:szCs w:val="16"/>
    </w:rPr>
  </w:style>
  <w:style w:type="paragraph" w:styleId="List">
    <w:name w:val="List"/>
    <w:basedOn w:val="Normal"/>
    <w:uiPriority w:val="99"/>
    <w:semiHidden/>
    <w:unhideWhenUsed/>
    <w:rsid w:val="00844C99"/>
    <w:pPr>
      <w:ind w:left="283" w:hanging="283"/>
      <w:contextualSpacing/>
    </w:pPr>
  </w:style>
  <w:style w:type="paragraph" w:styleId="List2">
    <w:name w:val="List 2"/>
    <w:basedOn w:val="Normal"/>
    <w:uiPriority w:val="99"/>
    <w:semiHidden/>
    <w:unhideWhenUsed/>
    <w:rsid w:val="00844C99"/>
    <w:pPr>
      <w:ind w:left="566" w:hanging="283"/>
      <w:contextualSpacing/>
    </w:pPr>
  </w:style>
  <w:style w:type="paragraph" w:styleId="List3">
    <w:name w:val="List 3"/>
    <w:basedOn w:val="Normal"/>
    <w:uiPriority w:val="99"/>
    <w:semiHidden/>
    <w:unhideWhenUsed/>
    <w:rsid w:val="00844C99"/>
    <w:pPr>
      <w:ind w:left="849" w:hanging="283"/>
      <w:contextualSpacing/>
    </w:pPr>
  </w:style>
  <w:style w:type="paragraph" w:styleId="ListBullet">
    <w:name w:val="List Bullet"/>
    <w:basedOn w:val="Normal"/>
    <w:uiPriority w:val="99"/>
    <w:semiHidden/>
    <w:unhideWhenUsed/>
    <w:rsid w:val="00844C99"/>
    <w:pPr>
      <w:contextualSpacing/>
    </w:pPr>
  </w:style>
  <w:style w:type="paragraph" w:styleId="ListBullet2">
    <w:name w:val="List Bullet 2"/>
    <w:basedOn w:val="Normal"/>
    <w:uiPriority w:val="99"/>
    <w:semiHidden/>
    <w:unhideWhenUsed/>
    <w:rsid w:val="00844C99"/>
    <w:pPr>
      <w:contextualSpacing/>
    </w:pPr>
  </w:style>
  <w:style w:type="paragraph" w:styleId="ListBullet3">
    <w:name w:val="List Bullet 3"/>
    <w:basedOn w:val="Normal"/>
    <w:uiPriority w:val="99"/>
    <w:semiHidden/>
    <w:unhideWhenUsed/>
    <w:rsid w:val="00844C99"/>
    <w:pPr>
      <w:contextualSpacing/>
    </w:pPr>
  </w:style>
  <w:style w:type="paragraph" w:styleId="ListNumber">
    <w:name w:val="List Number"/>
    <w:basedOn w:val="Normal"/>
    <w:uiPriority w:val="99"/>
    <w:semiHidden/>
    <w:unhideWhenUsed/>
    <w:rsid w:val="00844C99"/>
    <w:pPr>
      <w:contextualSpacing/>
    </w:pPr>
  </w:style>
  <w:style w:type="paragraph" w:styleId="ListNumber2">
    <w:name w:val="List Number 2"/>
    <w:basedOn w:val="Normal"/>
    <w:uiPriority w:val="99"/>
    <w:semiHidden/>
    <w:unhideWhenUsed/>
    <w:rsid w:val="00844C99"/>
    <w:pPr>
      <w:contextualSpacing/>
    </w:pPr>
  </w:style>
  <w:style w:type="paragraph" w:styleId="ListNumber3">
    <w:name w:val="List Number 3"/>
    <w:basedOn w:val="Normal"/>
    <w:uiPriority w:val="99"/>
    <w:semiHidden/>
    <w:unhideWhenUsed/>
    <w:rsid w:val="00844C99"/>
    <w:pPr>
      <w:contextualSpacing/>
    </w:pPr>
  </w:style>
  <w:style w:type="paragraph" w:styleId="ListContinue">
    <w:name w:val="List Continue"/>
    <w:basedOn w:val="Normal"/>
    <w:uiPriority w:val="99"/>
    <w:semiHidden/>
    <w:unhideWhenUsed/>
    <w:rsid w:val="00844C99"/>
    <w:pPr>
      <w:spacing w:after="120"/>
      <w:ind w:left="283"/>
      <w:contextualSpacing/>
    </w:pPr>
  </w:style>
  <w:style w:type="paragraph" w:styleId="ListContinue2">
    <w:name w:val="List Continue 2"/>
    <w:basedOn w:val="Normal"/>
    <w:uiPriority w:val="99"/>
    <w:semiHidden/>
    <w:unhideWhenUsed/>
    <w:rsid w:val="00844C99"/>
    <w:pPr>
      <w:spacing w:after="120"/>
      <w:ind w:left="566"/>
      <w:contextualSpacing/>
    </w:pPr>
  </w:style>
  <w:style w:type="paragraph" w:styleId="ListContinue3">
    <w:name w:val="List Continue 3"/>
    <w:basedOn w:val="Normal"/>
    <w:uiPriority w:val="99"/>
    <w:semiHidden/>
    <w:unhideWhenUsed/>
    <w:rsid w:val="00844C99"/>
    <w:pPr>
      <w:spacing w:after="120"/>
      <w:ind w:left="849"/>
      <w:contextualSpacing/>
    </w:pPr>
  </w:style>
  <w:style w:type="paragraph" w:styleId="MacroText">
    <w:name w:val="macro"/>
    <w:link w:val="MacroTextChar1"/>
    <w:uiPriority w:val="99"/>
    <w:semiHidden/>
    <w:unhideWhenUsed/>
    <w:rsid w:val="00844C99"/>
    <w:pPr>
      <w:tabs>
        <w:tab w:val="left" w:pos="480"/>
        <w:tab w:val="left" w:pos="960"/>
        <w:tab w:val="left" w:pos="1440"/>
        <w:tab w:val="left" w:pos="1920"/>
        <w:tab w:val="left" w:pos="2400"/>
        <w:tab w:val="left" w:pos="2880"/>
        <w:tab w:val="left" w:pos="3360"/>
        <w:tab w:val="left" w:pos="3840"/>
        <w:tab w:val="left" w:pos="4320"/>
      </w:tabs>
      <w:spacing w:after="0" w:line="320" w:lineRule="exact"/>
    </w:pPr>
    <w:rPr>
      <w:rFonts w:ascii="Consolas" w:hAnsi="Consolas"/>
      <w:color w:val="000000" w:themeColor="text1"/>
      <w:sz w:val="20"/>
      <w:szCs w:val="20"/>
    </w:rPr>
  </w:style>
  <w:style w:type="character" w:customStyle="1" w:styleId="MacroTextChar1">
    <w:name w:val="Macro Text Char1"/>
    <w:basedOn w:val="DefaultParagraphFont"/>
    <w:link w:val="MacroText"/>
    <w:uiPriority w:val="99"/>
    <w:semiHidden/>
    <w:rsid w:val="00844C99"/>
    <w:rPr>
      <w:rFonts w:ascii="Consolas" w:hAnsi="Consolas"/>
      <w:color w:val="000000" w:themeColor="text1"/>
      <w:sz w:val="20"/>
      <w:szCs w:val="20"/>
    </w:rPr>
  </w:style>
  <w:style w:type="paragraph" w:styleId="Quote">
    <w:name w:val="Quote"/>
    <w:basedOn w:val="Normal"/>
    <w:next w:val="Normal"/>
    <w:link w:val="QuoteChar"/>
    <w:uiPriority w:val="29"/>
    <w:rsid w:val="00844C99"/>
    <w:pPr>
      <w:spacing w:before="200" w:after="160"/>
      <w:ind w:left="864" w:right="864"/>
      <w:jc w:val="center"/>
    </w:pPr>
    <w:rPr>
      <w:i/>
      <w:iCs/>
      <w:color w:val="000000"/>
      <w:sz w:val="22"/>
    </w:rPr>
  </w:style>
  <w:style w:type="character" w:customStyle="1" w:styleId="QuoteChar1">
    <w:name w:val="Quote Char1"/>
    <w:basedOn w:val="DefaultParagraphFont"/>
    <w:uiPriority w:val="29"/>
    <w:rsid w:val="00844C99"/>
    <w:rPr>
      <w:i/>
      <w:iCs/>
      <w:color w:val="404040" w:themeColor="text1" w:themeTint="BF"/>
      <w:sz w:val="20"/>
    </w:rPr>
  </w:style>
  <w:style w:type="paragraph" w:styleId="IntenseQuote">
    <w:name w:val="Intense Quote"/>
    <w:basedOn w:val="Normal"/>
    <w:next w:val="Normal"/>
    <w:link w:val="IntenseQuoteChar"/>
    <w:uiPriority w:val="30"/>
    <w:rsid w:val="00844C99"/>
    <w:pPr>
      <w:pBdr>
        <w:top w:val="single" w:sz="4" w:space="10" w:color="007DA6" w:themeColor="accent1"/>
        <w:bottom w:val="single" w:sz="4" w:space="10" w:color="007DA6" w:themeColor="accent1"/>
      </w:pBdr>
      <w:spacing w:before="360" w:after="360"/>
      <w:ind w:left="864" w:right="864"/>
      <w:jc w:val="center"/>
    </w:pPr>
    <w:rPr>
      <w:b/>
      <w:bCs/>
      <w:i/>
      <w:iCs/>
      <w:color w:val="4F81BD"/>
      <w:sz w:val="22"/>
    </w:rPr>
  </w:style>
  <w:style w:type="character" w:customStyle="1" w:styleId="IntenseQuoteChar1">
    <w:name w:val="Intense Quote Char1"/>
    <w:basedOn w:val="DefaultParagraphFont"/>
    <w:uiPriority w:val="30"/>
    <w:rsid w:val="00844C99"/>
    <w:rPr>
      <w:i/>
      <w:iCs/>
      <w:color w:val="007DA6" w:themeColor="accent1"/>
      <w:sz w:val="20"/>
    </w:rPr>
  </w:style>
  <w:style w:type="character" w:styleId="SubtleEmphasis">
    <w:name w:val="Subtle Emphasis"/>
    <w:basedOn w:val="DefaultParagraphFont"/>
    <w:uiPriority w:val="19"/>
    <w:rsid w:val="00844C99"/>
    <w:rPr>
      <w:i/>
      <w:iCs/>
      <w:color w:val="404040" w:themeColor="text1" w:themeTint="BF"/>
    </w:rPr>
  </w:style>
  <w:style w:type="character" w:styleId="IntenseEmphasis">
    <w:name w:val="Intense Emphasis"/>
    <w:basedOn w:val="DefaultParagraphFont"/>
    <w:uiPriority w:val="21"/>
    <w:rsid w:val="00844C99"/>
    <w:rPr>
      <w:i/>
      <w:iCs/>
      <w:color w:val="007DA6" w:themeColor="accent1"/>
    </w:rPr>
  </w:style>
  <w:style w:type="character" w:styleId="SubtleReference">
    <w:name w:val="Subtle Reference"/>
    <w:basedOn w:val="DefaultParagraphFont"/>
    <w:uiPriority w:val="31"/>
    <w:rsid w:val="00844C99"/>
    <w:rPr>
      <w:smallCaps/>
      <w:color w:val="5A5A5A" w:themeColor="text1" w:themeTint="A5"/>
    </w:rPr>
  </w:style>
  <w:style w:type="character" w:styleId="IntenseReference">
    <w:name w:val="Intense Reference"/>
    <w:basedOn w:val="DefaultParagraphFont"/>
    <w:uiPriority w:val="32"/>
    <w:rsid w:val="00844C99"/>
    <w:rPr>
      <w:b/>
      <w:bCs/>
      <w:smallCaps/>
      <w:color w:val="007DA6" w:themeColor="accent1"/>
      <w:spacing w:val="5"/>
    </w:rPr>
  </w:style>
  <w:style w:type="table" w:styleId="LightShading">
    <w:name w:val="Light Shading"/>
    <w:basedOn w:val="TableNormal"/>
    <w:uiPriority w:val="60"/>
    <w:semiHidden/>
    <w:unhideWhenUsed/>
    <w:rsid w:val="00844C9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44C99"/>
    <w:pPr>
      <w:spacing w:after="0" w:line="240" w:lineRule="auto"/>
    </w:pPr>
    <w:rPr>
      <w:color w:val="005D7C" w:themeColor="accent1" w:themeShade="BF"/>
    </w:rPr>
    <w:tblPr>
      <w:tblStyleRowBandSize w:val="1"/>
      <w:tblStyleColBandSize w:val="1"/>
      <w:tblBorders>
        <w:top w:val="single" w:sz="8" w:space="0" w:color="007DA6" w:themeColor="accent1"/>
        <w:bottom w:val="single" w:sz="8" w:space="0" w:color="007DA6" w:themeColor="accent1"/>
      </w:tblBorders>
    </w:tblPr>
    <w:tblStylePr w:type="firstRow">
      <w:pPr>
        <w:spacing w:before="0" w:after="0" w:line="240" w:lineRule="auto"/>
      </w:pPr>
      <w:rPr>
        <w:b/>
        <w:bCs/>
      </w:rPr>
      <w:tblPr/>
      <w:tcPr>
        <w:tcBorders>
          <w:top w:val="single" w:sz="8" w:space="0" w:color="007DA6" w:themeColor="accent1"/>
          <w:left w:val="nil"/>
          <w:bottom w:val="single" w:sz="8" w:space="0" w:color="007DA6" w:themeColor="accent1"/>
          <w:right w:val="nil"/>
          <w:insideH w:val="nil"/>
          <w:insideV w:val="nil"/>
        </w:tcBorders>
      </w:tcPr>
    </w:tblStylePr>
    <w:tblStylePr w:type="lastRow">
      <w:pPr>
        <w:spacing w:before="0" w:after="0" w:line="240" w:lineRule="auto"/>
      </w:pPr>
      <w:rPr>
        <w:b/>
        <w:bCs/>
      </w:rPr>
      <w:tblPr/>
      <w:tcPr>
        <w:tcBorders>
          <w:top w:val="single" w:sz="8" w:space="0" w:color="007DA6" w:themeColor="accent1"/>
          <w:left w:val="nil"/>
          <w:bottom w:val="single" w:sz="8" w:space="0" w:color="007D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AFF" w:themeFill="accent1" w:themeFillTint="3F"/>
      </w:tcPr>
    </w:tblStylePr>
    <w:tblStylePr w:type="band1Horz">
      <w:tblPr/>
      <w:tcPr>
        <w:tcBorders>
          <w:left w:val="nil"/>
          <w:right w:val="nil"/>
          <w:insideH w:val="nil"/>
          <w:insideV w:val="nil"/>
        </w:tcBorders>
        <w:shd w:val="clear" w:color="auto" w:fill="AAEAFF" w:themeFill="accent1" w:themeFillTint="3F"/>
      </w:tcPr>
    </w:tblStylePr>
  </w:style>
  <w:style w:type="table" w:styleId="LightShading-Accent2">
    <w:name w:val="Light Shading Accent 2"/>
    <w:basedOn w:val="TableNormal"/>
    <w:uiPriority w:val="60"/>
    <w:semiHidden/>
    <w:unhideWhenUsed/>
    <w:rsid w:val="00844C99"/>
    <w:pPr>
      <w:spacing w:after="0" w:line="240" w:lineRule="auto"/>
    </w:pPr>
    <w:rPr>
      <w:color w:val="2897A9" w:themeColor="accent2" w:themeShade="BF"/>
    </w:rPr>
    <w:tblPr>
      <w:tblStyleRowBandSize w:val="1"/>
      <w:tblStyleColBandSize w:val="1"/>
      <w:tblBorders>
        <w:top w:val="single" w:sz="8" w:space="0" w:color="45BFD3" w:themeColor="accent2"/>
        <w:bottom w:val="single" w:sz="8" w:space="0" w:color="45BFD3" w:themeColor="accent2"/>
      </w:tblBorders>
    </w:tblPr>
    <w:tblStylePr w:type="firstRow">
      <w:pPr>
        <w:spacing w:before="0" w:after="0" w:line="240" w:lineRule="auto"/>
      </w:pPr>
      <w:rPr>
        <w:b/>
        <w:bCs/>
      </w:rPr>
      <w:tblPr/>
      <w:tcPr>
        <w:tcBorders>
          <w:top w:val="single" w:sz="8" w:space="0" w:color="45BFD3" w:themeColor="accent2"/>
          <w:left w:val="nil"/>
          <w:bottom w:val="single" w:sz="8" w:space="0" w:color="45BFD3" w:themeColor="accent2"/>
          <w:right w:val="nil"/>
          <w:insideH w:val="nil"/>
          <w:insideV w:val="nil"/>
        </w:tcBorders>
      </w:tcPr>
    </w:tblStylePr>
    <w:tblStylePr w:type="lastRow">
      <w:pPr>
        <w:spacing w:before="0" w:after="0" w:line="240" w:lineRule="auto"/>
      </w:pPr>
      <w:rPr>
        <w:b/>
        <w:bCs/>
      </w:rPr>
      <w:tblPr/>
      <w:tcPr>
        <w:tcBorders>
          <w:top w:val="single" w:sz="8" w:space="0" w:color="45BFD3" w:themeColor="accent2"/>
          <w:left w:val="nil"/>
          <w:bottom w:val="single" w:sz="8" w:space="0" w:color="45BF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F4" w:themeFill="accent2" w:themeFillTint="3F"/>
      </w:tcPr>
    </w:tblStylePr>
    <w:tblStylePr w:type="band1Horz">
      <w:tblPr/>
      <w:tcPr>
        <w:tcBorders>
          <w:left w:val="nil"/>
          <w:right w:val="nil"/>
          <w:insideH w:val="nil"/>
          <w:insideV w:val="nil"/>
        </w:tcBorders>
        <w:shd w:val="clear" w:color="auto" w:fill="D0EFF4" w:themeFill="accent2" w:themeFillTint="3F"/>
      </w:tcPr>
    </w:tblStylePr>
  </w:style>
  <w:style w:type="table" w:styleId="LightShading-Accent3">
    <w:name w:val="Light Shading Accent 3"/>
    <w:basedOn w:val="TableNormal"/>
    <w:uiPriority w:val="60"/>
    <w:semiHidden/>
    <w:unhideWhenUsed/>
    <w:rsid w:val="00844C99"/>
    <w:pPr>
      <w:spacing w:after="0" w:line="240" w:lineRule="auto"/>
    </w:pPr>
    <w:rPr>
      <w:color w:val="8E276D" w:themeColor="accent3" w:themeShade="BF"/>
    </w:rPr>
    <w:tblPr>
      <w:tblStyleRowBandSize w:val="1"/>
      <w:tblStyleColBandSize w:val="1"/>
      <w:tblBorders>
        <w:top w:val="single" w:sz="8" w:space="0" w:color="BE3593" w:themeColor="accent3"/>
        <w:bottom w:val="single" w:sz="8" w:space="0" w:color="BE3593" w:themeColor="accent3"/>
      </w:tblBorders>
    </w:tblPr>
    <w:tblStylePr w:type="firstRow">
      <w:pPr>
        <w:spacing w:before="0" w:after="0" w:line="240" w:lineRule="auto"/>
      </w:pPr>
      <w:rPr>
        <w:b/>
        <w:bCs/>
      </w:rPr>
      <w:tblPr/>
      <w:tcPr>
        <w:tcBorders>
          <w:top w:val="single" w:sz="8" w:space="0" w:color="BE3593" w:themeColor="accent3"/>
          <w:left w:val="nil"/>
          <w:bottom w:val="single" w:sz="8" w:space="0" w:color="BE3593" w:themeColor="accent3"/>
          <w:right w:val="nil"/>
          <w:insideH w:val="nil"/>
          <w:insideV w:val="nil"/>
        </w:tcBorders>
      </w:tcPr>
    </w:tblStylePr>
    <w:tblStylePr w:type="lastRow">
      <w:pPr>
        <w:spacing w:before="0" w:after="0" w:line="240" w:lineRule="auto"/>
      </w:pPr>
      <w:rPr>
        <w:b/>
        <w:bCs/>
      </w:rPr>
      <w:tblPr/>
      <w:tcPr>
        <w:tcBorders>
          <w:top w:val="single" w:sz="8" w:space="0" w:color="BE3593" w:themeColor="accent3"/>
          <w:left w:val="nil"/>
          <w:bottom w:val="single" w:sz="8" w:space="0" w:color="BE359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CBE4" w:themeFill="accent3" w:themeFillTint="3F"/>
      </w:tcPr>
    </w:tblStylePr>
    <w:tblStylePr w:type="band1Horz">
      <w:tblPr/>
      <w:tcPr>
        <w:tcBorders>
          <w:left w:val="nil"/>
          <w:right w:val="nil"/>
          <w:insideH w:val="nil"/>
          <w:insideV w:val="nil"/>
        </w:tcBorders>
        <w:shd w:val="clear" w:color="auto" w:fill="F0CBE4" w:themeFill="accent3" w:themeFillTint="3F"/>
      </w:tcPr>
    </w:tblStylePr>
  </w:style>
  <w:style w:type="table" w:styleId="LightShading-Accent4">
    <w:name w:val="Light Shading Accent 4"/>
    <w:basedOn w:val="TableNormal"/>
    <w:uiPriority w:val="60"/>
    <w:semiHidden/>
    <w:unhideWhenUsed/>
    <w:rsid w:val="00844C99"/>
    <w:pPr>
      <w:spacing w:after="0" w:line="240" w:lineRule="auto"/>
    </w:pPr>
    <w:rPr>
      <w:color w:val="5B3E79" w:themeColor="accent4" w:themeShade="BF"/>
    </w:rPr>
    <w:tblPr>
      <w:tblStyleRowBandSize w:val="1"/>
      <w:tblStyleColBandSize w:val="1"/>
      <w:tblBorders>
        <w:top w:val="single" w:sz="8" w:space="0" w:color="7A53A2" w:themeColor="accent4"/>
        <w:bottom w:val="single" w:sz="8" w:space="0" w:color="7A53A2" w:themeColor="accent4"/>
      </w:tblBorders>
    </w:tblPr>
    <w:tblStylePr w:type="firstRow">
      <w:pPr>
        <w:spacing w:before="0" w:after="0" w:line="240" w:lineRule="auto"/>
      </w:pPr>
      <w:rPr>
        <w:b/>
        <w:bCs/>
      </w:rPr>
      <w:tblPr/>
      <w:tcPr>
        <w:tcBorders>
          <w:top w:val="single" w:sz="8" w:space="0" w:color="7A53A2" w:themeColor="accent4"/>
          <w:left w:val="nil"/>
          <w:bottom w:val="single" w:sz="8" w:space="0" w:color="7A53A2" w:themeColor="accent4"/>
          <w:right w:val="nil"/>
          <w:insideH w:val="nil"/>
          <w:insideV w:val="nil"/>
        </w:tcBorders>
      </w:tcPr>
    </w:tblStylePr>
    <w:tblStylePr w:type="lastRow">
      <w:pPr>
        <w:spacing w:before="0" w:after="0" w:line="240" w:lineRule="auto"/>
      </w:pPr>
      <w:rPr>
        <w:b/>
        <w:bCs/>
      </w:rPr>
      <w:tblPr/>
      <w:tcPr>
        <w:tcBorders>
          <w:top w:val="single" w:sz="8" w:space="0" w:color="7A53A2" w:themeColor="accent4"/>
          <w:left w:val="nil"/>
          <w:bottom w:val="single" w:sz="8" w:space="0" w:color="7A53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3E8" w:themeFill="accent4" w:themeFillTint="3F"/>
      </w:tcPr>
    </w:tblStylePr>
    <w:tblStylePr w:type="band1Horz">
      <w:tblPr/>
      <w:tcPr>
        <w:tcBorders>
          <w:left w:val="nil"/>
          <w:right w:val="nil"/>
          <w:insideH w:val="nil"/>
          <w:insideV w:val="nil"/>
        </w:tcBorders>
        <w:shd w:val="clear" w:color="auto" w:fill="DDD3E8" w:themeFill="accent4" w:themeFillTint="3F"/>
      </w:tcPr>
    </w:tblStylePr>
  </w:style>
  <w:style w:type="table" w:styleId="LightShading-Accent5">
    <w:name w:val="Light Shading Accent 5"/>
    <w:basedOn w:val="TableNormal"/>
    <w:uiPriority w:val="60"/>
    <w:semiHidden/>
    <w:unhideWhenUsed/>
    <w:rsid w:val="00844C99"/>
    <w:pPr>
      <w:spacing w:after="0" w:line="240" w:lineRule="auto"/>
    </w:pPr>
    <w:rPr>
      <w:color w:val="0C7B37" w:themeColor="accent5" w:themeShade="BF"/>
    </w:rPr>
    <w:tblPr>
      <w:tblStyleRowBandSize w:val="1"/>
      <w:tblStyleColBandSize w:val="1"/>
      <w:tblBorders>
        <w:top w:val="single" w:sz="8" w:space="0" w:color="10A54A" w:themeColor="accent5"/>
        <w:bottom w:val="single" w:sz="8" w:space="0" w:color="10A54A" w:themeColor="accent5"/>
      </w:tblBorders>
    </w:tblPr>
    <w:tblStylePr w:type="firstRow">
      <w:pPr>
        <w:spacing w:before="0" w:after="0" w:line="240" w:lineRule="auto"/>
      </w:pPr>
      <w:rPr>
        <w:b/>
        <w:bCs/>
      </w:rPr>
      <w:tblPr/>
      <w:tcPr>
        <w:tcBorders>
          <w:top w:val="single" w:sz="8" w:space="0" w:color="10A54A" w:themeColor="accent5"/>
          <w:left w:val="nil"/>
          <w:bottom w:val="single" w:sz="8" w:space="0" w:color="10A54A" w:themeColor="accent5"/>
          <w:right w:val="nil"/>
          <w:insideH w:val="nil"/>
          <w:insideV w:val="nil"/>
        </w:tcBorders>
      </w:tcPr>
    </w:tblStylePr>
    <w:tblStylePr w:type="lastRow">
      <w:pPr>
        <w:spacing w:before="0" w:after="0" w:line="240" w:lineRule="auto"/>
      </w:pPr>
      <w:rPr>
        <w:b/>
        <w:bCs/>
      </w:rPr>
      <w:tblPr/>
      <w:tcPr>
        <w:tcBorders>
          <w:top w:val="single" w:sz="8" w:space="0" w:color="10A54A" w:themeColor="accent5"/>
          <w:left w:val="nil"/>
          <w:bottom w:val="single" w:sz="8" w:space="0" w:color="10A54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CE" w:themeFill="accent5" w:themeFillTint="3F"/>
      </w:tcPr>
    </w:tblStylePr>
    <w:tblStylePr w:type="band1Horz">
      <w:tblPr/>
      <w:tcPr>
        <w:tcBorders>
          <w:left w:val="nil"/>
          <w:right w:val="nil"/>
          <w:insideH w:val="nil"/>
          <w:insideV w:val="nil"/>
        </w:tcBorders>
        <w:shd w:val="clear" w:color="auto" w:fill="B4F7CE" w:themeFill="accent5" w:themeFillTint="3F"/>
      </w:tcPr>
    </w:tblStylePr>
  </w:style>
  <w:style w:type="table" w:styleId="LightShading-Accent6">
    <w:name w:val="Light Shading Accent 6"/>
    <w:basedOn w:val="TableNormal"/>
    <w:uiPriority w:val="60"/>
    <w:semiHidden/>
    <w:unhideWhenUsed/>
    <w:rsid w:val="00844C99"/>
    <w:pPr>
      <w:spacing w:after="0" w:line="240" w:lineRule="auto"/>
    </w:pPr>
    <w:rPr>
      <w:color w:val="F8F800" w:themeColor="accent6" w:themeShade="BF"/>
    </w:rPr>
    <w:tblPr>
      <w:tblStyleRowBandSize w:val="1"/>
      <w:tblStyleColBandSize w:val="1"/>
      <w:tblBorders>
        <w:top w:val="single" w:sz="8" w:space="0" w:color="FFFF4D" w:themeColor="accent6"/>
        <w:bottom w:val="single" w:sz="8" w:space="0" w:color="FFFF4D" w:themeColor="accent6"/>
      </w:tblBorders>
    </w:tblPr>
    <w:tblStylePr w:type="firstRow">
      <w:pPr>
        <w:spacing w:before="0" w:after="0" w:line="240" w:lineRule="auto"/>
      </w:pPr>
      <w:rPr>
        <w:b/>
        <w:bCs/>
      </w:rPr>
      <w:tblPr/>
      <w:tcPr>
        <w:tcBorders>
          <w:top w:val="single" w:sz="8" w:space="0" w:color="FFFF4D" w:themeColor="accent6"/>
          <w:left w:val="nil"/>
          <w:bottom w:val="single" w:sz="8" w:space="0" w:color="FFFF4D" w:themeColor="accent6"/>
          <w:right w:val="nil"/>
          <w:insideH w:val="nil"/>
          <w:insideV w:val="nil"/>
        </w:tcBorders>
      </w:tcPr>
    </w:tblStylePr>
    <w:tblStylePr w:type="lastRow">
      <w:pPr>
        <w:spacing w:before="0" w:after="0" w:line="240" w:lineRule="auto"/>
      </w:pPr>
      <w:rPr>
        <w:b/>
        <w:bCs/>
      </w:rPr>
      <w:tblPr/>
      <w:tcPr>
        <w:tcBorders>
          <w:top w:val="single" w:sz="8" w:space="0" w:color="FFFF4D" w:themeColor="accent6"/>
          <w:left w:val="nil"/>
          <w:bottom w:val="single" w:sz="8" w:space="0" w:color="FFFF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D3" w:themeFill="accent6" w:themeFillTint="3F"/>
      </w:tcPr>
    </w:tblStylePr>
    <w:tblStylePr w:type="band1Horz">
      <w:tblPr/>
      <w:tcPr>
        <w:tcBorders>
          <w:left w:val="nil"/>
          <w:right w:val="nil"/>
          <w:insideH w:val="nil"/>
          <w:insideV w:val="nil"/>
        </w:tcBorders>
        <w:shd w:val="clear" w:color="auto" w:fill="FFFFD3" w:themeFill="accent6" w:themeFillTint="3F"/>
      </w:tcPr>
    </w:tblStylePr>
  </w:style>
  <w:style w:type="table" w:styleId="LightList">
    <w:name w:val="Light List"/>
    <w:basedOn w:val="TableNormal"/>
    <w:uiPriority w:val="61"/>
    <w:semiHidden/>
    <w:unhideWhenUsed/>
    <w:rsid w:val="00844C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44C99"/>
    <w:pPr>
      <w:spacing w:after="0" w:line="240" w:lineRule="auto"/>
    </w:pPr>
    <w:tblPr>
      <w:tblStyleRowBandSize w:val="1"/>
      <w:tblStyleColBandSize w:val="1"/>
      <w:tblBorders>
        <w:top w:val="single" w:sz="8" w:space="0" w:color="007DA6" w:themeColor="accent1"/>
        <w:left w:val="single" w:sz="8" w:space="0" w:color="007DA6" w:themeColor="accent1"/>
        <w:bottom w:val="single" w:sz="8" w:space="0" w:color="007DA6" w:themeColor="accent1"/>
        <w:right w:val="single" w:sz="8" w:space="0" w:color="007DA6" w:themeColor="accent1"/>
      </w:tblBorders>
    </w:tblPr>
    <w:tblStylePr w:type="firstRow">
      <w:pPr>
        <w:spacing w:before="0" w:after="0" w:line="240" w:lineRule="auto"/>
      </w:pPr>
      <w:rPr>
        <w:b/>
        <w:bCs/>
        <w:color w:val="FFFFFF" w:themeColor="background1"/>
      </w:rPr>
      <w:tblPr/>
      <w:tcPr>
        <w:shd w:val="clear" w:color="auto" w:fill="007DA6" w:themeFill="accent1"/>
      </w:tcPr>
    </w:tblStylePr>
    <w:tblStylePr w:type="lastRow">
      <w:pPr>
        <w:spacing w:before="0" w:after="0" w:line="240" w:lineRule="auto"/>
      </w:pPr>
      <w:rPr>
        <w:b/>
        <w:bCs/>
      </w:rPr>
      <w:tblPr/>
      <w:tcPr>
        <w:tcBorders>
          <w:top w:val="double" w:sz="6" w:space="0" w:color="007DA6" w:themeColor="accent1"/>
          <w:left w:val="single" w:sz="8" w:space="0" w:color="007DA6" w:themeColor="accent1"/>
          <w:bottom w:val="single" w:sz="8" w:space="0" w:color="007DA6" w:themeColor="accent1"/>
          <w:right w:val="single" w:sz="8" w:space="0" w:color="007DA6" w:themeColor="accent1"/>
        </w:tcBorders>
      </w:tcPr>
    </w:tblStylePr>
    <w:tblStylePr w:type="firstCol">
      <w:rPr>
        <w:b/>
        <w:bCs/>
      </w:rPr>
    </w:tblStylePr>
    <w:tblStylePr w:type="lastCol">
      <w:rPr>
        <w:b/>
        <w:bCs/>
      </w:rPr>
    </w:tblStylePr>
    <w:tblStylePr w:type="band1Vert">
      <w:tblPr/>
      <w:tcPr>
        <w:tcBorders>
          <w:top w:val="single" w:sz="8" w:space="0" w:color="007DA6" w:themeColor="accent1"/>
          <w:left w:val="single" w:sz="8" w:space="0" w:color="007DA6" w:themeColor="accent1"/>
          <w:bottom w:val="single" w:sz="8" w:space="0" w:color="007DA6" w:themeColor="accent1"/>
          <w:right w:val="single" w:sz="8" w:space="0" w:color="007DA6" w:themeColor="accent1"/>
        </w:tcBorders>
      </w:tcPr>
    </w:tblStylePr>
    <w:tblStylePr w:type="band1Horz">
      <w:tblPr/>
      <w:tcPr>
        <w:tcBorders>
          <w:top w:val="single" w:sz="8" w:space="0" w:color="007DA6" w:themeColor="accent1"/>
          <w:left w:val="single" w:sz="8" w:space="0" w:color="007DA6" w:themeColor="accent1"/>
          <w:bottom w:val="single" w:sz="8" w:space="0" w:color="007DA6" w:themeColor="accent1"/>
          <w:right w:val="single" w:sz="8" w:space="0" w:color="007DA6" w:themeColor="accent1"/>
        </w:tcBorders>
      </w:tcPr>
    </w:tblStylePr>
  </w:style>
  <w:style w:type="table" w:styleId="LightList-Accent2">
    <w:name w:val="Light List Accent 2"/>
    <w:basedOn w:val="TableNormal"/>
    <w:uiPriority w:val="61"/>
    <w:semiHidden/>
    <w:unhideWhenUsed/>
    <w:rsid w:val="00844C99"/>
    <w:pPr>
      <w:spacing w:after="0" w:line="240" w:lineRule="auto"/>
    </w:pPr>
    <w:tblPr>
      <w:tblStyleRowBandSize w:val="1"/>
      <w:tblStyleColBandSize w:val="1"/>
      <w:tblBorders>
        <w:top w:val="single" w:sz="8" w:space="0" w:color="45BFD3" w:themeColor="accent2"/>
        <w:left w:val="single" w:sz="8" w:space="0" w:color="45BFD3" w:themeColor="accent2"/>
        <w:bottom w:val="single" w:sz="8" w:space="0" w:color="45BFD3" w:themeColor="accent2"/>
        <w:right w:val="single" w:sz="8" w:space="0" w:color="45BFD3" w:themeColor="accent2"/>
      </w:tblBorders>
    </w:tblPr>
    <w:tblStylePr w:type="firstRow">
      <w:pPr>
        <w:spacing w:before="0" w:after="0" w:line="240" w:lineRule="auto"/>
      </w:pPr>
      <w:rPr>
        <w:b/>
        <w:bCs/>
        <w:color w:val="FFFFFF" w:themeColor="background1"/>
      </w:rPr>
      <w:tblPr/>
      <w:tcPr>
        <w:shd w:val="clear" w:color="auto" w:fill="45BFD3" w:themeFill="accent2"/>
      </w:tcPr>
    </w:tblStylePr>
    <w:tblStylePr w:type="lastRow">
      <w:pPr>
        <w:spacing w:before="0" w:after="0" w:line="240" w:lineRule="auto"/>
      </w:pPr>
      <w:rPr>
        <w:b/>
        <w:bCs/>
      </w:rPr>
      <w:tblPr/>
      <w:tcPr>
        <w:tcBorders>
          <w:top w:val="double" w:sz="6" w:space="0" w:color="45BFD3" w:themeColor="accent2"/>
          <w:left w:val="single" w:sz="8" w:space="0" w:color="45BFD3" w:themeColor="accent2"/>
          <w:bottom w:val="single" w:sz="8" w:space="0" w:color="45BFD3" w:themeColor="accent2"/>
          <w:right w:val="single" w:sz="8" w:space="0" w:color="45BFD3" w:themeColor="accent2"/>
        </w:tcBorders>
      </w:tcPr>
    </w:tblStylePr>
    <w:tblStylePr w:type="firstCol">
      <w:rPr>
        <w:b/>
        <w:bCs/>
      </w:rPr>
    </w:tblStylePr>
    <w:tblStylePr w:type="lastCol">
      <w:rPr>
        <w:b/>
        <w:bCs/>
      </w:rPr>
    </w:tblStylePr>
    <w:tblStylePr w:type="band1Vert">
      <w:tblPr/>
      <w:tcPr>
        <w:tcBorders>
          <w:top w:val="single" w:sz="8" w:space="0" w:color="45BFD3" w:themeColor="accent2"/>
          <w:left w:val="single" w:sz="8" w:space="0" w:color="45BFD3" w:themeColor="accent2"/>
          <w:bottom w:val="single" w:sz="8" w:space="0" w:color="45BFD3" w:themeColor="accent2"/>
          <w:right w:val="single" w:sz="8" w:space="0" w:color="45BFD3" w:themeColor="accent2"/>
        </w:tcBorders>
      </w:tcPr>
    </w:tblStylePr>
    <w:tblStylePr w:type="band1Horz">
      <w:tblPr/>
      <w:tcPr>
        <w:tcBorders>
          <w:top w:val="single" w:sz="8" w:space="0" w:color="45BFD3" w:themeColor="accent2"/>
          <w:left w:val="single" w:sz="8" w:space="0" w:color="45BFD3" w:themeColor="accent2"/>
          <w:bottom w:val="single" w:sz="8" w:space="0" w:color="45BFD3" w:themeColor="accent2"/>
          <w:right w:val="single" w:sz="8" w:space="0" w:color="45BFD3" w:themeColor="accent2"/>
        </w:tcBorders>
      </w:tcPr>
    </w:tblStylePr>
  </w:style>
  <w:style w:type="table" w:styleId="LightList-Accent3">
    <w:name w:val="Light List Accent 3"/>
    <w:basedOn w:val="TableNormal"/>
    <w:uiPriority w:val="61"/>
    <w:semiHidden/>
    <w:unhideWhenUsed/>
    <w:rsid w:val="00844C99"/>
    <w:pPr>
      <w:spacing w:after="0" w:line="240" w:lineRule="auto"/>
    </w:pPr>
    <w:tblPr>
      <w:tblStyleRowBandSize w:val="1"/>
      <w:tblStyleColBandSize w:val="1"/>
      <w:tblBorders>
        <w:top w:val="single" w:sz="8" w:space="0" w:color="BE3593" w:themeColor="accent3"/>
        <w:left w:val="single" w:sz="8" w:space="0" w:color="BE3593" w:themeColor="accent3"/>
        <w:bottom w:val="single" w:sz="8" w:space="0" w:color="BE3593" w:themeColor="accent3"/>
        <w:right w:val="single" w:sz="8" w:space="0" w:color="BE3593" w:themeColor="accent3"/>
      </w:tblBorders>
    </w:tblPr>
    <w:tblStylePr w:type="firstRow">
      <w:pPr>
        <w:spacing w:before="0" w:after="0" w:line="240" w:lineRule="auto"/>
      </w:pPr>
      <w:rPr>
        <w:b/>
        <w:bCs/>
        <w:color w:val="FFFFFF" w:themeColor="background1"/>
      </w:rPr>
      <w:tblPr/>
      <w:tcPr>
        <w:shd w:val="clear" w:color="auto" w:fill="BE3593" w:themeFill="accent3"/>
      </w:tcPr>
    </w:tblStylePr>
    <w:tblStylePr w:type="lastRow">
      <w:pPr>
        <w:spacing w:before="0" w:after="0" w:line="240" w:lineRule="auto"/>
      </w:pPr>
      <w:rPr>
        <w:b/>
        <w:bCs/>
      </w:rPr>
      <w:tblPr/>
      <w:tcPr>
        <w:tcBorders>
          <w:top w:val="double" w:sz="6" w:space="0" w:color="BE3593" w:themeColor="accent3"/>
          <w:left w:val="single" w:sz="8" w:space="0" w:color="BE3593" w:themeColor="accent3"/>
          <w:bottom w:val="single" w:sz="8" w:space="0" w:color="BE3593" w:themeColor="accent3"/>
          <w:right w:val="single" w:sz="8" w:space="0" w:color="BE3593" w:themeColor="accent3"/>
        </w:tcBorders>
      </w:tcPr>
    </w:tblStylePr>
    <w:tblStylePr w:type="firstCol">
      <w:rPr>
        <w:b/>
        <w:bCs/>
      </w:rPr>
    </w:tblStylePr>
    <w:tblStylePr w:type="lastCol">
      <w:rPr>
        <w:b/>
        <w:bCs/>
      </w:rPr>
    </w:tblStylePr>
    <w:tblStylePr w:type="band1Vert">
      <w:tblPr/>
      <w:tcPr>
        <w:tcBorders>
          <w:top w:val="single" w:sz="8" w:space="0" w:color="BE3593" w:themeColor="accent3"/>
          <w:left w:val="single" w:sz="8" w:space="0" w:color="BE3593" w:themeColor="accent3"/>
          <w:bottom w:val="single" w:sz="8" w:space="0" w:color="BE3593" w:themeColor="accent3"/>
          <w:right w:val="single" w:sz="8" w:space="0" w:color="BE3593" w:themeColor="accent3"/>
        </w:tcBorders>
      </w:tcPr>
    </w:tblStylePr>
    <w:tblStylePr w:type="band1Horz">
      <w:tblPr/>
      <w:tcPr>
        <w:tcBorders>
          <w:top w:val="single" w:sz="8" w:space="0" w:color="BE3593" w:themeColor="accent3"/>
          <w:left w:val="single" w:sz="8" w:space="0" w:color="BE3593" w:themeColor="accent3"/>
          <w:bottom w:val="single" w:sz="8" w:space="0" w:color="BE3593" w:themeColor="accent3"/>
          <w:right w:val="single" w:sz="8" w:space="0" w:color="BE3593" w:themeColor="accent3"/>
        </w:tcBorders>
      </w:tcPr>
    </w:tblStylePr>
  </w:style>
  <w:style w:type="table" w:styleId="LightList-Accent4">
    <w:name w:val="Light List Accent 4"/>
    <w:basedOn w:val="TableNormal"/>
    <w:uiPriority w:val="61"/>
    <w:semiHidden/>
    <w:unhideWhenUsed/>
    <w:rsid w:val="00844C99"/>
    <w:pPr>
      <w:spacing w:after="0" w:line="240" w:lineRule="auto"/>
    </w:pPr>
    <w:tblPr>
      <w:tblStyleRowBandSize w:val="1"/>
      <w:tblStyleColBandSize w:val="1"/>
      <w:tblBorders>
        <w:top w:val="single" w:sz="8" w:space="0" w:color="7A53A2" w:themeColor="accent4"/>
        <w:left w:val="single" w:sz="8" w:space="0" w:color="7A53A2" w:themeColor="accent4"/>
        <w:bottom w:val="single" w:sz="8" w:space="0" w:color="7A53A2" w:themeColor="accent4"/>
        <w:right w:val="single" w:sz="8" w:space="0" w:color="7A53A2" w:themeColor="accent4"/>
      </w:tblBorders>
    </w:tblPr>
    <w:tblStylePr w:type="firstRow">
      <w:pPr>
        <w:spacing w:before="0" w:after="0" w:line="240" w:lineRule="auto"/>
      </w:pPr>
      <w:rPr>
        <w:b/>
        <w:bCs/>
        <w:color w:val="FFFFFF" w:themeColor="background1"/>
      </w:rPr>
      <w:tblPr/>
      <w:tcPr>
        <w:shd w:val="clear" w:color="auto" w:fill="7A53A2" w:themeFill="accent4"/>
      </w:tcPr>
    </w:tblStylePr>
    <w:tblStylePr w:type="lastRow">
      <w:pPr>
        <w:spacing w:before="0" w:after="0" w:line="240" w:lineRule="auto"/>
      </w:pPr>
      <w:rPr>
        <w:b/>
        <w:bCs/>
      </w:rPr>
      <w:tblPr/>
      <w:tcPr>
        <w:tcBorders>
          <w:top w:val="double" w:sz="6" w:space="0" w:color="7A53A2" w:themeColor="accent4"/>
          <w:left w:val="single" w:sz="8" w:space="0" w:color="7A53A2" w:themeColor="accent4"/>
          <w:bottom w:val="single" w:sz="8" w:space="0" w:color="7A53A2" w:themeColor="accent4"/>
          <w:right w:val="single" w:sz="8" w:space="0" w:color="7A53A2" w:themeColor="accent4"/>
        </w:tcBorders>
      </w:tcPr>
    </w:tblStylePr>
    <w:tblStylePr w:type="firstCol">
      <w:rPr>
        <w:b/>
        <w:bCs/>
      </w:rPr>
    </w:tblStylePr>
    <w:tblStylePr w:type="lastCol">
      <w:rPr>
        <w:b/>
        <w:bCs/>
      </w:rPr>
    </w:tblStylePr>
    <w:tblStylePr w:type="band1Vert">
      <w:tblPr/>
      <w:tcPr>
        <w:tcBorders>
          <w:top w:val="single" w:sz="8" w:space="0" w:color="7A53A2" w:themeColor="accent4"/>
          <w:left w:val="single" w:sz="8" w:space="0" w:color="7A53A2" w:themeColor="accent4"/>
          <w:bottom w:val="single" w:sz="8" w:space="0" w:color="7A53A2" w:themeColor="accent4"/>
          <w:right w:val="single" w:sz="8" w:space="0" w:color="7A53A2" w:themeColor="accent4"/>
        </w:tcBorders>
      </w:tcPr>
    </w:tblStylePr>
    <w:tblStylePr w:type="band1Horz">
      <w:tblPr/>
      <w:tcPr>
        <w:tcBorders>
          <w:top w:val="single" w:sz="8" w:space="0" w:color="7A53A2" w:themeColor="accent4"/>
          <w:left w:val="single" w:sz="8" w:space="0" w:color="7A53A2" w:themeColor="accent4"/>
          <w:bottom w:val="single" w:sz="8" w:space="0" w:color="7A53A2" w:themeColor="accent4"/>
          <w:right w:val="single" w:sz="8" w:space="0" w:color="7A53A2" w:themeColor="accent4"/>
        </w:tcBorders>
      </w:tcPr>
    </w:tblStylePr>
  </w:style>
  <w:style w:type="table" w:styleId="LightList-Accent5">
    <w:name w:val="Light List Accent 5"/>
    <w:basedOn w:val="TableNormal"/>
    <w:uiPriority w:val="61"/>
    <w:semiHidden/>
    <w:unhideWhenUsed/>
    <w:rsid w:val="00844C99"/>
    <w:pPr>
      <w:spacing w:after="0" w:line="240" w:lineRule="auto"/>
    </w:pPr>
    <w:tblPr>
      <w:tblStyleRowBandSize w:val="1"/>
      <w:tblStyleColBandSize w:val="1"/>
      <w:tblBorders>
        <w:top w:val="single" w:sz="8" w:space="0" w:color="10A54A" w:themeColor="accent5"/>
        <w:left w:val="single" w:sz="8" w:space="0" w:color="10A54A" w:themeColor="accent5"/>
        <w:bottom w:val="single" w:sz="8" w:space="0" w:color="10A54A" w:themeColor="accent5"/>
        <w:right w:val="single" w:sz="8" w:space="0" w:color="10A54A" w:themeColor="accent5"/>
      </w:tblBorders>
    </w:tblPr>
    <w:tblStylePr w:type="firstRow">
      <w:pPr>
        <w:spacing w:before="0" w:after="0" w:line="240" w:lineRule="auto"/>
      </w:pPr>
      <w:rPr>
        <w:b/>
        <w:bCs/>
        <w:color w:val="FFFFFF" w:themeColor="background1"/>
      </w:rPr>
      <w:tblPr/>
      <w:tcPr>
        <w:shd w:val="clear" w:color="auto" w:fill="10A54A" w:themeFill="accent5"/>
      </w:tcPr>
    </w:tblStylePr>
    <w:tblStylePr w:type="lastRow">
      <w:pPr>
        <w:spacing w:before="0" w:after="0" w:line="240" w:lineRule="auto"/>
      </w:pPr>
      <w:rPr>
        <w:b/>
        <w:bCs/>
      </w:rPr>
      <w:tblPr/>
      <w:tcPr>
        <w:tcBorders>
          <w:top w:val="double" w:sz="6" w:space="0" w:color="10A54A" w:themeColor="accent5"/>
          <w:left w:val="single" w:sz="8" w:space="0" w:color="10A54A" w:themeColor="accent5"/>
          <w:bottom w:val="single" w:sz="8" w:space="0" w:color="10A54A" w:themeColor="accent5"/>
          <w:right w:val="single" w:sz="8" w:space="0" w:color="10A54A" w:themeColor="accent5"/>
        </w:tcBorders>
      </w:tcPr>
    </w:tblStylePr>
    <w:tblStylePr w:type="firstCol">
      <w:rPr>
        <w:b/>
        <w:bCs/>
      </w:rPr>
    </w:tblStylePr>
    <w:tblStylePr w:type="lastCol">
      <w:rPr>
        <w:b/>
        <w:bCs/>
      </w:rPr>
    </w:tblStylePr>
    <w:tblStylePr w:type="band1Vert">
      <w:tblPr/>
      <w:tcPr>
        <w:tcBorders>
          <w:top w:val="single" w:sz="8" w:space="0" w:color="10A54A" w:themeColor="accent5"/>
          <w:left w:val="single" w:sz="8" w:space="0" w:color="10A54A" w:themeColor="accent5"/>
          <w:bottom w:val="single" w:sz="8" w:space="0" w:color="10A54A" w:themeColor="accent5"/>
          <w:right w:val="single" w:sz="8" w:space="0" w:color="10A54A" w:themeColor="accent5"/>
        </w:tcBorders>
      </w:tcPr>
    </w:tblStylePr>
    <w:tblStylePr w:type="band1Horz">
      <w:tblPr/>
      <w:tcPr>
        <w:tcBorders>
          <w:top w:val="single" w:sz="8" w:space="0" w:color="10A54A" w:themeColor="accent5"/>
          <w:left w:val="single" w:sz="8" w:space="0" w:color="10A54A" w:themeColor="accent5"/>
          <w:bottom w:val="single" w:sz="8" w:space="0" w:color="10A54A" w:themeColor="accent5"/>
          <w:right w:val="single" w:sz="8" w:space="0" w:color="10A54A" w:themeColor="accent5"/>
        </w:tcBorders>
      </w:tcPr>
    </w:tblStylePr>
  </w:style>
  <w:style w:type="table" w:styleId="LightList-Accent6">
    <w:name w:val="Light List Accent 6"/>
    <w:basedOn w:val="TableNormal"/>
    <w:uiPriority w:val="61"/>
    <w:semiHidden/>
    <w:unhideWhenUsed/>
    <w:rsid w:val="00844C99"/>
    <w:pPr>
      <w:spacing w:after="0" w:line="240" w:lineRule="auto"/>
    </w:pPr>
    <w:tblPr>
      <w:tblStyleRowBandSize w:val="1"/>
      <w:tblStyleColBandSize w:val="1"/>
      <w:tblBorders>
        <w:top w:val="single" w:sz="8" w:space="0" w:color="FFFF4D" w:themeColor="accent6"/>
        <w:left w:val="single" w:sz="8" w:space="0" w:color="FFFF4D" w:themeColor="accent6"/>
        <w:bottom w:val="single" w:sz="8" w:space="0" w:color="FFFF4D" w:themeColor="accent6"/>
        <w:right w:val="single" w:sz="8" w:space="0" w:color="FFFF4D" w:themeColor="accent6"/>
      </w:tblBorders>
    </w:tblPr>
    <w:tblStylePr w:type="firstRow">
      <w:pPr>
        <w:spacing w:before="0" w:after="0" w:line="240" w:lineRule="auto"/>
      </w:pPr>
      <w:rPr>
        <w:b/>
        <w:bCs/>
        <w:color w:val="FFFFFF" w:themeColor="background1"/>
      </w:rPr>
      <w:tblPr/>
      <w:tcPr>
        <w:shd w:val="clear" w:color="auto" w:fill="FFFF4D" w:themeFill="accent6"/>
      </w:tcPr>
    </w:tblStylePr>
    <w:tblStylePr w:type="lastRow">
      <w:pPr>
        <w:spacing w:before="0" w:after="0" w:line="240" w:lineRule="auto"/>
      </w:pPr>
      <w:rPr>
        <w:b/>
        <w:bCs/>
      </w:rPr>
      <w:tblPr/>
      <w:tcPr>
        <w:tcBorders>
          <w:top w:val="double" w:sz="6" w:space="0" w:color="FFFF4D" w:themeColor="accent6"/>
          <w:left w:val="single" w:sz="8" w:space="0" w:color="FFFF4D" w:themeColor="accent6"/>
          <w:bottom w:val="single" w:sz="8" w:space="0" w:color="FFFF4D" w:themeColor="accent6"/>
          <w:right w:val="single" w:sz="8" w:space="0" w:color="FFFF4D" w:themeColor="accent6"/>
        </w:tcBorders>
      </w:tcPr>
    </w:tblStylePr>
    <w:tblStylePr w:type="firstCol">
      <w:rPr>
        <w:b/>
        <w:bCs/>
      </w:rPr>
    </w:tblStylePr>
    <w:tblStylePr w:type="lastCol">
      <w:rPr>
        <w:b/>
        <w:bCs/>
      </w:rPr>
    </w:tblStylePr>
    <w:tblStylePr w:type="band1Vert">
      <w:tblPr/>
      <w:tcPr>
        <w:tcBorders>
          <w:top w:val="single" w:sz="8" w:space="0" w:color="FFFF4D" w:themeColor="accent6"/>
          <w:left w:val="single" w:sz="8" w:space="0" w:color="FFFF4D" w:themeColor="accent6"/>
          <w:bottom w:val="single" w:sz="8" w:space="0" w:color="FFFF4D" w:themeColor="accent6"/>
          <w:right w:val="single" w:sz="8" w:space="0" w:color="FFFF4D" w:themeColor="accent6"/>
        </w:tcBorders>
      </w:tcPr>
    </w:tblStylePr>
    <w:tblStylePr w:type="band1Horz">
      <w:tblPr/>
      <w:tcPr>
        <w:tcBorders>
          <w:top w:val="single" w:sz="8" w:space="0" w:color="FFFF4D" w:themeColor="accent6"/>
          <w:left w:val="single" w:sz="8" w:space="0" w:color="FFFF4D" w:themeColor="accent6"/>
          <w:bottom w:val="single" w:sz="8" w:space="0" w:color="FFFF4D" w:themeColor="accent6"/>
          <w:right w:val="single" w:sz="8" w:space="0" w:color="FFFF4D" w:themeColor="accent6"/>
        </w:tcBorders>
      </w:tcPr>
    </w:tblStylePr>
  </w:style>
  <w:style w:type="table" w:styleId="LightGrid">
    <w:name w:val="Light Grid"/>
    <w:basedOn w:val="TableNormal"/>
    <w:uiPriority w:val="62"/>
    <w:semiHidden/>
    <w:unhideWhenUsed/>
    <w:rsid w:val="00844C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44C99"/>
    <w:pPr>
      <w:spacing w:after="0" w:line="240" w:lineRule="auto"/>
    </w:pPr>
    <w:tblPr>
      <w:tblStyleRowBandSize w:val="1"/>
      <w:tblStyleColBandSize w:val="1"/>
      <w:tblBorders>
        <w:top w:val="single" w:sz="8" w:space="0" w:color="007DA6" w:themeColor="accent1"/>
        <w:left w:val="single" w:sz="8" w:space="0" w:color="007DA6" w:themeColor="accent1"/>
        <w:bottom w:val="single" w:sz="8" w:space="0" w:color="007DA6" w:themeColor="accent1"/>
        <w:right w:val="single" w:sz="8" w:space="0" w:color="007DA6" w:themeColor="accent1"/>
        <w:insideH w:val="single" w:sz="8" w:space="0" w:color="007DA6" w:themeColor="accent1"/>
        <w:insideV w:val="single" w:sz="8" w:space="0" w:color="007D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DA6" w:themeColor="accent1"/>
          <w:left w:val="single" w:sz="8" w:space="0" w:color="007DA6" w:themeColor="accent1"/>
          <w:bottom w:val="single" w:sz="18" w:space="0" w:color="007DA6" w:themeColor="accent1"/>
          <w:right w:val="single" w:sz="8" w:space="0" w:color="007DA6" w:themeColor="accent1"/>
          <w:insideH w:val="nil"/>
          <w:insideV w:val="single" w:sz="8" w:space="0" w:color="007D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DA6" w:themeColor="accent1"/>
          <w:left w:val="single" w:sz="8" w:space="0" w:color="007DA6" w:themeColor="accent1"/>
          <w:bottom w:val="single" w:sz="8" w:space="0" w:color="007DA6" w:themeColor="accent1"/>
          <w:right w:val="single" w:sz="8" w:space="0" w:color="007DA6" w:themeColor="accent1"/>
          <w:insideH w:val="nil"/>
          <w:insideV w:val="single" w:sz="8" w:space="0" w:color="007D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DA6" w:themeColor="accent1"/>
          <w:left w:val="single" w:sz="8" w:space="0" w:color="007DA6" w:themeColor="accent1"/>
          <w:bottom w:val="single" w:sz="8" w:space="0" w:color="007DA6" w:themeColor="accent1"/>
          <w:right w:val="single" w:sz="8" w:space="0" w:color="007DA6" w:themeColor="accent1"/>
        </w:tcBorders>
      </w:tcPr>
    </w:tblStylePr>
    <w:tblStylePr w:type="band1Vert">
      <w:tblPr/>
      <w:tcPr>
        <w:tcBorders>
          <w:top w:val="single" w:sz="8" w:space="0" w:color="007DA6" w:themeColor="accent1"/>
          <w:left w:val="single" w:sz="8" w:space="0" w:color="007DA6" w:themeColor="accent1"/>
          <w:bottom w:val="single" w:sz="8" w:space="0" w:color="007DA6" w:themeColor="accent1"/>
          <w:right w:val="single" w:sz="8" w:space="0" w:color="007DA6" w:themeColor="accent1"/>
        </w:tcBorders>
        <w:shd w:val="clear" w:color="auto" w:fill="AAEAFF" w:themeFill="accent1" w:themeFillTint="3F"/>
      </w:tcPr>
    </w:tblStylePr>
    <w:tblStylePr w:type="band1Horz">
      <w:tblPr/>
      <w:tcPr>
        <w:tcBorders>
          <w:top w:val="single" w:sz="8" w:space="0" w:color="007DA6" w:themeColor="accent1"/>
          <w:left w:val="single" w:sz="8" w:space="0" w:color="007DA6" w:themeColor="accent1"/>
          <w:bottom w:val="single" w:sz="8" w:space="0" w:color="007DA6" w:themeColor="accent1"/>
          <w:right w:val="single" w:sz="8" w:space="0" w:color="007DA6" w:themeColor="accent1"/>
          <w:insideV w:val="single" w:sz="8" w:space="0" w:color="007DA6" w:themeColor="accent1"/>
        </w:tcBorders>
        <w:shd w:val="clear" w:color="auto" w:fill="AAEAFF" w:themeFill="accent1" w:themeFillTint="3F"/>
      </w:tcPr>
    </w:tblStylePr>
    <w:tblStylePr w:type="band2Horz">
      <w:tblPr/>
      <w:tcPr>
        <w:tcBorders>
          <w:top w:val="single" w:sz="8" w:space="0" w:color="007DA6" w:themeColor="accent1"/>
          <w:left w:val="single" w:sz="8" w:space="0" w:color="007DA6" w:themeColor="accent1"/>
          <w:bottom w:val="single" w:sz="8" w:space="0" w:color="007DA6" w:themeColor="accent1"/>
          <w:right w:val="single" w:sz="8" w:space="0" w:color="007DA6" w:themeColor="accent1"/>
          <w:insideV w:val="single" w:sz="8" w:space="0" w:color="007DA6" w:themeColor="accent1"/>
        </w:tcBorders>
      </w:tcPr>
    </w:tblStylePr>
  </w:style>
  <w:style w:type="table" w:styleId="LightGrid-Accent2">
    <w:name w:val="Light Grid Accent 2"/>
    <w:basedOn w:val="TableNormal"/>
    <w:uiPriority w:val="62"/>
    <w:semiHidden/>
    <w:unhideWhenUsed/>
    <w:rsid w:val="00844C99"/>
    <w:pPr>
      <w:spacing w:after="0" w:line="240" w:lineRule="auto"/>
    </w:pPr>
    <w:tblPr>
      <w:tblStyleRowBandSize w:val="1"/>
      <w:tblStyleColBandSize w:val="1"/>
      <w:tblBorders>
        <w:top w:val="single" w:sz="8" w:space="0" w:color="45BFD3" w:themeColor="accent2"/>
        <w:left w:val="single" w:sz="8" w:space="0" w:color="45BFD3" w:themeColor="accent2"/>
        <w:bottom w:val="single" w:sz="8" w:space="0" w:color="45BFD3" w:themeColor="accent2"/>
        <w:right w:val="single" w:sz="8" w:space="0" w:color="45BFD3" w:themeColor="accent2"/>
        <w:insideH w:val="single" w:sz="8" w:space="0" w:color="45BFD3" w:themeColor="accent2"/>
        <w:insideV w:val="single" w:sz="8" w:space="0" w:color="45BFD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5BFD3" w:themeColor="accent2"/>
          <w:left w:val="single" w:sz="8" w:space="0" w:color="45BFD3" w:themeColor="accent2"/>
          <w:bottom w:val="single" w:sz="18" w:space="0" w:color="45BFD3" w:themeColor="accent2"/>
          <w:right w:val="single" w:sz="8" w:space="0" w:color="45BFD3" w:themeColor="accent2"/>
          <w:insideH w:val="nil"/>
          <w:insideV w:val="single" w:sz="8" w:space="0" w:color="45BFD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5BFD3" w:themeColor="accent2"/>
          <w:left w:val="single" w:sz="8" w:space="0" w:color="45BFD3" w:themeColor="accent2"/>
          <w:bottom w:val="single" w:sz="8" w:space="0" w:color="45BFD3" w:themeColor="accent2"/>
          <w:right w:val="single" w:sz="8" w:space="0" w:color="45BFD3" w:themeColor="accent2"/>
          <w:insideH w:val="nil"/>
          <w:insideV w:val="single" w:sz="8" w:space="0" w:color="45BFD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5BFD3" w:themeColor="accent2"/>
          <w:left w:val="single" w:sz="8" w:space="0" w:color="45BFD3" w:themeColor="accent2"/>
          <w:bottom w:val="single" w:sz="8" w:space="0" w:color="45BFD3" w:themeColor="accent2"/>
          <w:right w:val="single" w:sz="8" w:space="0" w:color="45BFD3" w:themeColor="accent2"/>
        </w:tcBorders>
      </w:tcPr>
    </w:tblStylePr>
    <w:tblStylePr w:type="band1Vert">
      <w:tblPr/>
      <w:tcPr>
        <w:tcBorders>
          <w:top w:val="single" w:sz="8" w:space="0" w:color="45BFD3" w:themeColor="accent2"/>
          <w:left w:val="single" w:sz="8" w:space="0" w:color="45BFD3" w:themeColor="accent2"/>
          <w:bottom w:val="single" w:sz="8" w:space="0" w:color="45BFD3" w:themeColor="accent2"/>
          <w:right w:val="single" w:sz="8" w:space="0" w:color="45BFD3" w:themeColor="accent2"/>
        </w:tcBorders>
        <w:shd w:val="clear" w:color="auto" w:fill="D0EFF4" w:themeFill="accent2" w:themeFillTint="3F"/>
      </w:tcPr>
    </w:tblStylePr>
    <w:tblStylePr w:type="band1Horz">
      <w:tblPr/>
      <w:tcPr>
        <w:tcBorders>
          <w:top w:val="single" w:sz="8" w:space="0" w:color="45BFD3" w:themeColor="accent2"/>
          <w:left w:val="single" w:sz="8" w:space="0" w:color="45BFD3" w:themeColor="accent2"/>
          <w:bottom w:val="single" w:sz="8" w:space="0" w:color="45BFD3" w:themeColor="accent2"/>
          <w:right w:val="single" w:sz="8" w:space="0" w:color="45BFD3" w:themeColor="accent2"/>
          <w:insideV w:val="single" w:sz="8" w:space="0" w:color="45BFD3" w:themeColor="accent2"/>
        </w:tcBorders>
        <w:shd w:val="clear" w:color="auto" w:fill="D0EFF4" w:themeFill="accent2" w:themeFillTint="3F"/>
      </w:tcPr>
    </w:tblStylePr>
    <w:tblStylePr w:type="band2Horz">
      <w:tblPr/>
      <w:tcPr>
        <w:tcBorders>
          <w:top w:val="single" w:sz="8" w:space="0" w:color="45BFD3" w:themeColor="accent2"/>
          <w:left w:val="single" w:sz="8" w:space="0" w:color="45BFD3" w:themeColor="accent2"/>
          <w:bottom w:val="single" w:sz="8" w:space="0" w:color="45BFD3" w:themeColor="accent2"/>
          <w:right w:val="single" w:sz="8" w:space="0" w:color="45BFD3" w:themeColor="accent2"/>
          <w:insideV w:val="single" w:sz="8" w:space="0" w:color="45BFD3" w:themeColor="accent2"/>
        </w:tcBorders>
      </w:tcPr>
    </w:tblStylePr>
  </w:style>
  <w:style w:type="table" w:styleId="LightGrid-Accent3">
    <w:name w:val="Light Grid Accent 3"/>
    <w:basedOn w:val="TableNormal"/>
    <w:uiPriority w:val="62"/>
    <w:semiHidden/>
    <w:unhideWhenUsed/>
    <w:rsid w:val="00844C99"/>
    <w:pPr>
      <w:spacing w:after="0" w:line="240" w:lineRule="auto"/>
    </w:pPr>
    <w:tblPr>
      <w:tblStyleRowBandSize w:val="1"/>
      <w:tblStyleColBandSize w:val="1"/>
      <w:tblBorders>
        <w:top w:val="single" w:sz="8" w:space="0" w:color="BE3593" w:themeColor="accent3"/>
        <w:left w:val="single" w:sz="8" w:space="0" w:color="BE3593" w:themeColor="accent3"/>
        <w:bottom w:val="single" w:sz="8" w:space="0" w:color="BE3593" w:themeColor="accent3"/>
        <w:right w:val="single" w:sz="8" w:space="0" w:color="BE3593" w:themeColor="accent3"/>
        <w:insideH w:val="single" w:sz="8" w:space="0" w:color="BE3593" w:themeColor="accent3"/>
        <w:insideV w:val="single" w:sz="8" w:space="0" w:color="BE359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E3593" w:themeColor="accent3"/>
          <w:left w:val="single" w:sz="8" w:space="0" w:color="BE3593" w:themeColor="accent3"/>
          <w:bottom w:val="single" w:sz="18" w:space="0" w:color="BE3593" w:themeColor="accent3"/>
          <w:right w:val="single" w:sz="8" w:space="0" w:color="BE3593" w:themeColor="accent3"/>
          <w:insideH w:val="nil"/>
          <w:insideV w:val="single" w:sz="8" w:space="0" w:color="BE359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3593" w:themeColor="accent3"/>
          <w:left w:val="single" w:sz="8" w:space="0" w:color="BE3593" w:themeColor="accent3"/>
          <w:bottom w:val="single" w:sz="8" w:space="0" w:color="BE3593" w:themeColor="accent3"/>
          <w:right w:val="single" w:sz="8" w:space="0" w:color="BE3593" w:themeColor="accent3"/>
          <w:insideH w:val="nil"/>
          <w:insideV w:val="single" w:sz="8" w:space="0" w:color="BE359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3593" w:themeColor="accent3"/>
          <w:left w:val="single" w:sz="8" w:space="0" w:color="BE3593" w:themeColor="accent3"/>
          <w:bottom w:val="single" w:sz="8" w:space="0" w:color="BE3593" w:themeColor="accent3"/>
          <w:right w:val="single" w:sz="8" w:space="0" w:color="BE3593" w:themeColor="accent3"/>
        </w:tcBorders>
      </w:tcPr>
    </w:tblStylePr>
    <w:tblStylePr w:type="band1Vert">
      <w:tblPr/>
      <w:tcPr>
        <w:tcBorders>
          <w:top w:val="single" w:sz="8" w:space="0" w:color="BE3593" w:themeColor="accent3"/>
          <w:left w:val="single" w:sz="8" w:space="0" w:color="BE3593" w:themeColor="accent3"/>
          <w:bottom w:val="single" w:sz="8" w:space="0" w:color="BE3593" w:themeColor="accent3"/>
          <w:right w:val="single" w:sz="8" w:space="0" w:color="BE3593" w:themeColor="accent3"/>
        </w:tcBorders>
        <w:shd w:val="clear" w:color="auto" w:fill="F0CBE4" w:themeFill="accent3" w:themeFillTint="3F"/>
      </w:tcPr>
    </w:tblStylePr>
    <w:tblStylePr w:type="band1Horz">
      <w:tblPr/>
      <w:tcPr>
        <w:tcBorders>
          <w:top w:val="single" w:sz="8" w:space="0" w:color="BE3593" w:themeColor="accent3"/>
          <w:left w:val="single" w:sz="8" w:space="0" w:color="BE3593" w:themeColor="accent3"/>
          <w:bottom w:val="single" w:sz="8" w:space="0" w:color="BE3593" w:themeColor="accent3"/>
          <w:right w:val="single" w:sz="8" w:space="0" w:color="BE3593" w:themeColor="accent3"/>
          <w:insideV w:val="single" w:sz="8" w:space="0" w:color="BE3593" w:themeColor="accent3"/>
        </w:tcBorders>
        <w:shd w:val="clear" w:color="auto" w:fill="F0CBE4" w:themeFill="accent3" w:themeFillTint="3F"/>
      </w:tcPr>
    </w:tblStylePr>
    <w:tblStylePr w:type="band2Horz">
      <w:tblPr/>
      <w:tcPr>
        <w:tcBorders>
          <w:top w:val="single" w:sz="8" w:space="0" w:color="BE3593" w:themeColor="accent3"/>
          <w:left w:val="single" w:sz="8" w:space="0" w:color="BE3593" w:themeColor="accent3"/>
          <w:bottom w:val="single" w:sz="8" w:space="0" w:color="BE3593" w:themeColor="accent3"/>
          <w:right w:val="single" w:sz="8" w:space="0" w:color="BE3593" w:themeColor="accent3"/>
          <w:insideV w:val="single" w:sz="8" w:space="0" w:color="BE3593" w:themeColor="accent3"/>
        </w:tcBorders>
      </w:tcPr>
    </w:tblStylePr>
  </w:style>
  <w:style w:type="table" w:styleId="LightGrid-Accent4">
    <w:name w:val="Light Grid Accent 4"/>
    <w:basedOn w:val="TableNormal"/>
    <w:uiPriority w:val="62"/>
    <w:semiHidden/>
    <w:unhideWhenUsed/>
    <w:rsid w:val="00844C99"/>
    <w:pPr>
      <w:spacing w:after="0" w:line="240" w:lineRule="auto"/>
    </w:pPr>
    <w:tblPr>
      <w:tblStyleRowBandSize w:val="1"/>
      <w:tblStyleColBandSize w:val="1"/>
      <w:tblBorders>
        <w:top w:val="single" w:sz="8" w:space="0" w:color="7A53A2" w:themeColor="accent4"/>
        <w:left w:val="single" w:sz="8" w:space="0" w:color="7A53A2" w:themeColor="accent4"/>
        <w:bottom w:val="single" w:sz="8" w:space="0" w:color="7A53A2" w:themeColor="accent4"/>
        <w:right w:val="single" w:sz="8" w:space="0" w:color="7A53A2" w:themeColor="accent4"/>
        <w:insideH w:val="single" w:sz="8" w:space="0" w:color="7A53A2" w:themeColor="accent4"/>
        <w:insideV w:val="single" w:sz="8" w:space="0" w:color="7A53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53A2" w:themeColor="accent4"/>
          <w:left w:val="single" w:sz="8" w:space="0" w:color="7A53A2" w:themeColor="accent4"/>
          <w:bottom w:val="single" w:sz="18" w:space="0" w:color="7A53A2" w:themeColor="accent4"/>
          <w:right w:val="single" w:sz="8" w:space="0" w:color="7A53A2" w:themeColor="accent4"/>
          <w:insideH w:val="nil"/>
          <w:insideV w:val="single" w:sz="8" w:space="0" w:color="7A53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53A2" w:themeColor="accent4"/>
          <w:left w:val="single" w:sz="8" w:space="0" w:color="7A53A2" w:themeColor="accent4"/>
          <w:bottom w:val="single" w:sz="8" w:space="0" w:color="7A53A2" w:themeColor="accent4"/>
          <w:right w:val="single" w:sz="8" w:space="0" w:color="7A53A2" w:themeColor="accent4"/>
          <w:insideH w:val="nil"/>
          <w:insideV w:val="single" w:sz="8" w:space="0" w:color="7A53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53A2" w:themeColor="accent4"/>
          <w:left w:val="single" w:sz="8" w:space="0" w:color="7A53A2" w:themeColor="accent4"/>
          <w:bottom w:val="single" w:sz="8" w:space="0" w:color="7A53A2" w:themeColor="accent4"/>
          <w:right w:val="single" w:sz="8" w:space="0" w:color="7A53A2" w:themeColor="accent4"/>
        </w:tcBorders>
      </w:tcPr>
    </w:tblStylePr>
    <w:tblStylePr w:type="band1Vert">
      <w:tblPr/>
      <w:tcPr>
        <w:tcBorders>
          <w:top w:val="single" w:sz="8" w:space="0" w:color="7A53A2" w:themeColor="accent4"/>
          <w:left w:val="single" w:sz="8" w:space="0" w:color="7A53A2" w:themeColor="accent4"/>
          <w:bottom w:val="single" w:sz="8" w:space="0" w:color="7A53A2" w:themeColor="accent4"/>
          <w:right w:val="single" w:sz="8" w:space="0" w:color="7A53A2" w:themeColor="accent4"/>
        </w:tcBorders>
        <w:shd w:val="clear" w:color="auto" w:fill="DDD3E8" w:themeFill="accent4" w:themeFillTint="3F"/>
      </w:tcPr>
    </w:tblStylePr>
    <w:tblStylePr w:type="band1Horz">
      <w:tblPr/>
      <w:tcPr>
        <w:tcBorders>
          <w:top w:val="single" w:sz="8" w:space="0" w:color="7A53A2" w:themeColor="accent4"/>
          <w:left w:val="single" w:sz="8" w:space="0" w:color="7A53A2" w:themeColor="accent4"/>
          <w:bottom w:val="single" w:sz="8" w:space="0" w:color="7A53A2" w:themeColor="accent4"/>
          <w:right w:val="single" w:sz="8" w:space="0" w:color="7A53A2" w:themeColor="accent4"/>
          <w:insideV w:val="single" w:sz="8" w:space="0" w:color="7A53A2" w:themeColor="accent4"/>
        </w:tcBorders>
        <w:shd w:val="clear" w:color="auto" w:fill="DDD3E8" w:themeFill="accent4" w:themeFillTint="3F"/>
      </w:tcPr>
    </w:tblStylePr>
    <w:tblStylePr w:type="band2Horz">
      <w:tblPr/>
      <w:tcPr>
        <w:tcBorders>
          <w:top w:val="single" w:sz="8" w:space="0" w:color="7A53A2" w:themeColor="accent4"/>
          <w:left w:val="single" w:sz="8" w:space="0" w:color="7A53A2" w:themeColor="accent4"/>
          <w:bottom w:val="single" w:sz="8" w:space="0" w:color="7A53A2" w:themeColor="accent4"/>
          <w:right w:val="single" w:sz="8" w:space="0" w:color="7A53A2" w:themeColor="accent4"/>
          <w:insideV w:val="single" w:sz="8" w:space="0" w:color="7A53A2" w:themeColor="accent4"/>
        </w:tcBorders>
      </w:tcPr>
    </w:tblStylePr>
  </w:style>
  <w:style w:type="table" w:styleId="LightGrid-Accent5">
    <w:name w:val="Light Grid Accent 5"/>
    <w:basedOn w:val="TableNormal"/>
    <w:uiPriority w:val="62"/>
    <w:semiHidden/>
    <w:unhideWhenUsed/>
    <w:rsid w:val="00844C99"/>
    <w:pPr>
      <w:spacing w:after="0" w:line="240" w:lineRule="auto"/>
    </w:pPr>
    <w:tblPr>
      <w:tblStyleRowBandSize w:val="1"/>
      <w:tblStyleColBandSize w:val="1"/>
      <w:tblBorders>
        <w:top w:val="single" w:sz="8" w:space="0" w:color="10A54A" w:themeColor="accent5"/>
        <w:left w:val="single" w:sz="8" w:space="0" w:color="10A54A" w:themeColor="accent5"/>
        <w:bottom w:val="single" w:sz="8" w:space="0" w:color="10A54A" w:themeColor="accent5"/>
        <w:right w:val="single" w:sz="8" w:space="0" w:color="10A54A" w:themeColor="accent5"/>
        <w:insideH w:val="single" w:sz="8" w:space="0" w:color="10A54A" w:themeColor="accent5"/>
        <w:insideV w:val="single" w:sz="8" w:space="0" w:color="10A54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54A" w:themeColor="accent5"/>
          <w:left w:val="single" w:sz="8" w:space="0" w:color="10A54A" w:themeColor="accent5"/>
          <w:bottom w:val="single" w:sz="18" w:space="0" w:color="10A54A" w:themeColor="accent5"/>
          <w:right w:val="single" w:sz="8" w:space="0" w:color="10A54A" w:themeColor="accent5"/>
          <w:insideH w:val="nil"/>
          <w:insideV w:val="single" w:sz="8" w:space="0" w:color="10A54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54A" w:themeColor="accent5"/>
          <w:left w:val="single" w:sz="8" w:space="0" w:color="10A54A" w:themeColor="accent5"/>
          <w:bottom w:val="single" w:sz="8" w:space="0" w:color="10A54A" w:themeColor="accent5"/>
          <w:right w:val="single" w:sz="8" w:space="0" w:color="10A54A" w:themeColor="accent5"/>
          <w:insideH w:val="nil"/>
          <w:insideV w:val="single" w:sz="8" w:space="0" w:color="10A54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54A" w:themeColor="accent5"/>
          <w:left w:val="single" w:sz="8" w:space="0" w:color="10A54A" w:themeColor="accent5"/>
          <w:bottom w:val="single" w:sz="8" w:space="0" w:color="10A54A" w:themeColor="accent5"/>
          <w:right w:val="single" w:sz="8" w:space="0" w:color="10A54A" w:themeColor="accent5"/>
        </w:tcBorders>
      </w:tcPr>
    </w:tblStylePr>
    <w:tblStylePr w:type="band1Vert">
      <w:tblPr/>
      <w:tcPr>
        <w:tcBorders>
          <w:top w:val="single" w:sz="8" w:space="0" w:color="10A54A" w:themeColor="accent5"/>
          <w:left w:val="single" w:sz="8" w:space="0" w:color="10A54A" w:themeColor="accent5"/>
          <w:bottom w:val="single" w:sz="8" w:space="0" w:color="10A54A" w:themeColor="accent5"/>
          <w:right w:val="single" w:sz="8" w:space="0" w:color="10A54A" w:themeColor="accent5"/>
        </w:tcBorders>
        <w:shd w:val="clear" w:color="auto" w:fill="B4F7CE" w:themeFill="accent5" w:themeFillTint="3F"/>
      </w:tcPr>
    </w:tblStylePr>
    <w:tblStylePr w:type="band1Horz">
      <w:tblPr/>
      <w:tcPr>
        <w:tcBorders>
          <w:top w:val="single" w:sz="8" w:space="0" w:color="10A54A" w:themeColor="accent5"/>
          <w:left w:val="single" w:sz="8" w:space="0" w:color="10A54A" w:themeColor="accent5"/>
          <w:bottom w:val="single" w:sz="8" w:space="0" w:color="10A54A" w:themeColor="accent5"/>
          <w:right w:val="single" w:sz="8" w:space="0" w:color="10A54A" w:themeColor="accent5"/>
          <w:insideV w:val="single" w:sz="8" w:space="0" w:color="10A54A" w:themeColor="accent5"/>
        </w:tcBorders>
        <w:shd w:val="clear" w:color="auto" w:fill="B4F7CE" w:themeFill="accent5" w:themeFillTint="3F"/>
      </w:tcPr>
    </w:tblStylePr>
    <w:tblStylePr w:type="band2Horz">
      <w:tblPr/>
      <w:tcPr>
        <w:tcBorders>
          <w:top w:val="single" w:sz="8" w:space="0" w:color="10A54A" w:themeColor="accent5"/>
          <w:left w:val="single" w:sz="8" w:space="0" w:color="10A54A" w:themeColor="accent5"/>
          <w:bottom w:val="single" w:sz="8" w:space="0" w:color="10A54A" w:themeColor="accent5"/>
          <w:right w:val="single" w:sz="8" w:space="0" w:color="10A54A" w:themeColor="accent5"/>
          <w:insideV w:val="single" w:sz="8" w:space="0" w:color="10A54A" w:themeColor="accent5"/>
        </w:tcBorders>
      </w:tcPr>
    </w:tblStylePr>
  </w:style>
  <w:style w:type="table" w:styleId="LightGrid-Accent6">
    <w:name w:val="Light Grid Accent 6"/>
    <w:basedOn w:val="TableNormal"/>
    <w:uiPriority w:val="62"/>
    <w:semiHidden/>
    <w:unhideWhenUsed/>
    <w:rsid w:val="00844C99"/>
    <w:pPr>
      <w:spacing w:after="0" w:line="240" w:lineRule="auto"/>
    </w:pPr>
    <w:tblPr>
      <w:tblStyleRowBandSize w:val="1"/>
      <w:tblStyleColBandSize w:val="1"/>
      <w:tblBorders>
        <w:top w:val="single" w:sz="8" w:space="0" w:color="FFFF4D" w:themeColor="accent6"/>
        <w:left w:val="single" w:sz="8" w:space="0" w:color="FFFF4D" w:themeColor="accent6"/>
        <w:bottom w:val="single" w:sz="8" w:space="0" w:color="FFFF4D" w:themeColor="accent6"/>
        <w:right w:val="single" w:sz="8" w:space="0" w:color="FFFF4D" w:themeColor="accent6"/>
        <w:insideH w:val="single" w:sz="8" w:space="0" w:color="FFFF4D" w:themeColor="accent6"/>
        <w:insideV w:val="single" w:sz="8" w:space="0" w:color="FFFF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4D" w:themeColor="accent6"/>
          <w:left w:val="single" w:sz="8" w:space="0" w:color="FFFF4D" w:themeColor="accent6"/>
          <w:bottom w:val="single" w:sz="18" w:space="0" w:color="FFFF4D" w:themeColor="accent6"/>
          <w:right w:val="single" w:sz="8" w:space="0" w:color="FFFF4D" w:themeColor="accent6"/>
          <w:insideH w:val="nil"/>
          <w:insideV w:val="single" w:sz="8" w:space="0" w:color="FFFF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4D" w:themeColor="accent6"/>
          <w:left w:val="single" w:sz="8" w:space="0" w:color="FFFF4D" w:themeColor="accent6"/>
          <w:bottom w:val="single" w:sz="8" w:space="0" w:color="FFFF4D" w:themeColor="accent6"/>
          <w:right w:val="single" w:sz="8" w:space="0" w:color="FFFF4D" w:themeColor="accent6"/>
          <w:insideH w:val="nil"/>
          <w:insideV w:val="single" w:sz="8" w:space="0" w:color="FFFF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4D" w:themeColor="accent6"/>
          <w:left w:val="single" w:sz="8" w:space="0" w:color="FFFF4D" w:themeColor="accent6"/>
          <w:bottom w:val="single" w:sz="8" w:space="0" w:color="FFFF4D" w:themeColor="accent6"/>
          <w:right w:val="single" w:sz="8" w:space="0" w:color="FFFF4D" w:themeColor="accent6"/>
        </w:tcBorders>
      </w:tcPr>
    </w:tblStylePr>
    <w:tblStylePr w:type="band1Vert">
      <w:tblPr/>
      <w:tcPr>
        <w:tcBorders>
          <w:top w:val="single" w:sz="8" w:space="0" w:color="FFFF4D" w:themeColor="accent6"/>
          <w:left w:val="single" w:sz="8" w:space="0" w:color="FFFF4D" w:themeColor="accent6"/>
          <w:bottom w:val="single" w:sz="8" w:space="0" w:color="FFFF4D" w:themeColor="accent6"/>
          <w:right w:val="single" w:sz="8" w:space="0" w:color="FFFF4D" w:themeColor="accent6"/>
        </w:tcBorders>
        <w:shd w:val="clear" w:color="auto" w:fill="FFFFD3" w:themeFill="accent6" w:themeFillTint="3F"/>
      </w:tcPr>
    </w:tblStylePr>
    <w:tblStylePr w:type="band1Horz">
      <w:tblPr/>
      <w:tcPr>
        <w:tcBorders>
          <w:top w:val="single" w:sz="8" w:space="0" w:color="FFFF4D" w:themeColor="accent6"/>
          <w:left w:val="single" w:sz="8" w:space="0" w:color="FFFF4D" w:themeColor="accent6"/>
          <w:bottom w:val="single" w:sz="8" w:space="0" w:color="FFFF4D" w:themeColor="accent6"/>
          <w:right w:val="single" w:sz="8" w:space="0" w:color="FFFF4D" w:themeColor="accent6"/>
          <w:insideV w:val="single" w:sz="8" w:space="0" w:color="FFFF4D" w:themeColor="accent6"/>
        </w:tcBorders>
        <w:shd w:val="clear" w:color="auto" w:fill="FFFFD3" w:themeFill="accent6" w:themeFillTint="3F"/>
      </w:tcPr>
    </w:tblStylePr>
    <w:tblStylePr w:type="band2Horz">
      <w:tblPr/>
      <w:tcPr>
        <w:tcBorders>
          <w:top w:val="single" w:sz="8" w:space="0" w:color="FFFF4D" w:themeColor="accent6"/>
          <w:left w:val="single" w:sz="8" w:space="0" w:color="FFFF4D" w:themeColor="accent6"/>
          <w:bottom w:val="single" w:sz="8" w:space="0" w:color="FFFF4D" w:themeColor="accent6"/>
          <w:right w:val="single" w:sz="8" w:space="0" w:color="FFFF4D" w:themeColor="accent6"/>
          <w:insideV w:val="single" w:sz="8" w:space="0" w:color="FFFF4D" w:themeColor="accent6"/>
        </w:tcBorders>
      </w:tcPr>
    </w:tblStylePr>
  </w:style>
  <w:style w:type="table" w:styleId="MediumShading1">
    <w:name w:val="Medium Shading 1"/>
    <w:basedOn w:val="TableNormal"/>
    <w:uiPriority w:val="63"/>
    <w:semiHidden/>
    <w:unhideWhenUsed/>
    <w:rsid w:val="00844C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44C99"/>
    <w:pPr>
      <w:spacing w:after="0" w:line="240" w:lineRule="auto"/>
    </w:pPr>
    <w:tblPr>
      <w:tblStyleRowBandSize w:val="1"/>
      <w:tblStyleColBandSize w:val="1"/>
      <w:tblBorders>
        <w:top w:val="single" w:sz="8" w:space="0" w:color="00BDFC" w:themeColor="accent1" w:themeTint="BF"/>
        <w:left w:val="single" w:sz="8" w:space="0" w:color="00BDFC" w:themeColor="accent1" w:themeTint="BF"/>
        <w:bottom w:val="single" w:sz="8" w:space="0" w:color="00BDFC" w:themeColor="accent1" w:themeTint="BF"/>
        <w:right w:val="single" w:sz="8" w:space="0" w:color="00BDFC" w:themeColor="accent1" w:themeTint="BF"/>
        <w:insideH w:val="single" w:sz="8" w:space="0" w:color="00BDFC" w:themeColor="accent1" w:themeTint="BF"/>
      </w:tblBorders>
    </w:tblPr>
    <w:tblStylePr w:type="firstRow">
      <w:pPr>
        <w:spacing w:before="0" w:after="0" w:line="240" w:lineRule="auto"/>
      </w:pPr>
      <w:rPr>
        <w:b/>
        <w:bCs/>
        <w:color w:val="FFFFFF" w:themeColor="background1"/>
      </w:rPr>
      <w:tblPr/>
      <w:tcPr>
        <w:tcBorders>
          <w:top w:val="single" w:sz="8" w:space="0" w:color="00BDFC" w:themeColor="accent1" w:themeTint="BF"/>
          <w:left w:val="single" w:sz="8" w:space="0" w:color="00BDFC" w:themeColor="accent1" w:themeTint="BF"/>
          <w:bottom w:val="single" w:sz="8" w:space="0" w:color="00BDFC" w:themeColor="accent1" w:themeTint="BF"/>
          <w:right w:val="single" w:sz="8" w:space="0" w:color="00BDFC" w:themeColor="accent1" w:themeTint="BF"/>
          <w:insideH w:val="nil"/>
          <w:insideV w:val="nil"/>
        </w:tcBorders>
        <w:shd w:val="clear" w:color="auto" w:fill="007DA6" w:themeFill="accent1"/>
      </w:tcPr>
    </w:tblStylePr>
    <w:tblStylePr w:type="lastRow">
      <w:pPr>
        <w:spacing w:before="0" w:after="0" w:line="240" w:lineRule="auto"/>
      </w:pPr>
      <w:rPr>
        <w:b/>
        <w:bCs/>
      </w:rPr>
      <w:tblPr/>
      <w:tcPr>
        <w:tcBorders>
          <w:top w:val="double" w:sz="6" w:space="0" w:color="00BDFC" w:themeColor="accent1" w:themeTint="BF"/>
          <w:left w:val="single" w:sz="8" w:space="0" w:color="00BDFC" w:themeColor="accent1" w:themeTint="BF"/>
          <w:bottom w:val="single" w:sz="8" w:space="0" w:color="00BDFC" w:themeColor="accent1" w:themeTint="BF"/>
          <w:right w:val="single" w:sz="8" w:space="0" w:color="00BD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EAFF" w:themeFill="accent1" w:themeFillTint="3F"/>
      </w:tcPr>
    </w:tblStylePr>
    <w:tblStylePr w:type="band1Horz">
      <w:tblPr/>
      <w:tcPr>
        <w:tcBorders>
          <w:insideH w:val="nil"/>
          <w:insideV w:val="nil"/>
        </w:tcBorders>
        <w:shd w:val="clear" w:color="auto" w:fill="AAEA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44C99"/>
    <w:pPr>
      <w:spacing w:after="0" w:line="240" w:lineRule="auto"/>
    </w:pPr>
    <w:tblPr>
      <w:tblStyleRowBandSize w:val="1"/>
      <w:tblStyleColBandSize w:val="1"/>
      <w:tblBorders>
        <w:top w:val="single" w:sz="8" w:space="0" w:color="73CEDE" w:themeColor="accent2" w:themeTint="BF"/>
        <w:left w:val="single" w:sz="8" w:space="0" w:color="73CEDE" w:themeColor="accent2" w:themeTint="BF"/>
        <w:bottom w:val="single" w:sz="8" w:space="0" w:color="73CEDE" w:themeColor="accent2" w:themeTint="BF"/>
        <w:right w:val="single" w:sz="8" w:space="0" w:color="73CEDE" w:themeColor="accent2" w:themeTint="BF"/>
        <w:insideH w:val="single" w:sz="8" w:space="0" w:color="73CEDE" w:themeColor="accent2" w:themeTint="BF"/>
      </w:tblBorders>
    </w:tblPr>
    <w:tblStylePr w:type="firstRow">
      <w:pPr>
        <w:spacing w:before="0" w:after="0" w:line="240" w:lineRule="auto"/>
      </w:pPr>
      <w:rPr>
        <w:b/>
        <w:bCs/>
        <w:color w:val="FFFFFF" w:themeColor="background1"/>
      </w:rPr>
      <w:tblPr/>
      <w:tcPr>
        <w:tcBorders>
          <w:top w:val="single" w:sz="8" w:space="0" w:color="73CEDE" w:themeColor="accent2" w:themeTint="BF"/>
          <w:left w:val="single" w:sz="8" w:space="0" w:color="73CEDE" w:themeColor="accent2" w:themeTint="BF"/>
          <w:bottom w:val="single" w:sz="8" w:space="0" w:color="73CEDE" w:themeColor="accent2" w:themeTint="BF"/>
          <w:right w:val="single" w:sz="8" w:space="0" w:color="73CEDE" w:themeColor="accent2" w:themeTint="BF"/>
          <w:insideH w:val="nil"/>
          <w:insideV w:val="nil"/>
        </w:tcBorders>
        <w:shd w:val="clear" w:color="auto" w:fill="45BFD3" w:themeFill="accent2"/>
      </w:tcPr>
    </w:tblStylePr>
    <w:tblStylePr w:type="lastRow">
      <w:pPr>
        <w:spacing w:before="0" w:after="0" w:line="240" w:lineRule="auto"/>
      </w:pPr>
      <w:rPr>
        <w:b/>
        <w:bCs/>
      </w:rPr>
      <w:tblPr/>
      <w:tcPr>
        <w:tcBorders>
          <w:top w:val="double" w:sz="6" w:space="0" w:color="73CEDE" w:themeColor="accent2" w:themeTint="BF"/>
          <w:left w:val="single" w:sz="8" w:space="0" w:color="73CEDE" w:themeColor="accent2" w:themeTint="BF"/>
          <w:bottom w:val="single" w:sz="8" w:space="0" w:color="73CEDE" w:themeColor="accent2" w:themeTint="BF"/>
          <w:right w:val="single" w:sz="8" w:space="0" w:color="73CE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0EFF4" w:themeFill="accent2" w:themeFillTint="3F"/>
      </w:tcPr>
    </w:tblStylePr>
    <w:tblStylePr w:type="band1Horz">
      <w:tblPr/>
      <w:tcPr>
        <w:tcBorders>
          <w:insideH w:val="nil"/>
          <w:insideV w:val="nil"/>
        </w:tcBorders>
        <w:shd w:val="clear" w:color="auto" w:fill="D0EF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44C99"/>
    <w:pPr>
      <w:spacing w:after="0" w:line="240" w:lineRule="auto"/>
    </w:pPr>
    <w:tblPr>
      <w:tblStyleRowBandSize w:val="1"/>
      <w:tblStyleColBandSize w:val="1"/>
      <w:tblBorders>
        <w:top w:val="single" w:sz="8" w:space="0" w:color="D362AF" w:themeColor="accent3" w:themeTint="BF"/>
        <w:left w:val="single" w:sz="8" w:space="0" w:color="D362AF" w:themeColor="accent3" w:themeTint="BF"/>
        <w:bottom w:val="single" w:sz="8" w:space="0" w:color="D362AF" w:themeColor="accent3" w:themeTint="BF"/>
        <w:right w:val="single" w:sz="8" w:space="0" w:color="D362AF" w:themeColor="accent3" w:themeTint="BF"/>
        <w:insideH w:val="single" w:sz="8" w:space="0" w:color="D362AF" w:themeColor="accent3" w:themeTint="BF"/>
      </w:tblBorders>
    </w:tblPr>
    <w:tblStylePr w:type="firstRow">
      <w:pPr>
        <w:spacing w:before="0" w:after="0" w:line="240" w:lineRule="auto"/>
      </w:pPr>
      <w:rPr>
        <w:b/>
        <w:bCs/>
        <w:color w:val="FFFFFF" w:themeColor="background1"/>
      </w:rPr>
      <w:tblPr/>
      <w:tcPr>
        <w:tcBorders>
          <w:top w:val="single" w:sz="8" w:space="0" w:color="D362AF" w:themeColor="accent3" w:themeTint="BF"/>
          <w:left w:val="single" w:sz="8" w:space="0" w:color="D362AF" w:themeColor="accent3" w:themeTint="BF"/>
          <w:bottom w:val="single" w:sz="8" w:space="0" w:color="D362AF" w:themeColor="accent3" w:themeTint="BF"/>
          <w:right w:val="single" w:sz="8" w:space="0" w:color="D362AF" w:themeColor="accent3" w:themeTint="BF"/>
          <w:insideH w:val="nil"/>
          <w:insideV w:val="nil"/>
        </w:tcBorders>
        <w:shd w:val="clear" w:color="auto" w:fill="BE3593" w:themeFill="accent3"/>
      </w:tcPr>
    </w:tblStylePr>
    <w:tblStylePr w:type="lastRow">
      <w:pPr>
        <w:spacing w:before="0" w:after="0" w:line="240" w:lineRule="auto"/>
      </w:pPr>
      <w:rPr>
        <w:b/>
        <w:bCs/>
      </w:rPr>
      <w:tblPr/>
      <w:tcPr>
        <w:tcBorders>
          <w:top w:val="double" w:sz="6" w:space="0" w:color="D362AF" w:themeColor="accent3" w:themeTint="BF"/>
          <w:left w:val="single" w:sz="8" w:space="0" w:color="D362AF" w:themeColor="accent3" w:themeTint="BF"/>
          <w:bottom w:val="single" w:sz="8" w:space="0" w:color="D362AF" w:themeColor="accent3" w:themeTint="BF"/>
          <w:right w:val="single" w:sz="8" w:space="0" w:color="D362A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0CBE4" w:themeFill="accent3" w:themeFillTint="3F"/>
      </w:tcPr>
    </w:tblStylePr>
    <w:tblStylePr w:type="band1Horz">
      <w:tblPr/>
      <w:tcPr>
        <w:tcBorders>
          <w:insideH w:val="nil"/>
          <w:insideV w:val="nil"/>
        </w:tcBorders>
        <w:shd w:val="clear" w:color="auto" w:fill="F0CBE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44C99"/>
    <w:pPr>
      <w:spacing w:after="0" w:line="240" w:lineRule="auto"/>
    </w:pPr>
    <w:tblPr>
      <w:tblStyleRowBandSize w:val="1"/>
      <w:tblStyleColBandSize w:val="1"/>
      <w:tblBorders>
        <w:top w:val="single" w:sz="8" w:space="0" w:color="9B7BBB" w:themeColor="accent4" w:themeTint="BF"/>
        <w:left w:val="single" w:sz="8" w:space="0" w:color="9B7BBB" w:themeColor="accent4" w:themeTint="BF"/>
        <w:bottom w:val="single" w:sz="8" w:space="0" w:color="9B7BBB" w:themeColor="accent4" w:themeTint="BF"/>
        <w:right w:val="single" w:sz="8" w:space="0" w:color="9B7BBB" w:themeColor="accent4" w:themeTint="BF"/>
        <w:insideH w:val="single" w:sz="8" w:space="0" w:color="9B7BBB" w:themeColor="accent4" w:themeTint="BF"/>
      </w:tblBorders>
    </w:tblPr>
    <w:tblStylePr w:type="firstRow">
      <w:pPr>
        <w:spacing w:before="0" w:after="0" w:line="240" w:lineRule="auto"/>
      </w:pPr>
      <w:rPr>
        <w:b/>
        <w:bCs/>
        <w:color w:val="FFFFFF" w:themeColor="background1"/>
      </w:rPr>
      <w:tblPr/>
      <w:tcPr>
        <w:tcBorders>
          <w:top w:val="single" w:sz="8" w:space="0" w:color="9B7BBB" w:themeColor="accent4" w:themeTint="BF"/>
          <w:left w:val="single" w:sz="8" w:space="0" w:color="9B7BBB" w:themeColor="accent4" w:themeTint="BF"/>
          <w:bottom w:val="single" w:sz="8" w:space="0" w:color="9B7BBB" w:themeColor="accent4" w:themeTint="BF"/>
          <w:right w:val="single" w:sz="8" w:space="0" w:color="9B7BBB" w:themeColor="accent4" w:themeTint="BF"/>
          <w:insideH w:val="nil"/>
          <w:insideV w:val="nil"/>
        </w:tcBorders>
        <w:shd w:val="clear" w:color="auto" w:fill="7A53A2" w:themeFill="accent4"/>
      </w:tcPr>
    </w:tblStylePr>
    <w:tblStylePr w:type="lastRow">
      <w:pPr>
        <w:spacing w:before="0" w:after="0" w:line="240" w:lineRule="auto"/>
      </w:pPr>
      <w:rPr>
        <w:b/>
        <w:bCs/>
      </w:rPr>
      <w:tblPr/>
      <w:tcPr>
        <w:tcBorders>
          <w:top w:val="double" w:sz="6" w:space="0" w:color="9B7BBB" w:themeColor="accent4" w:themeTint="BF"/>
          <w:left w:val="single" w:sz="8" w:space="0" w:color="9B7BBB" w:themeColor="accent4" w:themeTint="BF"/>
          <w:bottom w:val="single" w:sz="8" w:space="0" w:color="9B7BBB" w:themeColor="accent4" w:themeTint="BF"/>
          <w:right w:val="single" w:sz="8" w:space="0" w:color="9B7BBB"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D3E8" w:themeFill="accent4" w:themeFillTint="3F"/>
      </w:tcPr>
    </w:tblStylePr>
    <w:tblStylePr w:type="band1Horz">
      <w:tblPr/>
      <w:tcPr>
        <w:tcBorders>
          <w:insideH w:val="nil"/>
          <w:insideV w:val="nil"/>
        </w:tcBorders>
        <w:shd w:val="clear" w:color="auto" w:fill="DDD3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44C99"/>
    <w:pPr>
      <w:spacing w:after="0" w:line="240" w:lineRule="auto"/>
    </w:pPr>
    <w:tblPr>
      <w:tblStyleRowBandSize w:val="1"/>
      <w:tblStyleColBandSize w:val="1"/>
      <w:tblBorders>
        <w:top w:val="single" w:sz="8" w:space="0" w:color="1EE96C" w:themeColor="accent5" w:themeTint="BF"/>
        <w:left w:val="single" w:sz="8" w:space="0" w:color="1EE96C" w:themeColor="accent5" w:themeTint="BF"/>
        <w:bottom w:val="single" w:sz="8" w:space="0" w:color="1EE96C" w:themeColor="accent5" w:themeTint="BF"/>
        <w:right w:val="single" w:sz="8" w:space="0" w:color="1EE96C" w:themeColor="accent5" w:themeTint="BF"/>
        <w:insideH w:val="single" w:sz="8" w:space="0" w:color="1EE96C" w:themeColor="accent5" w:themeTint="BF"/>
      </w:tblBorders>
    </w:tblPr>
    <w:tblStylePr w:type="firstRow">
      <w:pPr>
        <w:spacing w:before="0" w:after="0" w:line="240" w:lineRule="auto"/>
      </w:pPr>
      <w:rPr>
        <w:b/>
        <w:bCs/>
        <w:color w:val="FFFFFF" w:themeColor="background1"/>
      </w:rPr>
      <w:tblPr/>
      <w:tcPr>
        <w:tcBorders>
          <w:top w:val="single" w:sz="8" w:space="0" w:color="1EE96C" w:themeColor="accent5" w:themeTint="BF"/>
          <w:left w:val="single" w:sz="8" w:space="0" w:color="1EE96C" w:themeColor="accent5" w:themeTint="BF"/>
          <w:bottom w:val="single" w:sz="8" w:space="0" w:color="1EE96C" w:themeColor="accent5" w:themeTint="BF"/>
          <w:right w:val="single" w:sz="8" w:space="0" w:color="1EE96C" w:themeColor="accent5" w:themeTint="BF"/>
          <w:insideH w:val="nil"/>
          <w:insideV w:val="nil"/>
        </w:tcBorders>
        <w:shd w:val="clear" w:color="auto" w:fill="10A54A" w:themeFill="accent5"/>
      </w:tcPr>
    </w:tblStylePr>
    <w:tblStylePr w:type="lastRow">
      <w:pPr>
        <w:spacing w:before="0" w:after="0" w:line="240" w:lineRule="auto"/>
      </w:pPr>
      <w:rPr>
        <w:b/>
        <w:bCs/>
      </w:rPr>
      <w:tblPr/>
      <w:tcPr>
        <w:tcBorders>
          <w:top w:val="double" w:sz="6" w:space="0" w:color="1EE96C" w:themeColor="accent5" w:themeTint="BF"/>
          <w:left w:val="single" w:sz="8" w:space="0" w:color="1EE96C" w:themeColor="accent5" w:themeTint="BF"/>
          <w:bottom w:val="single" w:sz="8" w:space="0" w:color="1EE96C" w:themeColor="accent5" w:themeTint="BF"/>
          <w:right w:val="single" w:sz="8" w:space="0" w:color="1EE96C" w:themeColor="accent5" w:themeTint="BF"/>
          <w:insideH w:val="nil"/>
          <w:insideV w:val="nil"/>
        </w:tcBorders>
      </w:tcPr>
    </w:tblStylePr>
    <w:tblStylePr w:type="firstCol">
      <w:rPr>
        <w:b/>
        <w:bCs/>
      </w:rPr>
    </w:tblStylePr>
    <w:tblStylePr w:type="lastCol">
      <w:rPr>
        <w:b/>
        <w:bCs/>
      </w:rPr>
    </w:tblStylePr>
    <w:tblStylePr w:type="band1Vert">
      <w:tblPr/>
      <w:tcPr>
        <w:shd w:val="clear" w:color="auto" w:fill="B4F7CE" w:themeFill="accent5" w:themeFillTint="3F"/>
      </w:tcPr>
    </w:tblStylePr>
    <w:tblStylePr w:type="band1Horz">
      <w:tblPr/>
      <w:tcPr>
        <w:tcBorders>
          <w:insideH w:val="nil"/>
          <w:insideV w:val="nil"/>
        </w:tcBorders>
        <w:shd w:val="clear" w:color="auto" w:fill="B4F7C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44C99"/>
    <w:pPr>
      <w:spacing w:after="0" w:line="240" w:lineRule="auto"/>
    </w:pPr>
    <w:tblPr>
      <w:tblStyleRowBandSize w:val="1"/>
      <w:tblStyleColBandSize w:val="1"/>
      <w:tblBorders>
        <w:top w:val="single" w:sz="8" w:space="0" w:color="FFFF79" w:themeColor="accent6" w:themeTint="BF"/>
        <w:left w:val="single" w:sz="8" w:space="0" w:color="FFFF79" w:themeColor="accent6" w:themeTint="BF"/>
        <w:bottom w:val="single" w:sz="8" w:space="0" w:color="FFFF79" w:themeColor="accent6" w:themeTint="BF"/>
        <w:right w:val="single" w:sz="8" w:space="0" w:color="FFFF79" w:themeColor="accent6" w:themeTint="BF"/>
        <w:insideH w:val="single" w:sz="8" w:space="0" w:color="FFFF79" w:themeColor="accent6" w:themeTint="BF"/>
      </w:tblBorders>
    </w:tblPr>
    <w:tblStylePr w:type="firstRow">
      <w:pPr>
        <w:spacing w:before="0" w:after="0" w:line="240" w:lineRule="auto"/>
      </w:pPr>
      <w:rPr>
        <w:b/>
        <w:bCs/>
        <w:color w:val="FFFFFF" w:themeColor="background1"/>
      </w:rPr>
      <w:tblPr/>
      <w:tcPr>
        <w:tcBorders>
          <w:top w:val="single" w:sz="8" w:space="0" w:color="FFFF79" w:themeColor="accent6" w:themeTint="BF"/>
          <w:left w:val="single" w:sz="8" w:space="0" w:color="FFFF79" w:themeColor="accent6" w:themeTint="BF"/>
          <w:bottom w:val="single" w:sz="8" w:space="0" w:color="FFFF79" w:themeColor="accent6" w:themeTint="BF"/>
          <w:right w:val="single" w:sz="8" w:space="0" w:color="FFFF79" w:themeColor="accent6" w:themeTint="BF"/>
          <w:insideH w:val="nil"/>
          <w:insideV w:val="nil"/>
        </w:tcBorders>
        <w:shd w:val="clear" w:color="auto" w:fill="FFFF4D" w:themeFill="accent6"/>
      </w:tcPr>
    </w:tblStylePr>
    <w:tblStylePr w:type="lastRow">
      <w:pPr>
        <w:spacing w:before="0" w:after="0" w:line="240" w:lineRule="auto"/>
      </w:pPr>
      <w:rPr>
        <w:b/>
        <w:bCs/>
      </w:rPr>
      <w:tblPr/>
      <w:tcPr>
        <w:tcBorders>
          <w:top w:val="double" w:sz="6" w:space="0" w:color="FFFF79" w:themeColor="accent6" w:themeTint="BF"/>
          <w:left w:val="single" w:sz="8" w:space="0" w:color="FFFF79" w:themeColor="accent6" w:themeTint="BF"/>
          <w:bottom w:val="single" w:sz="8" w:space="0" w:color="FFFF79" w:themeColor="accent6" w:themeTint="BF"/>
          <w:right w:val="single" w:sz="8" w:space="0" w:color="FFFF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D3" w:themeFill="accent6" w:themeFillTint="3F"/>
      </w:tcPr>
    </w:tblStylePr>
    <w:tblStylePr w:type="band1Horz">
      <w:tblPr/>
      <w:tcPr>
        <w:tcBorders>
          <w:insideH w:val="nil"/>
          <w:insideV w:val="nil"/>
        </w:tcBorders>
        <w:shd w:val="clear" w:color="auto" w:fill="FFFF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44C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44C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D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DA6" w:themeFill="accent1"/>
      </w:tcPr>
    </w:tblStylePr>
    <w:tblStylePr w:type="lastCol">
      <w:rPr>
        <w:b/>
        <w:bCs/>
        <w:color w:val="FFFFFF" w:themeColor="background1"/>
      </w:rPr>
      <w:tblPr/>
      <w:tcPr>
        <w:tcBorders>
          <w:left w:val="nil"/>
          <w:right w:val="nil"/>
          <w:insideH w:val="nil"/>
          <w:insideV w:val="nil"/>
        </w:tcBorders>
        <w:shd w:val="clear" w:color="auto" w:fill="007D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44C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5BFD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5BFD3" w:themeFill="accent2"/>
      </w:tcPr>
    </w:tblStylePr>
    <w:tblStylePr w:type="lastCol">
      <w:rPr>
        <w:b/>
        <w:bCs/>
        <w:color w:val="FFFFFF" w:themeColor="background1"/>
      </w:rPr>
      <w:tblPr/>
      <w:tcPr>
        <w:tcBorders>
          <w:left w:val="nil"/>
          <w:right w:val="nil"/>
          <w:insideH w:val="nil"/>
          <w:insideV w:val="nil"/>
        </w:tcBorders>
        <w:shd w:val="clear" w:color="auto" w:fill="45BFD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44C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E359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3593" w:themeFill="accent3"/>
      </w:tcPr>
    </w:tblStylePr>
    <w:tblStylePr w:type="lastCol">
      <w:rPr>
        <w:b/>
        <w:bCs/>
        <w:color w:val="FFFFFF" w:themeColor="background1"/>
      </w:rPr>
      <w:tblPr/>
      <w:tcPr>
        <w:tcBorders>
          <w:left w:val="nil"/>
          <w:right w:val="nil"/>
          <w:insideH w:val="nil"/>
          <w:insideV w:val="nil"/>
        </w:tcBorders>
        <w:shd w:val="clear" w:color="auto" w:fill="BE359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44C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53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53A2" w:themeFill="accent4"/>
      </w:tcPr>
    </w:tblStylePr>
    <w:tblStylePr w:type="lastCol">
      <w:rPr>
        <w:b/>
        <w:bCs/>
        <w:color w:val="FFFFFF" w:themeColor="background1"/>
      </w:rPr>
      <w:tblPr/>
      <w:tcPr>
        <w:tcBorders>
          <w:left w:val="nil"/>
          <w:right w:val="nil"/>
          <w:insideH w:val="nil"/>
          <w:insideV w:val="nil"/>
        </w:tcBorders>
        <w:shd w:val="clear" w:color="auto" w:fill="7A53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44C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54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A54A" w:themeFill="accent5"/>
      </w:tcPr>
    </w:tblStylePr>
    <w:tblStylePr w:type="lastCol">
      <w:rPr>
        <w:b/>
        <w:bCs/>
        <w:color w:val="FFFFFF" w:themeColor="background1"/>
      </w:rPr>
      <w:tblPr/>
      <w:tcPr>
        <w:tcBorders>
          <w:left w:val="nil"/>
          <w:right w:val="nil"/>
          <w:insideH w:val="nil"/>
          <w:insideV w:val="nil"/>
        </w:tcBorders>
        <w:shd w:val="clear" w:color="auto" w:fill="10A54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44C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4D" w:themeFill="accent6"/>
      </w:tcPr>
    </w:tblStylePr>
    <w:tblStylePr w:type="lastCol">
      <w:rPr>
        <w:b/>
        <w:bCs/>
        <w:color w:val="FFFFFF" w:themeColor="background1"/>
      </w:rPr>
      <w:tblPr/>
      <w:tcPr>
        <w:tcBorders>
          <w:left w:val="nil"/>
          <w:right w:val="nil"/>
          <w:insideH w:val="nil"/>
          <w:insideV w:val="nil"/>
        </w:tcBorders>
        <w:shd w:val="clear" w:color="auto" w:fill="FFFF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844C9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5184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44C99"/>
    <w:pPr>
      <w:spacing w:after="0" w:line="240" w:lineRule="auto"/>
    </w:pPr>
    <w:rPr>
      <w:color w:val="000000" w:themeColor="text1"/>
    </w:rPr>
    <w:tblPr>
      <w:tblStyleRowBandSize w:val="1"/>
      <w:tblStyleColBandSize w:val="1"/>
      <w:tblBorders>
        <w:top w:val="single" w:sz="8" w:space="0" w:color="007DA6" w:themeColor="accent1"/>
        <w:bottom w:val="single" w:sz="8" w:space="0" w:color="007DA6" w:themeColor="accent1"/>
      </w:tblBorders>
    </w:tblPr>
    <w:tblStylePr w:type="firstRow">
      <w:rPr>
        <w:rFonts w:asciiTheme="majorHAnsi" w:eastAsiaTheme="majorEastAsia" w:hAnsiTheme="majorHAnsi" w:cstheme="majorBidi"/>
      </w:rPr>
      <w:tblPr/>
      <w:tcPr>
        <w:tcBorders>
          <w:top w:val="nil"/>
          <w:bottom w:val="single" w:sz="8" w:space="0" w:color="007DA6" w:themeColor="accent1"/>
        </w:tcBorders>
      </w:tcPr>
    </w:tblStylePr>
    <w:tblStylePr w:type="lastRow">
      <w:rPr>
        <w:b/>
        <w:bCs/>
        <w:color w:val="151842" w:themeColor="text2"/>
      </w:rPr>
      <w:tblPr/>
      <w:tcPr>
        <w:tcBorders>
          <w:top w:val="single" w:sz="8" w:space="0" w:color="007DA6" w:themeColor="accent1"/>
          <w:bottom w:val="single" w:sz="8" w:space="0" w:color="007DA6" w:themeColor="accent1"/>
        </w:tcBorders>
      </w:tcPr>
    </w:tblStylePr>
    <w:tblStylePr w:type="firstCol">
      <w:rPr>
        <w:b/>
        <w:bCs/>
      </w:rPr>
    </w:tblStylePr>
    <w:tblStylePr w:type="lastCol">
      <w:rPr>
        <w:b/>
        <w:bCs/>
      </w:rPr>
      <w:tblPr/>
      <w:tcPr>
        <w:tcBorders>
          <w:top w:val="single" w:sz="8" w:space="0" w:color="007DA6" w:themeColor="accent1"/>
          <w:bottom w:val="single" w:sz="8" w:space="0" w:color="007DA6" w:themeColor="accent1"/>
        </w:tcBorders>
      </w:tcPr>
    </w:tblStylePr>
    <w:tblStylePr w:type="band1Vert">
      <w:tblPr/>
      <w:tcPr>
        <w:shd w:val="clear" w:color="auto" w:fill="AAEAFF" w:themeFill="accent1" w:themeFillTint="3F"/>
      </w:tcPr>
    </w:tblStylePr>
    <w:tblStylePr w:type="band1Horz">
      <w:tblPr/>
      <w:tcPr>
        <w:shd w:val="clear" w:color="auto" w:fill="AAEAFF" w:themeFill="accent1" w:themeFillTint="3F"/>
      </w:tcPr>
    </w:tblStylePr>
  </w:style>
  <w:style w:type="table" w:styleId="MediumList1-Accent2">
    <w:name w:val="Medium List 1 Accent 2"/>
    <w:basedOn w:val="TableNormal"/>
    <w:uiPriority w:val="65"/>
    <w:semiHidden/>
    <w:unhideWhenUsed/>
    <w:rsid w:val="00844C99"/>
    <w:pPr>
      <w:spacing w:after="0" w:line="240" w:lineRule="auto"/>
    </w:pPr>
    <w:rPr>
      <w:color w:val="000000" w:themeColor="text1"/>
    </w:rPr>
    <w:tblPr>
      <w:tblStyleRowBandSize w:val="1"/>
      <w:tblStyleColBandSize w:val="1"/>
      <w:tblBorders>
        <w:top w:val="single" w:sz="8" w:space="0" w:color="45BFD3" w:themeColor="accent2"/>
        <w:bottom w:val="single" w:sz="8" w:space="0" w:color="45BFD3" w:themeColor="accent2"/>
      </w:tblBorders>
    </w:tblPr>
    <w:tblStylePr w:type="firstRow">
      <w:rPr>
        <w:rFonts w:asciiTheme="majorHAnsi" w:eastAsiaTheme="majorEastAsia" w:hAnsiTheme="majorHAnsi" w:cstheme="majorBidi"/>
      </w:rPr>
      <w:tblPr/>
      <w:tcPr>
        <w:tcBorders>
          <w:top w:val="nil"/>
          <w:bottom w:val="single" w:sz="8" w:space="0" w:color="45BFD3" w:themeColor="accent2"/>
        </w:tcBorders>
      </w:tcPr>
    </w:tblStylePr>
    <w:tblStylePr w:type="lastRow">
      <w:rPr>
        <w:b/>
        <w:bCs/>
        <w:color w:val="151842" w:themeColor="text2"/>
      </w:rPr>
      <w:tblPr/>
      <w:tcPr>
        <w:tcBorders>
          <w:top w:val="single" w:sz="8" w:space="0" w:color="45BFD3" w:themeColor="accent2"/>
          <w:bottom w:val="single" w:sz="8" w:space="0" w:color="45BFD3" w:themeColor="accent2"/>
        </w:tcBorders>
      </w:tcPr>
    </w:tblStylePr>
    <w:tblStylePr w:type="firstCol">
      <w:rPr>
        <w:b/>
        <w:bCs/>
      </w:rPr>
    </w:tblStylePr>
    <w:tblStylePr w:type="lastCol">
      <w:rPr>
        <w:b/>
        <w:bCs/>
      </w:rPr>
      <w:tblPr/>
      <w:tcPr>
        <w:tcBorders>
          <w:top w:val="single" w:sz="8" w:space="0" w:color="45BFD3" w:themeColor="accent2"/>
          <w:bottom w:val="single" w:sz="8" w:space="0" w:color="45BFD3" w:themeColor="accent2"/>
        </w:tcBorders>
      </w:tcPr>
    </w:tblStylePr>
    <w:tblStylePr w:type="band1Vert">
      <w:tblPr/>
      <w:tcPr>
        <w:shd w:val="clear" w:color="auto" w:fill="D0EFF4" w:themeFill="accent2" w:themeFillTint="3F"/>
      </w:tcPr>
    </w:tblStylePr>
    <w:tblStylePr w:type="band1Horz">
      <w:tblPr/>
      <w:tcPr>
        <w:shd w:val="clear" w:color="auto" w:fill="D0EFF4" w:themeFill="accent2" w:themeFillTint="3F"/>
      </w:tcPr>
    </w:tblStylePr>
  </w:style>
  <w:style w:type="table" w:styleId="MediumList1-Accent3">
    <w:name w:val="Medium List 1 Accent 3"/>
    <w:basedOn w:val="TableNormal"/>
    <w:uiPriority w:val="65"/>
    <w:semiHidden/>
    <w:unhideWhenUsed/>
    <w:rsid w:val="00844C99"/>
    <w:pPr>
      <w:spacing w:after="0" w:line="240" w:lineRule="auto"/>
    </w:pPr>
    <w:rPr>
      <w:color w:val="000000" w:themeColor="text1"/>
    </w:rPr>
    <w:tblPr>
      <w:tblStyleRowBandSize w:val="1"/>
      <w:tblStyleColBandSize w:val="1"/>
      <w:tblBorders>
        <w:top w:val="single" w:sz="8" w:space="0" w:color="BE3593" w:themeColor="accent3"/>
        <w:bottom w:val="single" w:sz="8" w:space="0" w:color="BE3593" w:themeColor="accent3"/>
      </w:tblBorders>
    </w:tblPr>
    <w:tblStylePr w:type="firstRow">
      <w:rPr>
        <w:rFonts w:asciiTheme="majorHAnsi" w:eastAsiaTheme="majorEastAsia" w:hAnsiTheme="majorHAnsi" w:cstheme="majorBidi"/>
      </w:rPr>
      <w:tblPr/>
      <w:tcPr>
        <w:tcBorders>
          <w:top w:val="nil"/>
          <w:bottom w:val="single" w:sz="8" w:space="0" w:color="BE3593" w:themeColor="accent3"/>
        </w:tcBorders>
      </w:tcPr>
    </w:tblStylePr>
    <w:tblStylePr w:type="lastRow">
      <w:rPr>
        <w:b/>
        <w:bCs/>
        <w:color w:val="151842" w:themeColor="text2"/>
      </w:rPr>
      <w:tblPr/>
      <w:tcPr>
        <w:tcBorders>
          <w:top w:val="single" w:sz="8" w:space="0" w:color="BE3593" w:themeColor="accent3"/>
          <w:bottom w:val="single" w:sz="8" w:space="0" w:color="BE3593" w:themeColor="accent3"/>
        </w:tcBorders>
      </w:tcPr>
    </w:tblStylePr>
    <w:tblStylePr w:type="firstCol">
      <w:rPr>
        <w:b/>
        <w:bCs/>
      </w:rPr>
    </w:tblStylePr>
    <w:tblStylePr w:type="lastCol">
      <w:rPr>
        <w:b/>
        <w:bCs/>
      </w:rPr>
      <w:tblPr/>
      <w:tcPr>
        <w:tcBorders>
          <w:top w:val="single" w:sz="8" w:space="0" w:color="BE3593" w:themeColor="accent3"/>
          <w:bottom w:val="single" w:sz="8" w:space="0" w:color="BE3593" w:themeColor="accent3"/>
        </w:tcBorders>
      </w:tcPr>
    </w:tblStylePr>
    <w:tblStylePr w:type="band1Vert">
      <w:tblPr/>
      <w:tcPr>
        <w:shd w:val="clear" w:color="auto" w:fill="F0CBE4" w:themeFill="accent3" w:themeFillTint="3F"/>
      </w:tcPr>
    </w:tblStylePr>
    <w:tblStylePr w:type="band1Horz">
      <w:tblPr/>
      <w:tcPr>
        <w:shd w:val="clear" w:color="auto" w:fill="F0CBE4" w:themeFill="accent3" w:themeFillTint="3F"/>
      </w:tcPr>
    </w:tblStylePr>
  </w:style>
  <w:style w:type="table" w:styleId="MediumList1-Accent4">
    <w:name w:val="Medium List 1 Accent 4"/>
    <w:basedOn w:val="TableNormal"/>
    <w:uiPriority w:val="65"/>
    <w:semiHidden/>
    <w:unhideWhenUsed/>
    <w:rsid w:val="00844C99"/>
    <w:pPr>
      <w:spacing w:after="0" w:line="240" w:lineRule="auto"/>
    </w:pPr>
    <w:rPr>
      <w:color w:val="000000" w:themeColor="text1"/>
    </w:rPr>
    <w:tblPr>
      <w:tblStyleRowBandSize w:val="1"/>
      <w:tblStyleColBandSize w:val="1"/>
      <w:tblBorders>
        <w:top w:val="single" w:sz="8" w:space="0" w:color="7A53A2" w:themeColor="accent4"/>
        <w:bottom w:val="single" w:sz="8" w:space="0" w:color="7A53A2" w:themeColor="accent4"/>
      </w:tblBorders>
    </w:tblPr>
    <w:tblStylePr w:type="firstRow">
      <w:rPr>
        <w:rFonts w:asciiTheme="majorHAnsi" w:eastAsiaTheme="majorEastAsia" w:hAnsiTheme="majorHAnsi" w:cstheme="majorBidi"/>
      </w:rPr>
      <w:tblPr/>
      <w:tcPr>
        <w:tcBorders>
          <w:top w:val="nil"/>
          <w:bottom w:val="single" w:sz="8" w:space="0" w:color="7A53A2" w:themeColor="accent4"/>
        </w:tcBorders>
      </w:tcPr>
    </w:tblStylePr>
    <w:tblStylePr w:type="lastRow">
      <w:rPr>
        <w:b/>
        <w:bCs/>
        <w:color w:val="151842" w:themeColor="text2"/>
      </w:rPr>
      <w:tblPr/>
      <w:tcPr>
        <w:tcBorders>
          <w:top w:val="single" w:sz="8" w:space="0" w:color="7A53A2" w:themeColor="accent4"/>
          <w:bottom w:val="single" w:sz="8" w:space="0" w:color="7A53A2" w:themeColor="accent4"/>
        </w:tcBorders>
      </w:tcPr>
    </w:tblStylePr>
    <w:tblStylePr w:type="firstCol">
      <w:rPr>
        <w:b/>
        <w:bCs/>
      </w:rPr>
    </w:tblStylePr>
    <w:tblStylePr w:type="lastCol">
      <w:rPr>
        <w:b/>
        <w:bCs/>
      </w:rPr>
      <w:tblPr/>
      <w:tcPr>
        <w:tcBorders>
          <w:top w:val="single" w:sz="8" w:space="0" w:color="7A53A2" w:themeColor="accent4"/>
          <w:bottom w:val="single" w:sz="8" w:space="0" w:color="7A53A2" w:themeColor="accent4"/>
        </w:tcBorders>
      </w:tcPr>
    </w:tblStylePr>
    <w:tblStylePr w:type="band1Vert">
      <w:tblPr/>
      <w:tcPr>
        <w:shd w:val="clear" w:color="auto" w:fill="DDD3E8" w:themeFill="accent4" w:themeFillTint="3F"/>
      </w:tcPr>
    </w:tblStylePr>
    <w:tblStylePr w:type="band1Horz">
      <w:tblPr/>
      <w:tcPr>
        <w:shd w:val="clear" w:color="auto" w:fill="DDD3E8" w:themeFill="accent4" w:themeFillTint="3F"/>
      </w:tcPr>
    </w:tblStylePr>
  </w:style>
  <w:style w:type="table" w:styleId="MediumList1-Accent5">
    <w:name w:val="Medium List 1 Accent 5"/>
    <w:basedOn w:val="TableNormal"/>
    <w:uiPriority w:val="65"/>
    <w:semiHidden/>
    <w:unhideWhenUsed/>
    <w:rsid w:val="00844C99"/>
    <w:pPr>
      <w:spacing w:after="0" w:line="240" w:lineRule="auto"/>
    </w:pPr>
    <w:rPr>
      <w:color w:val="000000" w:themeColor="text1"/>
    </w:rPr>
    <w:tblPr>
      <w:tblStyleRowBandSize w:val="1"/>
      <w:tblStyleColBandSize w:val="1"/>
      <w:tblBorders>
        <w:top w:val="single" w:sz="8" w:space="0" w:color="10A54A" w:themeColor="accent5"/>
        <w:bottom w:val="single" w:sz="8" w:space="0" w:color="10A54A" w:themeColor="accent5"/>
      </w:tblBorders>
    </w:tblPr>
    <w:tblStylePr w:type="firstRow">
      <w:rPr>
        <w:rFonts w:asciiTheme="majorHAnsi" w:eastAsiaTheme="majorEastAsia" w:hAnsiTheme="majorHAnsi" w:cstheme="majorBidi"/>
      </w:rPr>
      <w:tblPr/>
      <w:tcPr>
        <w:tcBorders>
          <w:top w:val="nil"/>
          <w:bottom w:val="single" w:sz="8" w:space="0" w:color="10A54A" w:themeColor="accent5"/>
        </w:tcBorders>
      </w:tcPr>
    </w:tblStylePr>
    <w:tblStylePr w:type="lastRow">
      <w:rPr>
        <w:b/>
        <w:bCs/>
        <w:color w:val="151842" w:themeColor="text2"/>
      </w:rPr>
      <w:tblPr/>
      <w:tcPr>
        <w:tcBorders>
          <w:top w:val="single" w:sz="8" w:space="0" w:color="10A54A" w:themeColor="accent5"/>
          <w:bottom w:val="single" w:sz="8" w:space="0" w:color="10A54A" w:themeColor="accent5"/>
        </w:tcBorders>
      </w:tcPr>
    </w:tblStylePr>
    <w:tblStylePr w:type="firstCol">
      <w:rPr>
        <w:b/>
        <w:bCs/>
      </w:rPr>
    </w:tblStylePr>
    <w:tblStylePr w:type="lastCol">
      <w:rPr>
        <w:b/>
        <w:bCs/>
      </w:rPr>
      <w:tblPr/>
      <w:tcPr>
        <w:tcBorders>
          <w:top w:val="single" w:sz="8" w:space="0" w:color="10A54A" w:themeColor="accent5"/>
          <w:bottom w:val="single" w:sz="8" w:space="0" w:color="10A54A" w:themeColor="accent5"/>
        </w:tcBorders>
      </w:tcPr>
    </w:tblStylePr>
    <w:tblStylePr w:type="band1Vert">
      <w:tblPr/>
      <w:tcPr>
        <w:shd w:val="clear" w:color="auto" w:fill="B4F7CE" w:themeFill="accent5" w:themeFillTint="3F"/>
      </w:tcPr>
    </w:tblStylePr>
    <w:tblStylePr w:type="band1Horz">
      <w:tblPr/>
      <w:tcPr>
        <w:shd w:val="clear" w:color="auto" w:fill="B4F7CE" w:themeFill="accent5" w:themeFillTint="3F"/>
      </w:tcPr>
    </w:tblStylePr>
  </w:style>
  <w:style w:type="table" w:styleId="MediumList1-Accent6">
    <w:name w:val="Medium List 1 Accent 6"/>
    <w:basedOn w:val="TableNormal"/>
    <w:uiPriority w:val="65"/>
    <w:semiHidden/>
    <w:unhideWhenUsed/>
    <w:rsid w:val="00844C99"/>
    <w:pPr>
      <w:spacing w:after="0" w:line="240" w:lineRule="auto"/>
    </w:pPr>
    <w:rPr>
      <w:color w:val="000000" w:themeColor="text1"/>
    </w:rPr>
    <w:tblPr>
      <w:tblStyleRowBandSize w:val="1"/>
      <w:tblStyleColBandSize w:val="1"/>
      <w:tblBorders>
        <w:top w:val="single" w:sz="8" w:space="0" w:color="FFFF4D" w:themeColor="accent6"/>
        <w:bottom w:val="single" w:sz="8" w:space="0" w:color="FFFF4D" w:themeColor="accent6"/>
      </w:tblBorders>
    </w:tblPr>
    <w:tblStylePr w:type="firstRow">
      <w:rPr>
        <w:rFonts w:asciiTheme="majorHAnsi" w:eastAsiaTheme="majorEastAsia" w:hAnsiTheme="majorHAnsi" w:cstheme="majorBidi"/>
      </w:rPr>
      <w:tblPr/>
      <w:tcPr>
        <w:tcBorders>
          <w:top w:val="nil"/>
          <w:bottom w:val="single" w:sz="8" w:space="0" w:color="FFFF4D" w:themeColor="accent6"/>
        </w:tcBorders>
      </w:tcPr>
    </w:tblStylePr>
    <w:tblStylePr w:type="lastRow">
      <w:rPr>
        <w:b/>
        <w:bCs/>
        <w:color w:val="151842" w:themeColor="text2"/>
      </w:rPr>
      <w:tblPr/>
      <w:tcPr>
        <w:tcBorders>
          <w:top w:val="single" w:sz="8" w:space="0" w:color="FFFF4D" w:themeColor="accent6"/>
          <w:bottom w:val="single" w:sz="8" w:space="0" w:color="FFFF4D" w:themeColor="accent6"/>
        </w:tcBorders>
      </w:tcPr>
    </w:tblStylePr>
    <w:tblStylePr w:type="firstCol">
      <w:rPr>
        <w:b/>
        <w:bCs/>
      </w:rPr>
    </w:tblStylePr>
    <w:tblStylePr w:type="lastCol">
      <w:rPr>
        <w:b/>
        <w:bCs/>
      </w:rPr>
      <w:tblPr/>
      <w:tcPr>
        <w:tcBorders>
          <w:top w:val="single" w:sz="8" w:space="0" w:color="FFFF4D" w:themeColor="accent6"/>
          <w:bottom w:val="single" w:sz="8" w:space="0" w:color="FFFF4D" w:themeColor="accent6"/>
        </w:tcBorders>
      </w:tcPr>
    </w:tblStylePr>
    <w:tblStylePr w:type="band1Vert">
      <w:tblPr/>
      <w:tcPr>
        <w:shd w:val="clear" w:color="auto" w:fill="FFFFD3" w:themeFill="accent6" w:themeFillTint="3F"/>
      </w:tcPr>
    </w:tblStylePr>
    <w:tblStylePr w:type="band1Horz">
      <w:tblPr/>
      <w:tcPr>
        <w:shd w:val="clear" w:color="auto" w:fill="FFFFD3" w:themeFill="accent6" w:themeFillTint="3F"/>
      </w:tcPr>
    </w:tblStylePr>
  </w:style>
  <w:style w:type="table" w:styleId="MediumList2">
    <w:name w:val="Medium List 2"/>
    <w:basedOn w:val="TableNormal"/>
    <w:uiPriority w:val="66"/>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DA6" w:themeColor="accent1"/>
        <w:left w:val="single" w:sz="8" w:space="0" w:color="007DA6" w:themeColor="accent1"/>
        <w:bottom w:val="single" w:sz="8" w:space="0" w:color="007DA6" w:themeColor="accent1"/>
        <w:right w:val="single" w:sz="8" w:space="0" w:color="007DA6" w:themeColor="accent1"/>
      </w:tblBorders>
    </w:tblPr>
    <w:tblStylePr w:type="firstRow">
      <w:rPr>
        <w:sz w:val="24"/>
        <w:szCs w:val="24"/>
      </w:rPr>
      <w:tblPr/>
      <w:tcPr>
        <w:tcBorders>
          <w:top w:val="nil"/>
          <w:left w:val="nil"/>
          <w:bottom w:val="single" w:sz="24" w:space="0" w:color="007DA6" w:themeColor="accent1"/>
          <w:right w:val="nil"/>
          <w:insideH w:val="nil"/>
          <w:insideV w:val="nil"/>
        </w:tcBorders>
        <w:shd w:val="clear" w:color="auto" w:fill="FFFFFF" w:themeFill="background1"/>
      </w:tcPr>
    </w:tblStylePr>
    <w:tblStylePr w:type="lastRow">
      <w:tblPr/>
      <w:tcPr>
        <w:tcBorders>
          <w:top w:val="single" w:sz="8" w:space="0" w:color="007D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DA6" w:themeColor="accent1"/>
          <w:insideH w:val="nil"/>
          <w:insideV w:val="nil"/>
        </w:tcBorders>
        <w:shd w:val="clear" w:color="auto" w:fill="FFFFFF" w:themeFill="background1"/>
      </w:tcPr>
    </w:tblStylePr>
    <w:tblStylePr w:type="lastCol">
      <w:tblPr/>
      <w:tcPr>
        <w:tcBorders>
          <w:top w:val="nil"/>
          <w:left w:val="single" w:sz="8" w:space="0" w:color="007D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AFF" w:themeFill="accent1" w:themeFillTint="3F"/>
      </w:tcPr>
    </w:tblStylePr>
    <w:tblStylePr w:type="band1Horz">
      <w:tblPr/>
      <w:tcPr>
        <w:tcBorders>
          <w:top w:val="nil"/>
          <w:bottom w:val="nil"/>
          <w:insideH w:val="nil"/>
          <w:insideV w:val="nil"/>
        </w:tcBorders>
        <w:shd w:val="clear" w:color="auto" w:fill="AAEA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5BFD3" w:themeColor="accent2"/>
        <w:left w:val="single" w:sz="8" w:space="0" w:color="45BFD3" w:themeColor="accent2"/>
        <w:bottom w:val="single" w:sz="8" w:space="0" w:color="45BFD3" w:themeColor="accent2"/>
        <w:right w:val="single" w:sz="8" w:space="0" w:color="45BFD3" w:themeColor="accent2"/>
      </w:tblBorders>
    </w:tblPr>
    <w:tblStylePr w:type="firstRow">
      <w:rPr>
        <w:sz w:val="24"/>
        <w:szCs w:val="24"/>
      </w:rPr>
      <w:tblPr/>
      <w:tcPr>
        <w:tcBorders>
          <w:top w:val="nil"/>
          <w:left w:val="nil"/>
          <w:bottom w:val="single" w:sz="24" w:space="0" w:color="45BFD3" w:themeColor="accent2"/>
          <w:right w:val="nil"/>
          <w:insideH w:val="nil"/>
          <w:insideV w:val="nil"/>
        </w:tcBorders>
        <w:shd w:val="clear" w:color="auto" w:fill="FFFFFF" w:themeFill="background1"/>
      </w:tcPr>
    </w:tblStylePr>
    <w:tblStylePr w:type="lastRow">
      <w:tblPr/>
      <w:tcPr>
        <w:tcBorders>
          <w:top w:val="single" w:sz="8" w:space="0" w:color="45BFD3"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45BFD3" w:themeColor="accent2"/>
          <w:insideH w:val="nil"/>
          <w:insideV w:val="nil"/>
        </w:tcBorders>
        <w:shd w:val="clear" w:color="auto" w:fill="FFFFFF" w:themeFill="background1"/>
      </w:tcPr>
    </w:tblStylePr>
    <w:tblStylePr w:type="lastCol">
      <w:tblPr/>
      <w:tcPr>
        <w:tcBorders>
          <w:top w:val="nil"/>
          <w:left w:val="single" w:sz="8" w:space="0" w:color="45BFD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F4" w:themeFill="accent2" w:themeFillTint="3F"/>
      </w:tcPr>
    </w:tblStylePr>
    <w:tblStylePr w:type="band1Horz">
      <w:tblPr/>
      <w:tcPr>
        <w:tcBorders>
          <w:top w:val="nil"/>
          <w:bottom w:val="nil"/>
          <w:insideH w:val="nil"/>
          <w:insideV w:val="nil"/>
        </w:tcBorders>
        <w:shd w:val="clear" w:color="auto" w:fill="D0EF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E3593" w:themeColor="accent3"/>
        <w:left w:val="single" w:sz="8" w:space="0" w:color="BE3593" w:themeColor="accent3"/>
        <w:bottom w:val="single" w:sz="8" w:space="0" w:color="BE3593" w:themeColor="accent3"/>
        <w:right w:val="single" w:sz="8" w:space="0" w:color="BE3593" w:themeColor="accent3"/>
      </w:tblBorders>
    </w:tblPr>
    <w:tblStylePr w:type="firstRow">
      <w:rPr>
        <w:sz w:val="24"/>
        <w:szCs w:val="24"/>
      </w:rPr>
      <w:tblPr/>
      <w:tcPr>
        <w:tcBorders>
          <w:top w:val="nil"/>
          <w:left w:val="nil"/>
          <w:bottom w:val="single" w:sz="24" w:space="0" w:color="BE3593" w:themeColor="accent3"/>
          <w:right w:val="nil"/>
          <w:insideH w:val="nil"/>
          <w:insideV w:val="nil"/>
        </w:tcBorders>
        <w:shd w:val="clear" w:color="auto" w:fill="FFFFFF" w:themeFill="background1"/>
      </w:tcPr>
    </w:tblStylePr>
    <w:tblStylePr w:type="lastRow">
      <w:tblPr/>
      <w:tcPr>
        <w:tcBorders>
          <w:top w:val="single" w:sz="8" w:space="0" w:color="BE359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3593" w:themeColor="accent3"/>
          <w:insideH w:val="nil"/>
          <w:insideV w:val="nil"/>
        </w:tcBorders>
        <w:shd w:val="clear" w:color="auto" w:fill="FFFFFF" w:themeFill="background1"/>
      </w:tcPr>
    </w:tblStylePr>
    <w:tblStylePr w:type="lastCol">
      <w:tblPr/>
      <w:tcPr>
        <w:tcBorders>
          <w:top w:val="nil"/>
          <w:left w:val="single" w:sz="8" w:space="0" w:color="BE359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CBE4" w:themeFill="accent3" w:themeFillTint="3F"/>
      </w:tcPr>
    </w:tblStylePr>
    <w:tblStylePr w:type="band1Horz">
      <w:tblPr/>
      <w:tcPr>
        <w:tcBorders>
          <w:top w:val="nil"/>
          <w:bottom w:val="nil"/>
          <w:insideH w:val="nil"/>
          <w:insideV w:val="nil"/>
        </w:tcBorders>
        <w:shd w:val="clear" w:color="auto" w:fill="F0CBE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53A2" w:themeColor="accent4"/>
        <w:left w:val="single" w:sz="8" w:space="0" w:color="7A53A2" w:themeColor="accent4"/>
        <w:bottom w:val="single" w:sz="8" w:space="0" w:color="7A53A2" w:themeColor="accent4"/>
        <w:right w:val="single" w:sz="8" w:space="0" w:color="7A53A2" w:themeColor="accent4"/>
      </w:tblBorders>
    </w:tblPr>
    <w:tblStylePr w:type="firstRow">
      <w:rPr>
        <w:sz w:val="24"/>
        <w:szCs w:val="24"/>
      </w:rPr>
      <w:tblPr/>
      <w:tcPr>
        <w:tcBorders>
          <w:top w:val="nil"/>
          <w:left w:val="nil"/>
          <w:bottom w:val="single" w:sz="24" w:space="0" w:color="7A53A2" w:themeColor="accent4"/>
          <w:right w:val="nil"/>
          <w:insideH w:val="nil"/>
          <w:insideV w:val="nil"/>
        </w:tcBorders>
        <w:shd w:val="clear" w:color="auto" w:fill="FFFFFF" w:themeFill="background1"/>
      </w:tcPr>
    </w:tblStylePr>
    <w:tblStylePr w:type="lastRow">
      <w:tblPr/>
      <w:tcPr>
        <w:tcBorders>
          <w:top w:val="single" w:sz="8" w:space="0" w:color="7A53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53A2" w:themeColor="accent4"/>
          <w:insideH w:val="nil"/>
          <w:insideV w:val="nil"/>
        </w:tcBorders>
        <w:shd w:val="clear" w:color="auto" w:fill="FFFFFF" w:themeFill="background1"/>
      </w:tcPr>
    </w:tblStylePr>
    <w:tblStylePr w:type="lastCol">
      <w:tblPr/>
      <w:tcPr>
        <w:tcBorders>
          <w:top w:val="nil"/>
          <w:left w:val="single" w:sz="8" w:space="0" w:color="7A53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3E8" w:themeFill="accent4" w:themeFillTint="3F"/>
      </w:tcPr>
    </w:tblStylePr>
    <w:tblStylePr w:type="band1Horz">
      <w:tblPr/>
      <w:tcPr>
        <w:tcBorders>
          <w:top w:val="nil"/>
          <w:bottom w:val="nil"/>
          <w:insideH w:val="nil"/>
          <w:insideV w:val="nil"/>
        </w:tcBorders>
        <w:shd w:val="clear" w:color="auto" w:fill="DDD3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54A" w:themeColor="accent5"/>
        <w:left w:val="single" w:sz="8" w:space="0" w:color="10A54A" w:themeColor="accent5"/>
        <w:bottom w:val="single" w:sz="8" w:space="0" w:color="10A54A" w:themeColor="accent5"/>
        <w:right w:val="single" w:sz="8" w:space="0" w:color="10A54A" w:themeColor="accent5"/>
      </w:tblBorders>
    </w:tblPr>
    <w:tblStylePr w:type="firstRow">
      <w:rPr>
        <w:sz w:val="24"/>
        <w:szCs w:val="24"/>
      </w:rPr>
      <w:tblPr/>
      <w:tcPr>
        <w:tcBorders>
          <w:top w:val="nil"/>
          <w:left w:val="nil"/>
          <w:bottom w:val="single" w:sz="24" w:space="0" w:color="10A54A" w:themeColor="accent5"/>
          <w:right w:val="nil"/>
          <w:insideH w:val="nil"/>
          <w:insideV w:val="nil"/>
        </w:tcBorders>
        <w:shd w:val="clear" w:color="auto" w:fill="FFFFFF" w:themeFill="background1"/>
      </w:tcPr>
    </w:tblStylePr>
    <w:tblStylePr w:type="lastRow">
      <w:tblPr/>
      <w:tcPr>
        <w:tcBorders>
          <w:top w:val="single" w:sz="8" w:space="0" w:color="10A54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54A" w:themeColor="accent5"/>
          <w:insideH w:val="nil"/>
          <w:insideV w:val="nil"/>
        </w:tcBorders>
        <w:shd w:val="clear" w:color="auto" w:fill="FFFFFF" w:themeFill="background1"/>
      </w:tcPr>
    </w:tblStylePr>
    <w:tblStylePr w:type="lastCol">
      <w:tblPr/>
      <w:tcPr>
        <w:tcBorders>
          <w:top w:val="nil"/>
          <w:left w:val="single" w:sz="8" w:space="0" w:color="10A54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CE" w:themeFill="accent5" w:themeFillTint="3F"/>
      </w:tcPr>
    </w:tblStylePr>
    <w:tblStylePr w:type="band1Horz">
      <w:tblPr/>
      <w:tcPr>
        <w:tcBorders>
          <w:top w:val="nil"/>
          <w:bottom w:val="nil"/>
          <w:insideH w:val="nil"/>
          <w:insideV w:val="nil"/>
        </w:tcBorders>
        <w:shd w:val="clear" w:color="auto" w:fill="B4F7C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F4D" w:themeColor="accent6"/>
        <w:left w:val="single" w:sz="8" w:space="0" w:color="FFFF4D" w:themeColor="accent6"/>
        <w:bottom w:val="single" w:sz="8" w:space="0" w:color="FFFF4D" w:themeColor="accent6"/>
        <w:right w:val="single" w:sz="8" w:space="0" w:color="FFFF4D" w:themeColor="accent6"/>
      </w:tblBorders>
    </w:tblPr>
    <w:tblStylePr w:type="firstRow">
      <w:rPr>
        <w:sz w:val="24"/>
        <w:szCs w:val="24"/>
      </w:rPr>
      <w:tblPr/>
      <w:tcPr>
        <w:tcBorders>
          <w:top w:val="nil"/>
          <w:left w:val="nil"/>
          <w:bottom w:val="single" w:sz="24" w:space="0" w:color="FFFF4D" w:themeColor="accent6"/>
          <w:right w:val="nil"/>
          <w:insideH w:val="nil"/>
          <w:insideV w:val="nil"/>
        </w:tcBorders>
        <w:shd w:val="clear" w:color="auto" w:fill="FFFFFF" w:themeFill="background1"/>
      </w:tcPr>
    </w:tblStylePr>
    <w:tblStylePr w:type="lastRow">
      <w:tblPr/>
      <w:tcPr>
        <w:tcBorders>
          <w:top w:val="single" w:sz="8" w:space="0" w:color="FFFF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4D" w:themeColor="accent6"/>
          <w:insideH w:val="nil"/>
          <w:insideV w:val="nil"/>
        </w:tcBorders>
        <w:shd w:val="clear" w:color="auto" w:fill="FFFFFF" w:themeFill="background1"/>
      </w:tcPr>
    </w:tblStylePr>
    <w:tblStylePr w:type="lastCol">
      <w:tblPr/>
      <w:tcPr>
        <w:tcBorders>
          <w:top w:val="nil"/>
          <w:left w:val="single" w:sz="8" w:space="0" w:color="FFFF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D3" w:themeFill="accent6" w:themeFillTint="3F"/>
      </w:tcPr>
    </w:tblStylePr>
    <w:tblStylePr w:type="band1Horz">
      <w:tblPr/>
      <w:tcPr>
        <w:tcBorders>
          <w:top w:val="nil"/>
          <w:bottom w:val="nil"/>
          <w:insideH w:val="nil"/>
          <w:insideV w:val="nil"/>
        </w:tcBorders>
        <w:shd w:val="clear" w:color="auto" w:fill="FFFF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844C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44C99"/>
    <w:pPr>
      <w:spacing w:after="0" w:line="240" w:lineRule="auto"/>
    </w:pPr>
    <w:tblPr>
      <w:tblStyleRowBandSize w:val="1"/>
      <w:tblStyleColBandSize w:val="1"/>
      <w:tblBorders>
        <w:top w:val="single" w:sz="8" w:space="0" w:color="00BDFC" w:themeColor="accent1" w:themeTint="BF"/>
        <w:left w:val="single" w:sz="8" w:space="0" w:color="00BDFC" w:themeColor="accent1" w:themeTint="BF"/>
        <w:bottom w:val="single" w:sz="8" w:space="0" w:color="00BDFC" w:themeColor="accent1" w:themeTint="BF"/>
        <w:right w:val="single" w:sz="8" w:space="0" w:color="00BDFC" w:themeColor="accent1" w:themeTint="BF"/>
        <w:insideH w:val="single" w:sz="8" w:space="0" w:color="00BDFC" w:themeColor="accent1" w:themeTint="BF"/>
        <w:insideV w:val="single" w:sz="8" w:space="0" w:color="00BDFC" w:themeColor="accent1" w:themeTint="BF"/>
      </w:tblBorders>
    </w:tblPr>
    <w:tcPr>
      <w:shd w:val="clear" w:color="auto" w:fill="AAEAFF" w:themeFill="accent1" w:themeFillTint="3F"/>
    </w:tcPr>
    <w:tblStylePr w:type="firstRow">
      <w:rPr>
        <w:b/>
        <w:bCs/>
      </w:rPr>
    </w:tblStylePr>
    <w:tblStylePr w:type="lastRow">
      <w:rPr>
        <w:b/>
        <w:bCs/>
      </w:rPr>
      <w:tblPr/>
      <w:tcPr>
        <w:tcBorders>
          <w:top w:val="single" w:sz="18" w:space="0" w:color="00BDFC" w:themeColor="accent1" w:themeTint="BF"/>
        </w:tcBorders>
      </w:tcPr>
    </w:tblStylePr>
    <w:tblStylePr w:type="firstCol">
      <w:rPr>
        <w:b/>
        <w:bCs/>
      </w:rPr>
    </w:tblStylePr>
    <w:tblStylePr w:type="lastCol">
      <w:rPr>
        <w:b/>
        <w:bCs/>
      </w:rPr>
    </w:tblStylePr>
    <w:tblStylePr w:type="band1Vert">
      <w:tblPr/>
      <w:tcPr>
        <w:shd w:val="clear" w:color="auto" w:fill="53D4FF" w:themeFill="accent1" w:themeFillTint="7F"/>
      </w:tcPr>
    </w:tblStylePr>
    <w:tblStylePr w:type="band1Horz">
      <w:tblPr/>
      <w:tcPr>
        <w:shd w:val="clear" w:color="auto" w:fill="53D4FF" w:themeFill="accent1" w:themeFillTint="7F"/>
      </w:tcPr>
    </w:tblStylePr>
  </w:style>
  <w:style w:type="table" w:styleId="MediumGrid1-Accent2">
    <w:name w:val="Medium Grid 1 Accent 2"/>
    <w:basedOn w:val="TableNormal"/>
    <w:uiPriority w:val="67"/>
    <w:semiHidden/>
    <w:unhideWhenUsed/>
    <w:rsid w:val="00844C99"/>
    <w:pPr>
      <w:spacing w:after="0" w:line="240" w:lineRule="auto"/>
    </w:pPr>
    <w:tblPr>
      <w:tblStyleRowBandSize w:val="1"/>
      <w:tblStyleColBandSize w:val="1"/>
      <w:tblBorders>
        <w:top w:val="single" w:sz="8" w:space="0" w:color="73CEDE" w:themeColor="accent2" w:themeTint="BF"/>
        <w:left w:val="single" w:sz="8" w:space="0" w:color="73CEDE" w:themeColor="accent2" w:themeTint="BF"/>
        <w:bottom w:val="single" w:sz="8" w:space="0" w:color="73CEDE" w:themeColor="accent2" w:themeTint="BF"/>
        <w:right w:val="single" w:sz="8" w:space="0" w:color="73CEDE" w:themeColor="accent2" w:themeTint="BF"/>
        <w:insideH w:val="single" w:sz="8" w:space="0" w:color="73CEDE" w:themeColor="accent2" w:themeTint="BF"/>
        <w:insideV w:val="single" w:sz="8" w:space="0" w:color="73CEDE" w:themeColor="accent2" w:themeTint="BF"/>
      </w:tblBorders>
    </w:tblPr>
    <w:tcPr>
      <w:shd w:val="clear" w:color="auto" w:fill="D0EFF4" w:themeFill="accent2" w:themeFillTint="3F"/>
    </w:tcPr>
    <w:tblStylePr w:type="firstRow">
      <w:rPr>
        <w:b/>
        <w:bCs/>
      </w:rPr>
    </w:tblStylePr>
    <w:tblStylePr w:type="lastRow">
      <w:rPr>
        <w:b/>
        <w:bCs/>
      </w:rPr>
      <w:tblPr/>
      <w:tcPr>
        <w:tcBorders>
          <w:top w:val="single" w:sz="18" w:space="0" w:color="73CEDE" w:themeColor="accent2" w:themeTint="BF"/>
        </w:tcBorders>
      </w:tcPr>
    </w:tblStylePr>
    <w:tblStylePr w:type="firstCol">
      <w:rPr>
        <w:b/>
        <w:bCs/>
      </w:rPr>
    </w:tblStylePr>
    <w:tblStylePr w:type="lastCol">
      <w:rPr>
        <w:b/>
        <w:bCs/>
      </w:rPr>
    </w:tblStylePr>
    <w:tblStylePr w:type="band1Vert">
      <w:tblPr/>
      <w:tcPr>
        <w:shd w:val="clear" w:color="auto" w:fill="A2DFE9" w:themeFill="accent2" w:themeFillTint="7F"/>
      </w:tcPr>
    </w:tblStylePr>
    <w:tblStylePr w:type="band1Horz">
      <w:tblPr/>
      <w:tcPr>
        <w:shd w:val="clear" w:color="auto" w:fill="A2DFE9" w:themeFill="accent2" w:themeFillTint="7F"/>
      </w:tcPr>
    </w:tblStylePr>
  </w:style>
  <w:style w:type="table" w:styleId="MediumGrid1-Accent3">
    <w:name w:val="Medium Grid 1 Accent 3"/>
    <w:basedOn w:val="TableNormal"/>
    <w:uiPriority w:val="67"/>
    <w:semiHidden/>
    <w:unhideWhenUsed/>
    <w:rsid w:val="00844C99"/>
    <w:pPr>
      <w:spacing w:after="0" w:line="240" w:lineRule="auto"/>
    </w:pPr>
    <w:tblPr>
      <w:tblStyleRowBandSize w:val="1"/>
      <w:tblStyleColBandSize w:val="1"/>
      <w:tblBorders>
        <w:top w:val="single" w:sz="8" w:space="0" w:color="D362AF" w:themeColor="accent3" w:themeTint="BF"/>
        <w:left w:val="single" w:sz="8" w:space="0" w:color="D362AF" w:themeColor="accent3" w:themeTint="BF"/>
        <w:bottom w:val="single" w:sz="8" w:space="0" w:color="D362AF" w:themeColor="accent3" w:themeTint="BF"/>
        <w:right w:val="single" w:sz="8" w:space="0" w:color="D362AF" w:themeColor="accent3" w:themeTint="BF"/>
        <w:insideH w:val="single" w:sz="8" w:space="0" w:color="D362AF" w:themeColor="accent3" w:themeTint="BF"/>
        <w:insideV w:val="single" w:sz="8" w:space="0" w:color="D362AF" w:themeColor="accent3" w:themeTint="BF"/>
      </w:tblBorders>
    </w:tblPr>
    <w:tcPr>
      <w:shd w:val="clear" w:color="auto" w:fill="F0CBE4" w:themeFill="accent3" w:themeFillTint="3F"/>
    </w:tcPr>
    <w:tblStylePr w:type="firstRow">
      <w:rPr>
        <w:b/>
        <w:bCs/>
      </w:rPr>
    </w:tblStylePr>
    <w:tblStylePr w:type="lastRow">
      <w:rPr>
        <w:b/>
        <w:bCs/>
      </w:rPr>
      <w:tblPr/>
      <w:tcPr>
        <w:tcBorders>
          <w:top w:val="single" w:sz="18" w:space="0" w:color="D362AF" w:themeColor="accent3" w:themeTint="BF"/>
        </w:tcBorders>
      </w:tcPr>
    </w:tblStylePr>
    <w:tblStylePr w:type="firstCol">
      <w:rPr>
        <w:b/>
        <w:bCs/>
      </w:rPr>
    </w:tblStylePr>
    <w:tblStylePr w:type="lastCol">
      <w:rPr>
        <w:b/>
        <w:bCs/>
      </w:rPr>
    </w:tblStylePr>
    <w:tblStylePr w:type="band1Vert">
      <w:tblPr/>
      <w:tcPr>
        <w:shd w:val="clear" w:color="auto" w:fill="E297CA" w:themeFill="accent3" w:themeFillTint="7F"/>
      </w:tcPr>
    </w:tblStylePr>
    <w:tblStylePr w:type="band1Horz">
      <w:tblPr/>
      <w:tcPr>
        <w:shd w:val="clear" w:color="auto" w:fill="E297CA" w:themeFill="accent3" w:themeFillTint="7F"/>
      </w:tcPr>
    </w:tblStylePr>
  </w:style>
  <w:style w:type="table" w:styleId="MediumGrid1-Accent4">
    <w:name w:val="Medium Grid 1 Accent 4"/>
    <w:basedOn w:val="TableNormal"/>
    <w:uiPriority w:val="67"/>
    <w:semiHidden/>
    <w:unhideWhenUsed/>
    <w:rsid w:val="00844C99"/>
    <w:pPr>
      <w:spacing w:after="0" w:line="240" w:lineRule="auto"/>
    </w:pPr>
    <w:tblPr>
      <w:tblStyleRowBandSize w:val="1"/>
      <w:tblStyleColBandSize w:val="1"/>
      <w:tblBorders>
        <w:top w:val="single" w:sz="8" w:space="0" w:color="9B7BBB" w:themeColor="accent4" w:themeTint="BF"/>
        <w:left w:val="single" w:sz="8" w:space="0" w:color="9B7BBB" w:themeColor="accent4" w:themeTint="BF"/>
        <w:bottom w:val="single" w:sz="8" w:space="0" w:color="9B7BBB" w:themeColor="accent4" w:themeTint="BF"/>
        <w:right w:val="single" w:sz="8" w:space="0" w:color="9B7BBB" w:themeColor="accent4" w:themeTint="BF"/>
        <w:insideH w:val="single" w:sz="8" w:space="0" w:color="9B7BBB" w:themeColor="accent4" w:themeTint="BF"/>
        <w:insideV w:val="single" w:sz="8" w:space="0" w:color="9B7BBB" w:themeColor="accent4" w:themeTint="BF"/>
      </w:tblBorders>
    </w:tblPr>
    <w:tcPr>
      <w:shd w:val="clear" w:color="auto" w:fill="DDD3E8" w:themeFill="accent4" w:themeFillTint="3F"/>
    </w:tcPr>
    <w:tblStylePr w:type="firstRow">
      <w:rPr>
        <w:b/>
        <w:bCs/>
      </w:rPr>
    </w:tblStylePr>
    <w:tblStylePr w:type="lastRow">
      <w:rPr>
        <w:b/>
        <w:bCs/>
      </w:rPr>
      <w:tblPr/>
      <w:tcPr>
        <w:tcBorders>
          <w:top w:val="single" w:sz="18" w:space="0" w:color="9B7BBB" w:themeColor="accent4" w:themeTint="BF"/>
        </w:tcBorders>
      </w:tcPr>
    </w:tblStylePr>
    <w:tblStylePr w:type="firstCol">
      <w:rPr>
        <w:b/>
        <w:bCs/>
      </w:rPr>
    </w:tblStylePr>
    <w:tblStylePr w:type="lastCol">
      <w:rPr>
        <w:b/>
        <w:bCs/>
      </w:rPr>
    </w:tblStylePr>
    <w:tblStylePr w:type="band1Vert">
      <w:tblPr/>
      <w:tcPr>
        <w:shd w:val="clear" w:color="auto" w:fill="BCA7D2" w:themeFill="accent4" w:themeFillTint="7F"/>
      </w:tcPr>
    </w:tblStylePr>
    <w:tblStylePr w:type="band1Horz">
      <w:tblPr/>
      <w:tcPr>
        <w:shd w:val="clear" w:color="auto" w:fill="BCA7D2" w:themeFill="accent4" w:themeFillTint="7F"/>
      </w:tcPr>
    </w:tblStylePr>
  </w:style>
  <w:style w:type="table" w:styleId="MediumGrid1-Accent5">
    <w:name w:val="Medium Grid 1 Accent 5"/>
    <w:basedOn w:val="TableNormal"/>
    <w:uiPriority w:val="67"/>
    <w:semiHidden/>
    <w:unhideWhenUsed/>
    <w:rsid w:val="00844C99"/>
    <w:pPr>
      <w:spacing w:after="0" w:line="240" w:lineRule="auto"/>
    </w:pPr>
    <w:tblPr>
      <w:tblStyleRowBandSize w:val="1"/>
      <w:tblStyleColBandSize w:val="1"/>
      <w:tblBorders>
        <w:top w:val="single" w:sz="8" w:space="0" w:color="1EE96C" w:themeColor="accent5" w:themeTint="BF"/>
        <w:left w:val="single" w:sz="8" w:space="0" w:color="1EE96C" w:themeColor="accent5" w:themeTint="BF"/>
        <w:bottom w:val="single" w:sz="8" w:space="0" w:color="1EE96C" w:themeColor="accent5" w:themeTint="BF"/>
        <w:right w:val="single" w:sz="8" w:space="0" w:color="1EE96C" w:themeColor="accent5" w:themeTint="BF"/>
        <w:insideH w:val="single" w:sz="8" w:space="0" w:color="1EE96C" w:themeColor="accent5" w:themeTint="BF"/>
        <w:insideV w:val="single" w:sz="8" w:space="0" w:color="1EE96C" w:themeColor="accent5" w:themeTint="BF"/>
      </w:tblBorders>
    </w:tblPr>
    <w:tcPr>
      <w:shd w:val="clear" w:color="auto" w:fill="B4F7CE" w:themeFill="accent5" w:themeFillTint="3F"/>
    </w:tcPr>
    <w:tblStylePr w:type="firstRow">
      <w:rPr>
        <w:b/>
        <w:bCs/>
      </w:rPr>
    </w:tblStylePr>
    <w:tblStylePr w:type="lastRow">
      <w:rPr>
        <w:b/>
        <w:bCs/>
      </w:rPr>
      <w:tblPr/>
      <w:tcPr>
        <w:tcBorders>
          <w:top w:val="single" w:sz="18" w:space="0" w:color="1EE96C" w:themeColor="accent5" w:themeTint="BF"/>
        </w:tcBorders>
      </w:tcPr>
    </w:tblStylePr>
    <w:tblStylePr w:type="firstCol">
      <w:rPr>
        <w:b/>
        <w:bCs/>
      </w:rPr>
    </w:tblStylePr>
    <w:tblStylePr w:type="lastCol">
      <w:rPr>
        <w:b/>
        <w:bCs/>
      </w:rPr>
    </w:tblStylePr>
    <w:tblStylePr w:type="band1Vert">
      <w:tblPr/>
      <w:tcPr>
        <w:shd w:val="clear" w:color="auto" w:fill="69F09D" w:themeFill="accent5" w:themeFillTint="7F"/>
      </w:tcPr>
    </w:tblStylePr>
    <w:tblStylePr w:type="band1Horz">
      <w:tblPr/>
      <w:tcPr>
        <w:shd w:val="clear" w:color="auto" w:fill="69F09D" w:themeFill="accent5" w:themeFillTint="7F"/>
      </w:tcPr>
    </w:tblStylePr>
  </w:style>
  <w:style w:type="table" w:styleId="MediumGrid1-Accent6">
    <w:name w:val="Medium Grid 1 Accent 6"/>
    <w:basedOn w:val="TableNormal"/>
    <w:uiPriority w:val="67"/>
    <w:semiHidden/>
    <w:unhideWhenUsed/>
    <w:rsid w:val="00844C99"/>
    <w:pPr>
      <w:spacing w:after="0" w:line="240" w:lineRule="auto"/>
    </w:pPr>
    <w:tblPr>
      <w:tblStyleRowBandSize w:val="1"/>
      <w:tblStyleColBandSize w:val="1"/>
      <w:tblBorders>
        <w:top w:val="single" w:sz="8" w:space="0" w:color="FFFF79" w:themeColor="accent6" w:themeTint="BF"/>
        <w:left w:val="single" w:sz="8" w:space="0" w:color="FFFF79" w:themeColor="accent6" w:themeTint="BF"/>
        <w:bottom w:val="single" w:sz="8" w:space="0" w:color="FFFF79" w:themeColor="accent6" w:themeTint="BF"/>
        <w:right w:val="single" w:sz="8" w:space="0" w:color="FFFF79" w:themeColor="accent6" w:themeTint="BF"/>
        <w:insideH w:val="single" w:sz="8" w:space="0" w:color="FFFF79" w:themeColor="accent6" w:themeTint="BF"/>
        <w:insideV w:val="single" w:sz="8" w:space="0" w:color="FFFF79" w:themeColor="accent6" w:themeTint="BF"/>
      </w:tblBorders>
    </w:tblPr>
    <w:tcPr>
      <w:shd w:val="clear" w:color="auto" w:fill="FFFFD3" w:themeFill="accent6" w:themeFillTint="3F"/>
    </w:tcPr>
    <w:tblStylePr w:type="firstRow">
      <w:rPr>
        <w:b/>
        <w:bCs/>
      </w:rPr>
    </w:tblStylePr>
    <w:tblStylePr w:type="lastRow">
      <w:rPr>
        <w:b/>
        <w:bCs/>
      </w:rPr>
      <w:tblPr/>
      <w:tcPr>
        <w:tcBorders>
          <w:top w:val="single" w:sz="18" w:space="0" w:color="FFFF79" w:themeColor="accent6" w:themeTint="BF"/>
        </w:tcBorders>
      </w:tcPr>
    </w:tblStylePr>
    <w:tblStylePr w:type="firstCol">
      <w:rPr>
        <w:b/>
        <w:bCs/>
      </w:rPr>
    </w:tblStylePr>
    <w:tblStylePr w:type="lastCol">
      <w:rPr>
        <w:b/>
        <w:bCs/>
      </w:rPr>
    </w:tblStylePr>
    <w:tblStylePr w:type="band1Vert">
      <w:tblPr/>
      <w:tcPr>
        <w:shd w:val="clear" w:color="auto" w:fill="FFFFA6" w:themeFill="accent6" w:themeFillTint="7F"/>
      </w:tcPr>
    </w:tblStylePr>
    <w:tblStylePr w:type="band1Horz">
      <w:tblPr/>
      <w:tcPr>
        <w:shd w:val="clear" w:color="auto" w:fill="FFFFA6" w:themeFill="accent6" w:themeFillTint="7F"/>
      </w:tcPr>
    </w:tblStylePr>
  </w:style>
  <w:style w:type="table" w:styleId="MediumGrid2">
    <w:name w:val="Medium Grid 2"/>
    <w:basedOn w:val="TableNormal"/>
    <w:uiPriority w:val="68"/>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DA6" w:themeColor="accent1"/>
        <w:left w:val="single" w:sz="8" w:space="0" w:color="007DA6" w:themeColor="accent1"/>
        <w:bottom w:val="single" w:sz="8" w:space="0" w:color="007DA6" w:themeColor="accent1"/>
        <w:right w:val="single" w:sz="8" w:space="0" w:color="007DA6" w:themeColor="accent1"/>
        <w:insideH w:val="single" w:sz="8" w:space="0" w:color="007DA6" w:themeColor="accent1"/>
        <w:insideV w:val="single" w:sz="8" w:space="0" w:color="007DA6" w:themeColor="accent1"/>
      </w:tblBorders>
    </w:tblPr>
    <w:tcPr>
      <w:shd w:val="clear" w:color="auto" w:fill="AAEAFF" w:themeFill="accent1" w:themeFillTint="3F"/>
    </w:tcPr>
    <w:tblStylePr w:type="firstRow">
      <w:rPr>
        <w:b/>
        <w:bCs/>
        <w:color w:val="000000" w:themeColor="text1"/>
      </w:rPr>
      <w:tblPr/>
      <w:tcPr>
        <w:shd w:val="clear" w:color="auto" w:fill="DD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DFF" w:themeFill="accent1" w:themeFillTint="33"/>
      </w:tcPr>
    </w:tblStylePr>
    <w:tblStylePr w:type="band1Vert">
      <w:tblPr/>
      <w:tcPr>
        <w:shd w:val="clear" w:color="auto" w:fill="53D4FF" w:themeFill="accent1" w:themeFillTint="7F"/>
      </w:tcPr>
    </w:tblStylePr>
    <w:tblStylePr w:type="band1Horz">
      <w:tblPr/>
      <w:tcPr>
        <w:tcBorders>
          <w:insideH w:val="single" w:sz="6" w:space="0" w:color="007DA6" w:themeColor="accent1"/>
          <w:insideV w:val="single" w:sz="6" w:space="0" w:color="007DA6" w:themeColor="accent1"/>
        </w:tcBorders>
        <w:shd w:val="clear" w:color="auto" w:fill="53D4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5BFD3" w:themeColor="accent2"/>
        <w:left w:val="single" w:sz="8" w:space="0" w:color="45BFD3" w:themeColor="accent2"/>
        <w:bottom w:val="single" w:sz="8" w:space="0" w:color="45BFD3" w:themeColor="accent2"/>
        <w:right w:val="single" w:sz="8" w:space="0" w:color="45BFD3" w:themeColor="accent2"/>
        <w:insideH w:val="single" w:sz="8" w:space="0" w:color="45BFD3" w:themeColor="accent2"/>
        <w:insideV w:val="single" w:sz="8" w:space="0" w:color="45BFD3" w:themeColor="accent2"/>
      </w:tblBorders>
    </w:tblPr>
    <w:tcPr>
      <w:shd w:val="clear" w:color="auto" w:fill="D0EFF4" w:themeFill="accent2" w:themeFillTint="3F"/>
    </w:tcPr>
    <w:tblStylePr w:type="firstRow">
      <w:rPr>
        <w:b/>
        <w:bCs/>
        <w:color w:val="000000" w:themeColor="text1"/>
      </w:rPr>
      <w:tblPr/>
      <w:tcPr>
        <w:shd w:val="clear" w:color="auto" w:fill="ECF8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F6" w:themeFill="accent2" w:themeFillTint="33"/>
      </w:tcPr>
    </w:tblStylePr>
    <w:tblStylePr w:type="band1Vert">
      <w:tblPr/>
      <w:tcPr>
        <w:shd w:val="clear" w:color="auto" w:fill="A2DFE9" w:themeFill="accent2" w:themeFillTint="7F"/>
      </w:tcPr>
    </w:tblStylePr>
    <w:tblStylePr w:type="band1Horz">
      <w:tblPr/>
      <w:tcPr>
        <w:tcBorders>
          <w:insideH w:val="single" w:sz="6" w:space="0" w:color="45BFD3" w:themeColor="accent2"/>
          <w:insideV w:val="single" w:sz="6" w:space="0" w:color="45BFD3" w:themeColor="accent2"/>
        </w:tcBorders>
        <w:shd w:val="clear" w:color="auto" w:fill="A2DFE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E3593" w:themeColor="accent3"/>
        <w:left w:val="single" w:sz="8" w:space="0" w:color="BE3593" w:themeColor="accent3"/>
        <w:bottom w:val="single" w:sz="8" w:space="0" w:color="BE3593" w:themeColor="accent3"/>
        <w:right w:val="single" w:sz="8" w:space="0" w:color="BE3593" w:themeColor="accent3"/>
        <w:insideH w:val="single" w:sz="8" w:space="0" w:color="BE3593" w:themeColor="accent3"/>
        <w:insideV w:val="single" w:sz="8" w:space="0" w:color="BE3593" w:themeColor="accent3"/>
      </w:tblBorders>
    </w:tblPr>
    <w:tcPr>
      <w:shd w:val="clear" w:color="auto" w:fill="F0CBE4" w:themeFill="accent3" w:themeFillTint="3F"/>
    </w:tcPr>
    <w:tblStylePr w:type="firstRow">
      <w:rPr>
        <w:b/>
        <w:bCs/>
        <w:color w:val="000000" w:themeColor="text1"/>
      </w:rPr>
      <w:tblPr/>
      <w:tcPr>
        <w:shd w:val="clear" w:color="auto" w:fill="F9EA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5E9" w:themeFill="accent3" w:themeFillTint="33"/>
      </w:tcPr>
    </w:tblStylePr>
    <w:tblStylePr w:type="band1Vert">
      <w:tblPr/>
      <w:tcPr>
        <w:shd w:val="clear" w:color="auto" w:fill="E297CA" w:themeFill="accent3" w:themeFillTint="7F"/>
      </w:tcPr>
    </w:tblStylePr>
    <w:tblStylePr w:type="band1Horz">
      <w:tblPr/>
      <w:tcPr>
        <w:tcBorders>
          <w:insideH w:val="single" w:sz="6" w:space="0" w:color="BE3593" w:themeColor="accent3"/>
          <w:insideV w:val="single" w:sz="6" w:space="0" w:color="BE3593" w:themeColor="accent3"/>
        </w:tcBorders>
        <w:shd w:val="clear" w:color="auto" w:fill="E297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53A2" w:themeColor="accent4"/>
        <w:left w:val="single" w:sz="8" w:space="0" w:color="7A53A2" w:themeColor="accent4"/>
        <w:bottom w:val="single" w:sz="8" w:space="0" w:color="7A53A2" w:themeColor="accent4"/>
        <w:right w:val="single" w:sz="8" w:space="0" w:color="7A53A2" w:themeColor="accent4"/>
        <w:insideH w:val="single" w:sz="8" w:space="0" w:color="7A53A2" w:themeColor="accent4"/>
        <w:insideV w:val="single" w:sz="8" w:space="0" w:color="7A53A2" w:themeColor="accent4"/>
      </w:tblBorders>
    </w:tblPr>
    <w:tcPr>
      <w:shd w:val="clear" w:color="auto" w:fill="DDD3E8" w:themeFill="accent4" w:themeFillTint="3F"/>
    </w:tcPr>
    <w:tblStylePr w:type="firstRow">
      <w:rPr>
        <w:b/>
        <w:bCs/>
        <w:color w:val="000000" w:themeColor="text1"/>
      </w:rPr>
      <w:tblPr/>
      <w:tcPr>
        <w:shd w:val="clear" w:color="auto" w:fill="F1ED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DBED" w:themeFill="accent4" w:themeFillTint="33"/>
      </w:tcPr>
    </w:tblStylePr>
    <w:tblStylePr w:type="band1Vert">
      <w:tblPr/>
      <w:tcPr>
        <w:shd w:val="clear" w:color="auto" w:fill="BCA7D2" w:themeFill="accent4" w:themeFillTint="7F"/>
      </w:tcPr>
    </w:tblStylePr>
    <w:tblStylePr w:type="band1Horz">
      <w:tblPr/>
      <w:tcPr>
        <w:tcBorders>
          <w:insideH w:val="single" w:sz="6" w:space="0" w:color="7A53A2" w:themeColor="accent4"/>
          <w:insideV w:val="single" w:sz="6" w:space="0" w:color="7A53A2" w:themeColor="accent4"/>
        </w:tcBorders>
        <w:shd w:val="clear" w:color="auto" w:fill="BCA7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54A" w:themeColor="accent5"/>
        <w:left w:val="single" w:sz="8" w:space="0" w:color="10A54A" w:themeColor="accent5"/>
        <w:bottom w:val="single" w:sz="8" w:space="0" w:color="10A54A" w:themeColor="accent5"/>
        <w:right w:val="single" w:sz="8" w:space="0" w:color="10A54A" w:themeColor="accent5"/>
        <w:insideH w:val="single" w:sz="8" w:space="0" w:color="10A54A" w:themeColor="accent5"/>
        <w:insideV w:val="single" w:sz="8" w:space="0" w:color="10A54A" w:themeColor="accent5"/>
      </w:tblBorders>
    </w:tblPr>
    <w:tcPr>
      <w:shd w:val="clear" w:color="auto" w:fill="B4F7CE" w:themeFill="accent5" w:themeFillTint="3F"/>
    </w:tcPr>
    <w:tblStylePr w:type="firstRow">
      <w:rPr>
        <w:b/>
        <w:bCs/>
        <w:color w:val="000000" w:themeColor="text1"/>
      </w:rPr>
      <w:tblPr/>
      <w:tcPr>
        <w:shd w:val="clear" w:color="auto" w:fill="E1FC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D7" w:themeFill="accent5" w:themeFillTint="33"/>
      </w:tcPr>
    </w:tblStylePr>
    <w:tblStylePr w:type="band1Vert">
      <w:tblPr/>
      <w:tcPr>
        <w:shd w:val="clear" w:color="auto" w:fill="69F09D" w:themeFill="accent5" w:themeFillTint="7F"/>
      </w:tcPr>
    </w:tblStylePr>
    <w:tblStylePr w:type="band1Horz">
      <w:tblPr/>
      <w:tcPr>
        <w:tcBorders>
          <w:insideH w:val="single" w:sz="6" w:space="0" w:color="10A54A" w:themeColor="accent5"/>
          <w:insideV w:val="single" w:sz="6" w:space="0" w:color="10A54A" w:themeColor="accent5"/>
        </w:tcBorders>
        <w:shd w:val="clear" w:color="auto" w:fill="69F09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44C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FF4D" w:themeColor="accent6"/>
        <w:left w:val="single" w:sz="8" w:space="0" w:color="FFFF4D" w:themeColor="accent6"/>
        <w:bottom w:val="single" w:sz="8" w:space="0" w:color="FFFF4D" w:themeColor="accent6"/>
        <w:right w:val="single" w:sz="8" w:space="0" w:color="FFFF4D" w:themeColor="accent6"/>
        <w:insideH w:val="single" w:sz="8" w:space="0" w:color="FFFF4D" w:themeColor="accent6"/>
        <w:insideV w:val="single" w:sz="8" w:space="0" w:color="FFFF4D" w:themeColor="accent6"/>
      </w:tblBorders>
    </w:tblPr>
    <w:tcPr>
      <w:shd w:val="clear" w:color="auto" w:fill="FFFFD3" w:themeFill="accent6" w:themeFillTint="3F"/>
    </w:tcPr>
    <w:tblStylePr w:type="firstRow">
      <w:rPr>
        <w:b/>
        <w:bCs/>
        <w:color w:val="000000" w:themeColor="text1"/>
      </w:rPr>
      <w:tblPr/>
      <w:tcPr>
        <w:shd w:val="clear" w:color="auto" w:fill="FFFF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DB" w:themeFill="accent6" w:themeFillTint="33"/>
      </w:tcPr>
    </w:tblStylePr>
    <w:tblStylePr w:type="band1Vert">
      <w:tblPr/>
      <w:tcPr>
        <w:shd w:val="clear" w:color="auto" w:fill="FFFFA6" w:themeFill="accent6" w:themeFillTint="7F"/>
      </w:tcPr>
    </w:tblStylePr>
    <w:tblStylePr w:type="band1Horz">
      <w:tblPr/>
      <w:tcPr>
        <w:tcBorders>
          <w:insideH w:val="single" w:sz="6" w:space="0" w:color="FFFF4D" w:themeColor="accent6"/>
          <w:insideV w:val="single" w:sz="6" w:space="0" w:color="FFFF4D" w:themeColor="accent6"/>
        </w:tcBorders>
        <w:shd w:val="clear" w:color="auto" w:fill="FFFF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44C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44C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A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D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D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D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D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3D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3D4FF" w:themeFill="accent1" w:themeFillTint="7F"/>
      </w:tcPr>
    </w:tblStylePr>
  </w:style>
  <w:style w:type="table" w:styleId="MediumGrid3-Accent2">
    <w:name w:val="Medium Grid 3 Accent 2"/>
    <w:basedOn w:val="TableNormal"/>
    <w:uiPriority w:val="69"/>
    <w:semiHidden/>
    <w:unhideWhenUsed/>
    <w:rsid w:val="00844C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5BFD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5BFD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5BFD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5BFD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DF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DFE9" w:themeFill="accent2" w:themeFillTint="7F"/>
      </w:tcPr>
    </w:tblStylePr>
  </w:style>
  <w:style w:type="table" w:styleId="MediumGrid3-Accent3">
    <w:name w:val="Medium Grid 3 Accent 3"/>
    <w:basedOn w:val="TableNormal"/>
    <w:uiPriority w:val="69"/>
    <w:semiHidden/>
    <w:unhideWhenUsed/>
    <w:rsid w:val="00844C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CBE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359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359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359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359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97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97CA" w:themeFill="accent3" w:themeFillTint="7F"/>
      </w:tcPr>
    </w:tblStylePr>
  </w:style>
  <w:style w:type="table" w:styleId="MediumGrid3-Accent4">
    <w:name w:val="Medium Grid 3 Accent 4"/>
    <w:basedOn w:val="TableNormal"/>
    <w:uiPriority w:val="69"/>
    <w:semiHidden/>
    <w:unhideWhenUsed/>
    <w:rsid w:val="00844C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3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53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53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53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53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A7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A7D2" w:themeFill="accent4" w:themeFillTint="7F"/>
      </w:tcPr>
    </w:tblStylePr>
  </w:style>
  <w:style w:type="table" w:styleId="MediumGrid3-Accent5">
    <w:name w:val="Medium Grid 3 Accent 5"/>
    <w:basedOn w:val="TableNormal"/>
    <w:uiPriority w:val="69"/>
    <w:semiHidden/>
    <w:unhideWhenUsed/>
    <w:rsid w:val="00844C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C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54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54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54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54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9F09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9F09D" w:themeFill="accent5" w:themeFillTint="7F"/>
      </w:tcPr>
    </w:tblStylePr>
  </w:style>
  <w:style w:type="table" w:styleId="MediumGrid3-Accent6">
    <w:name w:val="Medium Grid 3 Accent 6"/>
    <w:basedOn w:val="TableNormal"/>
    <w:uiPriority w:val="69"/>
    <w:semiHidden/>
    <w:unhideWhenUsed/>
    <w:rsid w:val="00844C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A6" w:themeFill="accent6" w:themeFillTint="7F"/>
      </w:tcPr>
    </w:tblStylePr>
  </w:style>
  <w:style w:type="table" w:styleId="DarkList">
    <w:name w:val="Dark List"/>
    <w:basedOn w:val="TableNormal"/>
    <w:uiPriority w:val="70"/>
    <w:semiHidden/>
    <w:unhideWhenUsed/>
    <w:rsid w:val="00844C9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44C99"/>
    <w:pPr>
      <w:spacing w:after="0" w:line="240" w:lineRule="auto"/>
    </w:pPr>
    <w:rPr>
      <w:color w:val="FFFFFF" w:themeColor="background1"/>
    </w:rPr>
    <w:tblPr>
      <w:tblStyleRowBandSize w:val="1"/>
      <w:tblStyleColBandSize w:val="1"/>
    </w:tblPr>
    <w:tcPr>
      <w:shd w:val="clear" w:color="auto" w:fill="007D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E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D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D7C" w:themeFill="accent1" w:themeFillShade="BF"/>
      </w:tcPr>
    </w:tblStylePr>
    <w:tblStylePr w:type="band1Vert">
      <w:tblPr/>
      <w:tcPr>
        <w:tcBorders>
          <w:top w:val="nil"/>
          <w:left w:val="nil"/>
          <w:bottom w:val="nil"/>
          <w:right w:val="nil"/>
          <w:insideH w:val="nil"/>
          <w:insideV w:val="nil"/>
        </w:tcBorders>
        <w:shd w:val="clear" w:color="auto" w:fill="005D7C" w:themeFill="accent1" w:themeFillShade="BF"/>
      </w:tcPr>
    </w:tblStylePr>
    <w:tblStylePr w:type="band1Horz">
      <w:tblPr/>
      <w:tcPr>
        <w:tcBorders>
          <w:top w:val="nil"/>
          <w:left w:val="nil"/>
          <w:bottom w:val="nil"/>
          <w:right w:val="nil"/>
          <w:insideH w:val="nil"/>
          <w:insideV w:val="nil"/>
        </w:tcBorders>
        <w:shd w:val="clear" w:color="auto" w:fill="005D7C" w:themeFill="accent1" w:themeFillShade="BF"/>
      </w:tcPr>
    </w:tblStylePr>
  </w:style>
  <w:style w:type="table" w:styleId="DarkList-Accent2">
    <w:name w:val="Dark List Accent 2"/>
    <w:basedOn w:val="TableNormal"/>
    <w:uiPriority w:val="70"/>
    <w:semiHidden/>
    <w:unhideWhenUsed/>
    <w:rsid w:val="00844C99"/>
    <w:pPr>
      <w:spacing w:after="0" w:line="240" w:lineRule="auto"/>
    </w:pPr>
    <w:rPr>
      <w:color w:val="FFFFFF" w:themeColor="background1"/>
    </w:rPr>
    <w:tblPr>
      <w:tblStyleRowBandSize w:val="1"/>
      <w:tblStyleColBandSize w:val="1"/>
    </w:tblPr>
    <w:tcPr>
      <w:shd w:val="clear" w:color="auto" w:fill="45BFD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647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897A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897A9" w:themeFill="accent2" w:themeFillShade="BF"/>
      </w:tcPr>
    </w:tblStylePr>
    <w:tblStylePr w:type="band1Vert">
      <w:tblPr/>
      <w:tcPr>
        <w:tcBorders>
          <w:top w:val="nil"/>
          <w:left w:val="nil"/>
          <w:bottom w:val="nil"/>
          <w:right w:val="nil"/>
          <w:insideH w:val="nil"/>
          <w:insideV w:val="nil"/>
        </w:tcBorders>
        <w:shd w:val="clear" w:color="auto" w:fill="2897A9" w:themeFill="accent2" w:themeFillShade="BF"/>
      </w:tcPr>
    </w:tblStylePr>
    <w:tblStylePr w:type="band1Horz">
      <w:tblPr/>
      <w:tcPr>
        <w:tcBorders>
          <w:top w:val="nil"/>
          <w:left w:val="nil"/>
          <w:bottom w:val="nil"/>
          <w:right w:val="nil"/>
          <w:insideH w:val="nil"/>
          <w:insideV w:val="nil"/>
        </w:tcBorders>
        <w:shd w:val="clear" w:color="auto" w:fill="2897A9" w:themeFill="accent2" w:themeFillShade="BF"/>
      </w:tcPr>
    </w:tblStylePr>
  </w:style>
  <w:style w:type="table" w:styleId="DarkList-Accent3">
    <w:name w:val="Dark List Accent 3"/>
    <w:basedOn w:val="TableNormal"/>
    <w:uiPriority w:val="70"/>
    <w:semiHidden/>
    <w:unhideWhenUsed/>
    <w:rsid w:val="00844C99"/>
    <w:pPr>
      <w:spacing w:after="0" w:line="240" w:lineRule="auto"/>
    </w:pPr>
    <w:rPr>
      <w:color w:val="FFFFFF" w:themeColor="background1"/>
    </w:rPr>
    <w:tblPr>
      <w:tblStyleRowBandSize w:val="1"/>
      <w:tblStyleColBandSize w:val="1"/>
    </w:tblPr>
    <w:tcPr>
      <w:shd w:val="clear" w:color="auto" w:fill="BE359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A4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E276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E276D" w:themeFill="accent3" w:themeFillShade="BF"/>
      </w:tcPr>
    </w:tblStylePr>
    <w:tblStylePr w:type="band1Vert">
      <w:tblPr/>
      <w:tcPr>
        <w:tcBorders>
          <w:top w:val="nil"/>
          <w:left w:val="nil"/>
          <w:bottom w:val="nil"/>
          <w:right w:val="nil"/>
          <w:insideH w:val="nil"/>
          <w:insideV w:val="nil"/>
        </w:tcBorders>
        <w:shd w:val="clear" w:color="auto" w:fill="8E276D" w:themeFill="accent3" w:themeFillShade="BF"/>
      </w:tcPr>
    </w:tblStylePr>
    <w:tblStylePr w:type="band1Horz">
      <w:tblPr/>
      <w:tcPr>
        <w:tcBorders>
          <w:top w:val="nil"/>
          <w:left w:val="nil"/>
          <w:bottom w:val="nil"/>
          <w:right w:val="nil"/>
          <w:insideH w:val="nil"/>
          <w:insideV w:val="nil"/>
        </w:tcBorders>
        <w:shd w:val="clear" w:color="auto" w:fill="8E276D" w:themeFill="accent3" w:themeFillShade="BF"/>
      </w:tcPr>
    </w:tblStylePr>
  </w:style>
  <w:style w:type="table" w:styleId="DarkList-Accent4">
    <w:name w:val="Dark List Accent 4"/>
    <w:basedOn w:val="TableNormal"/>
    <w:uiPriority w:val="70"/>
    <w:semiHidden/>
    <w:unhideWhenUsed/>
    <w:rsid w:val="00844C99"/>
    <w:pPr>
      <w:spacing w:after="0" w:line="240" w:lineRule="auto"/>
    </w:pPr>
    <w:rPr>
      <w:color w:val="FFFFFF" w:themeColor="background1"/>
    </w:rPr>
    <w:tblPr>
      <w:tblStyleRowBandSize w:val="1"/>
      <w:tblStyleColBandSize w:val="1"/>
    </w:tblPr>
    <w:tcPr>
      <w:shd w:val="clear" w:color="auto" w:fill="7A53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295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3E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3E79" w:themeFill="accent4" w:themeFillShade="BF"/>
      </w:tcPr>
    </w:tblStylePr>
    <w:tblStylePr w:type="band1Vert">
      <w:tblPr/>
      <w:tcPr>
        <w:tcBorders>
          <w:top w:val="nil"/>
          <w:left w:val="nil"/>
          <w:bottom w:val="nil"/>
          <w:right w:val="nil"/>
          <w:insideH w:val="nil"/>
          <w:insideV w:val="nil"/>
        </w:tcBorders>
        <w:shd w:val="clear" w:color="auto" w:fill="5B3E79" w:themeFill="accent4" w:themeFillShade="BF"/>
      </w:tcPr>
    </w:tblStylePr>
    <w:tblStylePr w:type="band1Horz">
      <w:tblPr/>
      <w:tcPr>
        <w:tcBorders>
          <w:top w:val="nil"/>
          <w:left w:val="nil"/>
          <w:bottom w:val="nil"/>
          <w:right w:val="nil"/>
          <w:insideH w:val="nil"/>
          <w:insideV w:val="nil"/>
        </w:tcBorders>
        <w:shd w:val="clear" w:color="auto" w:fill="5B3E79" w:themeFill="accent4" w:themeFillShade="BF"/>
      </w:tcPr>
    </w:tblStylePr>
  </w:style>
  <w:style w:type="table" w:styleId="DarkList-Accent5">
    <w:name w:val="Dark List Accent 5"/>
    <w:basedOn w:val="TableNormal"/>
    <w:uiPriority w:val="70"/>
    <w:semiHidden/>
    <w:unhideWhenUsed/>
    <w:rsid w:val="00844C99"/>
    <w:pPr>
      <w:spacing w:after="0" w:line="240" w:lineRule="auto"/>
    </w:pPr>
    <w:rPr>
      <w:color w:val="FFFFFF" w:themeColor="background1"/>
    </w:rPr>
    <w:tblPr>
      <w:tblStyleRowBandSize w:val="1"/>
      <w:tblStyleColBandSize w:val="1"/>
    </w:tblPr>
    <w:tcPr>
      <w:shd w:val="clear" w:color="auto" w:fill="10A54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22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C7B3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C7B37" w:themeFill="accent5" w:themeFillShade="BF"/>
      </w:tcPr>
    </w:tblStylePr>
    <w:tblStylePr w:type="band1Vert">
      <w:tblPr/>
      <w:tcPr>
        <w:tcBorders>
          <w:top w:val="nil"/>
          <w:left w:val="nil"/>
          <w:bottom w:val="nil"/>
          <w:right w:val="nil"/>
          <w:insideH w:val="nil"/>
          <w:insideV w:val="nil"/>
        </w:tcBorders>
        <w:shd w:val="clear" w:color="auto" w:fill="0C7B37" w:themeFill="accent5" w:themeFillShade="BF"/>
      </w:tcPr>
    </w:tblStylePr>
    <w:tblStylePr w:type="band1Horz">
      <w:tblPr/>
      <w:tcPr>
        <w:tcBorders>
          <w:top w:val="nil"/>
          <w:left w:val="nil"/>
          <w:bottom w:val="nil"/>
          <w:right w:val="nil"/>
          <w:insideH w:val="nil"/>
          <w:insideV w:val="nil"/>
        </w:tcBorders>
        <w:shd w:val="clear" w:color="auto" w:fill="0C7B37" w:themeFill="accent5" w:themeFillShade="BF"/>
      </w:tcPr>
    </w:tblStylePr>
  </w:style>
  <w:style w:type="table" w:styleId="DarkList-Accent6">
    <w:name w:val="Dark List Accent 6"/>
    <w:basedOn w:val="TableNormal"/>
    <w:uiPriority w:val="70"/>
    <w:semiHidden/>
    <w:unhideWhenUsed/>
    <w:rsid w:val="00844C99"/>
    <w:pPr>
      <w:spacing w:after="0" w:line="240" w:lineRule="auto"/>
    </w:pPr>
    <w:rPr>
      <w:color w:val="FFFFFF" w:themeColor="background1"/>
    </w:rPr>
    <w:tblPr>
      <w:tblStyleRowBandSize w:val="1"/>
      <w:tblStyleColBandSize w:val="1"/>
    </w:tblPr>
    <w:tcPr>
      <w:shd w:val="clear" w:color="auto" w:fill="FFFF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5A5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8F8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8F800" w:themeFill="accent6" w:themeFillShade="BF"/>
      </w:tcPr>
    </w:tblStylePr>
    <w:tblStylePr w:type="band1Vert">
      <w:tblPr/>
      <w:tcPr>
        <w:tcBorders>
          <w:top w:val="nil"/>
          <w:left w:val="nil"/>
          <w:bottom w:val="nil"/>
          <w:right w:val="nil"/>
          <w:insideH w:val="nil"/>
          <w:insideV w:val="nil"/>
        </w:tcBorders>
        <w:shd w:val="clear" w:color="auto" w:fill="F8F800" w:themeFill="accent6" w:themeFillShade="BF"/>
      </w:tcPr>
    </w:tblStylePr>
    <w:tblStylePr w:type="band1Horz">
      <w:tblPr/>
      <w:tcPr>
        <w:tcBorders>
          <w:top w:val="nil"/>
          <w:left w:val="nil"/>
          <w:bottom w:val="nil"/>
          <w:right w:val="nil"/>
          <w:insideH w:val="nil"/>
          <w:insideV w:val="nil"/>
        </w:tcBorders>
        <w:shd w:val="clear" w:color="auto" w:fill="F8F800" w:themeFill="accent6" w:themeFillShade="BF"/>
      </w:tcPr>
    </w:tblStylePr>
  </w:style>
  <w:style w:type="table" w:styleId="ColorfulShading">
    <w:name w:val="Colorful Shading"/>
    <w:basedOn w:val="TableNormal"/>
    <w:uiPriority w:val="71"/>
    <w:semiHidden/>
    <w:unhideWhenUsed/>
    <w:rsid w:val="00844C99"/>
    <w:pPr>
      <w:spacing w:after="0" w:line="240" w:lineRule="auto"/>
    </w:pPr>
    <w:rPr>
      <w:color w:val="000000" w:themeColor="text1"/>
    </w:rPr>
    <w:tblPr>
      <w:tblStyleRowBandSize w:val="1"/>
      <w:tblStyleColBandSize w:val="1"/>
      <w:tblBorders>
        <w:top w:val="single" w:sz="24" w:space="0" w:color="45BFD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5BFD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44C99"/>
    <w:pPr>
      <w:spacing w:after="0" w:line="240" w:lineRule="auto"/>
    </w:pPr>
    <w:rPr>
      <w:color w:val="000000" w:themeColor="text1"/>
    </w:rPr>
    <w:tblPr>
      <w:tblStyleRowBandSize w:val="1"/>
      <w:tblStyleColBandSize w:val="1"/>
      <w:tblBorders>
        <w:top w:val="single" w:sz="24" w:space="0" w:color="45BFD3" w:themeColor="accent2"/>
        <w:left w:val="single" w:sz="4" w:space="0" w:color="007DA6" w:themeColor="accent1"/>
        <w:bottom w:val="single" w:sz="4" w:space="0" w:color="007DA6" w:themeColor="accent1"/>
        <w:right w:val="single" w:sz="4" w:space="0" w:color="007DA6" w:themeColor="accent1"/>
        <w:insideH w:val="single" w:sz="4" w:space="0" w:color="FFFFFF" w:themeColor="background1"/>
        <w:insideV w:val="single" w:sz="4" w:space="0" w:color="FFFFFF" w:themeColor="background1"/>
      </w:tblBorders>
    </w:tblPr>
    <w:tcPr>
      <w:shd w:val="clear" w:color="auto" w:fill="DDF6FF" w:themeFill="accent1" w:themeFillTint="19"/>
    </w:tcPr>
    <w:tblStylePr w:type="firstRow">
      <w:rPr>
        <w:b/>
        <w:bCs/>
      </w:rPr>
      <w:tblPr/>
      <w:tcPr>
        <w:tcBorders>
          <w:top w:val="nil"/>
          <w:left w:val="nil"/>
          <w:bottom w:val="single" w:sz="24" w:space="0" w:color="45BFD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A63" w:themeFill="accent1" w:themeFillShade="99"/>
      </w:tcPr>
    </w:tblStylePr>
    <w:tblStylePr w:type="firstCol">
      <w:rPr>
        <w:color w:val="FFFFFF" w:themeColor="background1"/>
      </w:rPr>
      <w:tblPr/>
      <w:tcPr>
        <w:tcBorders>
          <w:top w:val="nil"/>
          <w:left w:val="nil"/>
          <w:bottom w:val="nil"/>
          <w:right w:val="nil"/>
          <w:insideH w:val="single" w:sz="4" w:space="0" w:color="004A63" w:themeColor="accent1" w:themeShade="99"/>
          <w:insideV w:val="nil"/>
        </w:tcBorders>
        <w:shd w:val="clear" w:color="auto" w:fill="004A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A63" w:themeFill="accent1" w:themeFillShade="99"/>
      </w:tcPr>
    </w:tblStylePr>
    <w:tblStylePr w:type="band1Vert">
      <w:tblPr/>
      <w:tcPr>
        <w:shd w:val="clear" w:color="auto" w:fill="75DCFF" w:themeFill="accent1" w:themeFillTint="66"/>
      </w:tcPr>
    </w:tblStylePr>
    <w:tblStylePr w:type="band1Horz">
      <w:tblPr/>
      <w:tcPr>
        <w:shd w:val="clear" w:color="auto" w:fill="53D4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44C99"/>
    <w:pPr>
      <w:spacing w:after="0" w:line="240" w:lineRule="auto"/>
    </w:pPr>
    <w:rPr>
      <w:color w:val="000000" w:themeColor="text1"/>
    </w:rPr>
    <w:tblPr>
      <w:tblStyleRowBandSize w:val="1"/>
      <w:tblStyleColBandSize w:val="1"/>
      <w:tblBorders>
        <w:top w:val="single" w:sz="24" w:space="0" w:color="45BFD3" w:themeColor="accent2"/>
        <w:left w:val="single" w:sz="4" w:space="0" w:color="45BFD3" w:themeColor="accent2"/>
        <w:bottom w:val="single" w:sz="4" w:space="0" w:color="45BFD3" w:themeColor="accent2"/>
        <w:right w:val="single" w:sz="4" w:space="0" w:color="45BFD3" w:themeColor="accent2"/>
        <w:insideH w:val="single" w:sz="4" w:space="0" w:color="FFFFFF" w:themeColor="background1"/>
        <w:insideV w:val="single" w:sz="4" w:space="0" w:color="FFFFFF" w:themeColor="background1"/>
      </w:tblBorders>
    </w:tblPr>
    <w:tcPr>
      <w:shd w:val="clear" w:color="auto" w:fill="ECF8FA" w:themeFill="accent2" w:themeFillTint="19"/>
    </w:tcPr>
    <w:tblStylePr w:type="firstRow">
      <w:rPr>
        <w:b/>
        <w:bCs/>
      </w:rPr>
      <w:tblPr/>
      <w:tcPr>
        <w:tcBorders>
          <w:top w:val="nil"/>
          <w:left w:val="nil"/>
          <w:bottom w:val="single" w:sz="24" w:space="0" w:color="45BFD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7987" w:themeFill="accent2" w:themeFillShade="99"/>
      </w:tcPr>
    </w:tblStylePr>
    <w:tblStylePr w:type="firstCol">
      <w:rPr>
        <w:color w:val="FFFFFF" w:themeColor="background1"/>
      </w:rPr>
      <w:tblPr/>
      <w:tcPr>
        <w:tcBorders>
          <w:top w:val="nil"/>
          <w:left w:val="nil"/>
          <w:bottom w:val="nil"/>
          <w:right w:val="nil"/>
          <w:insideH w:val="single" w:sz="4" w:space="0" w:color="207987" w:themeColor="accent2" w:themeShade="99"/>
          <w:insideV w:val="nil"/>
        </w:tcBorders>
        <w:shd w:val="clear" w:color="auto" w:fill="20798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07987" w:themeFill="accent2" w:themeFillShade="99"/>
      </w:tcPr>
    </w:tblStylePr>
    <w:tblStylePr w:type="band1Vert">
      <w:tblPr/>
      <w:tcPr>
        <w:shd w:val="clear" w:color="auto" w:fill="B4E5ED" w:themeFill="accent2" w:themeFillTint="66"/>
      </w:tcPr>
    </w:tblStylePr>
    <w:tblStylePr w:type="band1Horz">
      <w:tblPr/>
      <w:tcPr>
        <w:shd w:val="clear" w:color="auto" w:fill="A2DFE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44C99"/>
    <w:pPr>
      <w:spacing w:after="0" w:line="240" w:lineRule="auto"/>
    </w:pPr>
    <w:rPr>
      <w:color w:val="000000" w:themeColor="text1"/>
    </w:rPr>
    <w:tblPr>
      <w:tblStyleRowBandSize w:val="1"/>
      <w:tblStyleColBandSize w:val="1"/>
      <w:tblBorders>
        <w:top w:val="single" w:sz="24" w:space="0" w:color="7A53A2" w:themeColor="accent4"/>
        <w:left w:val="single" w:sz="4" w:space="0" w:color="BE3593" w:themeColor="accent3"/>
        <w:bottom w:val="single" w:sz="4" w:space="0" w:color="BE3593" w:themeColor="accent3"/>
        <w:right w:val="single" w:sz="4" w:space="0" w:color="BE3593" w:themeColor="accent3"/>
        <w:insideH w:val="single" w:sz="4" w:space="0" w:color="FFFFFF" w:themeColor="background1"/>
        <w:insideV w:val="single" w:sz="4" w:space="0" w:color="FFFFFF" w:themeColor="background1"/>
      </w:tblBorders>
    </w:tblPr>
    <w:tcPr>
      <w:shd w:val="clear" w:color="auto" w:fill="F9EAF4" w:themeFill="accent3" w:themeFillTint="19"/>
    </w:tcPr>
    <w:tblStylePr w:type="firstRow">
      <w:rPr>
        <w:b/>
        <w:bCs/>
      </w:rPr>
      <w:tblPr/>
      <w:tcPr>
        <w:tcBorders>
          <w:top w:val="nil"/>
          <w:left w:val="nil"/>
          <w:bottom w:val="single" w:sz="24" w:space="0" w:color="7A53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11F57" w:themeFill="accent3" w:themeFillShade="99"/>
      </w:tcPr>
    </w:tblStylePr>
    <w:tblStylePr w:type="firstCol">
      <w:rPr>
        <w:color w:val="FFFFFF" w:themeColor="background1"/>
      </w:rPr>
      <w:tblPr/>
      <w:tcPr>
        <w:tcBorders>
          <w:top w:val="nil"/>
          <w:left w:val="nil"/>
          <w:bottom w:val="nil"/>
          <w:right w:val="nil"/>
          <w:insideH w:val="single" w:sz="4" w:space="0" w:color="711F57" w:themeColor="accent3" w:themeShade="99"/>
          <w:insideV w:val="nil"/>
        </w:tcBorders>
        <w:shd w:val="clear" w:color="auto" w:fill="711F5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11F57" w:themeFill="accent3" w:themeFillShade="99"/>
      </w:tcPr>
    </w:tblStylePr>
    <w:tblStylePr w:type="band1Vert">
      <w:tblPr/>
      <w:tcPr>
        <w:shd w:val="clear" w:color="auto" w:fill="E7ABD4" w:themeFill="accent3" w:themeFillTint="66"/>
      </w:tcPr>
    </w:tblStylePr>
    <w:tblStylePr w:type="band1Horz">
      <w:tblPr/>
      <w:tcPr>
        <w:shd w:val="clear" w:color="auto" w:fill="E297CA" w:themeFill="accent3" w:themeFillTint="7F"/>
      </w:tcPr>
    </w:tblStylePr>
  </w:style>
  <w:style w:type="table" w:styleId="ColorfulShading-Accent4">
    <w:name w:val="Colorful Shading Accent 4"/>
    <w:basedOn w:val="TableNormal"/>
    <w:uiPriority w:val="71"/>
    <w:semiHidden/>
    <w:unhideWhenUsed/>
    <w:rsid w:val="00844C99"/>
    <w:pPr>
      <w:spacing w:after="0" w:line="240" w:lineRule="auto"/>
    </w:pPr>
    <w:rPr>
      <w:color w:val="000000" w:themeColor="text1"/>
    </w:rPr>
    <w:tblPr>
      <w:tblStyleRowBandSize w:val="1"/>
      <w:tblStyleColBandSize w:val="1"/>
      <w:tblBorders>
        <w:top w:val="single" w:sz="24" w:space="0" w:color="BE3593" w:themeColor="accent3"/>
        <w:left w:val="single" w:sz="4" w:space="0" w:color="7A53A2" w:themeColor="accent4"/>
        <w:bottom w:val="single" w:sz="4" w:space="0" w:color="7A53A2" w:themeColor="accent4"/>
        <w:right w:val="single" w:sz="4" w:space="0" w:color="7A53A2" w:themeColor="accent4"/>
        <w:insideH w:val="single" w:sz="4" w:space="0" w:color="FFFFFF" w:themeColor="background1"/>
        <w:insideV w:val="single" w:sz="4" w:space="0" w:color="FFFFFF" w:themeColor="background1"/>
      </w:tblBorders>
    </w:tblPr>
    <w:tcPr>
      <w:shd w:val="clear" w:color="auto" w:fill="F1EDF6" w:themeFill="accent4" w:themeFillTint="19"/>
    </w:tcPr>
    <w:tblStylePr w:type="firstRow">
      <w:rPr>
        <w:b/>
        <w:bCs/>
      </w:rPr>
      <w:tblPr/>
      <w:tcPr>
        <w:tcBorders>
          <w:top w:val="nil"/>
          <w:left w:val="nil"/>
          <w:bottom w:val="single" w:sz="24" w:space="0" w:color="BE359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161" w:themeFill="accent4" w:themeFillShade="99"/>
      </w:tcPr>
    </w:tblStylePr>
    <w:tblStylePr w:type="firstCol">
      <w:rPr>
        <w:color w:val="FFFFFF" w:themeColor="background1"/>
      </w:rPr>
      <w:tblPr/>
      <w:tcPr>
        <w:tcBorders>
          <w:top w:val="nil"/>
          <w:left w:val="nil"/>
          <w:bottom w:val="nil"/>
          <w:right w:val="nil"/>
          <w:insideH w:val="single" w:sz="4" w:space="0" w:color="493161" w:themeColor="accent4" w:themeShade="99"/>
          <w:insideV w:val="nil"/>
        </w:tcBorders>
        <w:shd w:val="clear" w:color="auto" w:fill="4931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93161" w:themeFill="accent4" w:themeFillShade="99"/>
      </w:tcPr>
    </w:tblStylePr>
    <w:tblStylePr w:type="band1Vert">
      <w:tblPr/>
      <w:tcPr>
        <w:shd w:val="clear" w:color="auto" w:fill="C9B8DB" w:themeFill="accent4" w:themeFillTint="66"/>
      </w:tcPr>
    </w:tblStylePr>
    <w:tblStylePr w:type="band1Horz">
      <w:tblPr/>
      <w:tcPr>
        <w:shd w:val="clear" w:color="auto" w:fill="BCA7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44C99"/>
    <w:pPr>
      <w:spacing w:after="0" w:line="240" w:lineRule="auto"/>
    </w:pPr>
    <w:rPr>
      <w:color w:val="000000" w:themeColor="text1"/>
    </w:rPr>
    <w:tblPr>
      <w:tblStyleRowBandSize w:val="1"/>
      <w:tblStyleColBandSize w:val="1"/>
      <w:tblBorders>
        <w:top w:val="single" w:sz="24" w:space="0" w:color="FFFF4D" w:themeColor="accent6"/>
        <w:left w:val="single" w:sz="4" w:space="0" w:color="10A54A" w:themeColor="accent5"/>
        <w:bottom w:val="single" w:sz="4" w:space="0" w:color="10A54A" w:themeColor="accent5"/>
        <w:right w:val="single" w:sz="4" w:space="0" w:color="10A54A" w:themeColor="accent5"/>
        <w:insideH w:val="single" w:sz="4" w:space="0" w:color="FFFFFF" w:themeColor="background1"/>
        <w:insideV w:val="single" w:sz="4" w:space="0" w:color="FFFFFF" w:themeColor="background1"/>
      </w:tblBorders>
    </w:tblPr>
    <w:tcPr>
      <w:shd w:val="clear" w:color="auto" w:fill="E1FCEB" w:themeFill="accent5" w:themeFillTint="19"/>
    </w:tcPr>
    <w:tblStylePr w:type="firstRow">
      <w:rPr>
        <w:b/>
        <w:bCs/>
      </w:rPr>
      <w:tblPr/>
      <w:tcPr>
        <w:tcBorders>
          <w:top w:val="nil"/>
          <w:left w:val="nil"/>
          <w:bottom w:val="single" w:sz="24" w:space="0" w:color="FFFF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2C" w:themeFill="accent5" w:themeFillShade="99"/>
      </w:tcPr>
    </w:tblStylePr>
    <w:tblStylePr w:type="firstCol">
      <w:rPr>
        <w:color w:val="FFFFFF" w:themeColor="background1"/>
      </w:rPr>
      <w:tblPr/>
      <w:tcPr>
        <w:tcBorders>
          <w:top w:val="nil"/>
          <w:left w:val="nil"/>
          <w:bottom w:val="nil"/>
          <w:right w:val="nil"/>
          <w:insideH w:val="single" w:sz="4" w:space="0" w:color="09622C" w:themeColor="accent5" w:themeShade="99"/>
          <w:insideV w:val="nil"/>
        </w:tcBorders>
        <w:shd w:val="clear" w:color="auto" w:fill="09622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9622C" w:themeFill="accent5" w:themeFillShade="99"/>
      </w:tcPr>
    </w:tblStylePr>
    <w:tblStylePr w:type="band1Vert">
      <w:tblPr/>
      <w:tcPr>
        <w:shd w:val="clear" w:color="auto" w:fill="86F3B1" w:themeFill="accent5" w:themeFillTint="66"/>
      </w:tcPr>
    </w:tblStylePr>
    <w:tblStylePr w:type="band1Horz">
      <w:tblPr/>
      <w:tcPr>
        <w:shd w:val="clear" w:color="auto" w:fill="69F09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44C99"/>
    <w:pPr>
      <w:spacing w:after="0" w:line="240" w:lineRule="auto"/>
    </w:pPr>
    <w:rPr>
      <w:color w:val="000000" w:themeColor="text1"/>
    </w:rPr>
    <w:tblPr>
      <w:tblStyleRowBandSize w:val="1"/>
      <w:tblStyleColBandSize w:val="1"/>
      <w:tblBorders>
        <w:top w:val="single" w:sz="24" w:space="0" w:color="10A54A" w:themeColor="accent5"/>
        <w:left w:val="single" w:sz="4" w:space="0" w:color="FFFF4D" w:themeColor="accent6"/>
        <w:bottom w:val="single" w:sz="4" w:space="0" w:color="FFFF4D" w:themeColor="accent6"/>
        <w:right w:val="single" w:sz="4" w:space="0" w:color="FFFF4D" w:themeColor="accent6"/>
        <w:insideH w:val="single" w:sz="4" w:space="0" w:color="FFFFFF" w:themeColor="background1"/>
        <w:insideV w:val="single" w:sz="4" w:space="0" w:color="FFFFFF" w:themeColor="background1"/>
      </w:tblBorders>
    </w:tblPr>
    <w:tcPr>
      <w:shd w:val="clear" w:color="auto" w:fill="FFFFED" w:themeFill="accent6" w:themeFillTint="19"/>
    </w:tcPr>
    <w:tblStylePr w:type="firstRow">
      <w:rPr>
        <w:b/>
        <w:bCs/>
      </w:rPr>
      <w:tblPr/>
      <w:tcPr>
        <w:tcBorders>
          <w:top w:val="nil"/>
          <w:left w:val="nil"/>
          <w:bottom w:val="single" w:sz="24" w:space="0" w:color="10A54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7C700" w:themeFill="accent6" w:themeFillShade="99"/>
      </w:tcPr>
    </w:tblStylePr>
    <w:tblStylePr w:type="firstCol">
      <w:rPr>
        <w:color w:val="FFFFFF" w:themeColor="background1"/>
      </w:rPr>
      <w:tblPr/>
      <w:tcPr>
        <w:tcBorders>
          <w:top w:val="nil"/>
          <w:left w:val="nil"/>
          <w:bottom w:val="nil"/>
          <w:right w:val="nil"/>
          <w:insideH w:val="single" w:sz="4" w:space="0" w:color="C7C700" w:themeColor="accent6" w:themeShade="99"/>
          <w:insideV w:val="nil"/>
        </w:tcBorders>
        <w:shd w:val="clear" w:color="auto" w:fill="C7C7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C7C700" w:themeFill="accent6" w:themeFillShade="99"/>
      </w:tcPr>
    </w:tblStylePr>
    <w:tblStylePr w:type="band1Vert">
      <w:tblPr/>
      <w:tcPr>
        <w:shd w:val="clear" w:color="auto" w:fill="FFFFB7" w:themeFill="accent6" w:themeFillTint="66"/>
      </w:tcPr>
    </w:tblStylePr>
    <w:tblStylePr w:type="band1Horz">
      <w:tblPr/>
      <w:tcPr>
        <w:shd w:val="clear" w:color="auto" w:fill="FFFFA6"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rsid w:val="00844C9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BA1B5" w:themeFill="accent2" w:themeFillShade="CC"/>
      </w:tcPr>
    </w:tblStylePr>
    <w:tblStylePr w:type="lastRow">
      <w:rPr>
        <w:b/>
        <w:bCs/>
        <w:color w:val="2BA1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44C99"/>
    <w:pPr>
      <w:spacing w:after="0" w:line="240" w:lineRule="auto"/>
    </w:pPr>
    <w:rPr>
      <w:color w:val="000000" w:themeColor="text1"/>
    </w:rPr>
    <w:tblPr>
      <w:tblStyleRowBandSize w:val="1"/>
      <w:tblStyleColBandSize w:val="1"/>
    </w:tblPr>
    <w:tcPr>
      <w:shd w:val="clear" w:color="auto" w:fill="DDF6FF" w:themeFill="accent1" w:themeFillTint="19"/>
    </w:tcPr>
    <w:tblStylePr w:type="firstRow">
      <w:rPr>
        <w:b/>
        <w:bCs/>
        <w:color w:val="FFFFFF" w:themeColor="background1"/>
      </w:rPr>
      <w:tblPr/>
      <w:tcPr>
        <w:tcBorders>
          <w:bottom w:val="single" w:sz="12" w:space="0" w:color="FFFFFF" w:themeColor="background1"/>
        </w:tcBorders>
        <w:shd w:val="clear" w:color="auto" w:fill="2BA1B5" w:themeFill="accent2" w:themeFillShade="CC"/>
      </w:tcPr>
    </w:tblStylePr>
    <w:tblStylePr w:type="lastRow">
      <w:rPr>
        <w:b/>
        <w:bCs/>
        <w:color w:val="2BA1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AFF" w:themeFill="accent1" w:themeFillTint="3F"/>
      </w:tcPr>
    </w:tblStylePr>
    <w:tblStylePr w:type="band1Horz">
      <w:tblPr/>
      <w:tcPr>
        <w:shd w:val="clear" w:color="auto" w:fill="BAEDFF" w:themeFill="accent1" w:themeFillTint="33"/>
      </w:tcPr>
    </w:tblStylePr>
  </w:style>
  <w:style w:type="table" w:styleId="ColorfulList-Accent2">
    <w:name w:val="Colorful List Accent 2"/>
    <w:basedOn w:val="TableNormal"/>
    <w:uiPriority w:val="72"/>
    <w:semiHidden/>
    <w:unhideWhenUsed/>
    <w:rsid w:val="00844C99"/>
    <w:pPr>
      <w:spacing w:after="0" w:line="240" w:lineRule="auto"/>
    </w:pPr>
    <w:rPr>
      <w:color w:val="000000" w:themeColor="text1"/>
    </w:rPr>
    <w:tblPr>
      <w:tblStyleRowBandSize w:val="1"/>
      <w:tblStyleColBandSize w:val="1"/>
    </w:tblPr>
    <w:tcPr>
      <w:shd w:val="clear" w:color="auto" w:fill="ECF8FA" w:themeFill="accent2" w:themeFillTint="19"/>
    </w:tcPr>
    <w:tblStylePr w:type="firstRow">
      <w:rPr>
        <w:b/>
        <w:bCs/>
        <w:color w:val="FFFFFF" w:themeColor="background1"/>
      </w:rPr>
      <w:tblPr/>
      <w:tcPr>
        <w:tcBorders>
          <w:bottom w:val="single" w:sz="12" w:space="0" w:color="FFFFFF" w:themeColor="background1"/>
        </w:tcBorders>
        <w:shd w:val="clear" w:color="auto" w:fill="2BA1B5" w:themeFill="accent2" w:themeFillShade="CC"/>
      </w:tcPr>
    </w:tblStylePr>
    <w:tblStylePr w:type="lastRow">
      <w:rPr>
        <w:b/>
        <w:bCs/>
        <w:color w:val="2BA1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F4" w:themeFill="accent2" w:themeFillTint="3F"/>
      </w:tcPr>
    </w:tblStylePr>
    <w:tblStylePr w:type="band1Horz">
      <w:tblPr/>
      <w:tcPr>
        <w:shd w:val="clear" w:color="auto" w:fill="D9F2F6" w:themeFill="accent2" w:themeFillTint="33"/>
      </w:tcPr>
    </w:tblStylePr>
  </w:style>
  <w:style w:type="table" w:styleId="ColorfulList-Accent3">
    <w:name w:val="Colorful List Accent 3"/>
    <w:basedOn w:val="TableNormal"/>
    <w:uiPriority w:val="72"/>
    <w:semiHidden/>
    <w:unhideWhenUsed/>
    <w:rsid w:val="00844C99"/>
    <w:pPr>
      <w:spacing w:after="0" w:line="240" w:lineRule="auto"/>
    </w:pPr>
    <w:rPr>
      <w:color w:val="000000" w:themeColor="text1"/>
    </w:rPr>
    <w:tblPr>
      <w:tblStyleRowBandSize w:val="1"/>
      <w:tblStyleColBandSize w:val="1"/>
    </w:tblPr>
    <w:tcPr>
      <w:shd w:val="clear" w:color="auto" w:fill="F9EAF4" w:themeFill="accent3" w:themeFillTint="19"/>
    </w:tcPr>
    <w:tblStylePr w:type="firstRow">
      <w:rPr>
        <w:b/>
        <w:bCs/>
        <w:color w:val="FFFFFF" w:themeColor="background1"/>
      </w:rPr>
      <w:tblPr/>
      <w:tcPr>
        <w:tcBorders>
          <w:bottom w:val="single" w:sz="12" w:space="0" w:color="FFFFFF" w:themeColor="background1"/>
        </w:tcBorders>
        <w:shd w:val="clear" w:color="auto" w:fill="614281" w:themeFill="accent4" w:themeFillShade="CC"/>
      </w:tcPr>
    </w:tblStylePr>
    <w:tblStylePr w:type="lastRow">
      <w:rPr>
        <w:b/>
        <w:bCs/>
        <w:color w:val="61428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CBE4" w:themeFill="accent3" w:themeFillTint="3F"/>
      </w:tcPr>
    </w:tblStylePr>
    <w:tblStylePr w:type="band1Horz">
      <w:tblPr/>
      <w:tcPr>
        <w:shd w:val="clear" w:color="auto" w:fill="F3D5E9" w:themeFill="accent3" w:themeFillTint="33"/>
      </w:tcPr>
    </w:tblStylePr>
  </w:style>
  <w:style w:type="table" w:styleId="ColorfulList-Accent4">
    <w:name w:val="Colorful List Accent 4"/>
    <w:basedOn w:val="TableNormal"/>
    <w:uiPriority w:val="72"/>
    <w:semiHidden/>
    <w:unhideWhenUsed/>
    <w:rsid w:val="00844C99"/>
    <w:pPr>
      <w:spacing w:after="0" w:line="240" w:lineRule="auto"/>
    </w:pPr>
    <w:rPr>
      <w:color w:val="000000" w:themeColor="text1"/>
    </w:rPr>
    <w:tblPr>
      <w:tblStyleRowBandSize w:val="1"/>
      <w:tblStyleColBandSize w:val="1"/>
    </w:tblPr>
    <w:tcPr>
      <w:shd w:val="clear" w:color="auto" w:fill="F1EDF6" w:themeFill="accent4" w:themeFillTint="19"/>
    </w:tcPr>
    <w:tblStylePr w:type="firstRow">
      <w:rPr>
        <w:b/>
        <w:bCs/>
        <w:color w:val="FFFFFF" w:themeColor="background1"/>
      </w:rPr>
      <w:tblPr/>
      <w:tcPr>
        <w:tcBorders>
          <w:bottom w:val="single" w:sz="12" w:space="0" w:color="FFFFFF" w:themeColor="background1"/>
        </w:tcBorders>
        <w:shd w:val="clear" w:color="auto" w:fill="972A75" w:themeFill="accent3" w:themeFillShade="CC"/>
      </w:tcPr>
    </w:tblStylePr>
    <w:tblStylePr w:type="lastRow">
      <w:rPr>
        <w:b/>
        <w:bCs/>
        <w:color w:val="972A7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3E8" w:themeFill="accent4" w:themeFillTint="3F"/>
      </w:tcPr>
    </w:tblStylePr>
    <w:tblStylePr w:type="band1Horz">
      <w:tblPr/>
      <w:tcPr>
        <w:shd w:val="clear" w:color="auto" w:fill="E4DBED" w:themeFill="accent4" w:themeFillTint="33"/>
      </w:tcPr>
    </w:tblStylePr>
  </w:style>
  <w:style w:type="table" w:styleId="ColorfulList-Accent5">
    <w:name w:val="Colorful List Accent 5"/>
    <w:basedOn w:val="TableNormal"/>
    <w:uiPriority w:val="72"/>
    <w:semiHidden/>
    <w:unhideWhenUsed/>
    <w:rsid w:val="00844C99"/>
    <w:pPr>
      <w:spacing w:after="0" w:line="240" w:lineRule="auto"/>
    </w:pPr>
    <w:rPr>
      <w:color w:val="000000" w:themeColor="text1"/>
    </w:rPr>
    <w:tblPr>
      <w:tblStyleRowBandSize w:val="1"/>
      <w:tblStyleColBandSize w:val="1"/>
    </w:tblPr>
    <w:tcPr>
      <w:shd w:val="clear" w:color="auto" w:fill="E1FCEB" w:themeFill="accent5" w:themeFillTint="19"/>
    </w:tcPr>
    <w:tblStylePr w:type="firstRow">
      <w:rPr>
        <w:b/>
        <w:bCs/>
        <w:color w:val="FFFFFF" w:themeColor="background1"/>
      </w:rPr>
      <w:tblPr/>
      <w:tcPr>
        <w:tcBorders>
          <w:bottom w:val="single" w:sz="12" w:space="0" w:color="FFFFFF" w:themeColor="background1"/>
        </w:tcBorders>
        <w:shd w:val="clear" w:color="auto" w:fill="FFFF0A" w:themeFill="accent6" w:themeFillShade="CC"/>
      </w:tcPr>
    </w:tblStylePr>
    <w:tblStylePr w:type="lastRow">
      <w:rPr>
        <w:b/>
        <w:bCs/>
        <w:color w:val="FFFF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CE" w:themeFill="accent5" w:themeFillTint="3F"/>
      </w:tcPr>
    </w:tblStylePr>
    <w:tblStylePr w:type="band1Horz">
      <w:tblPr/>
      <w:tcPr>
        <w:shd w:val="clear" w:color="auto" w:fill="C2F9D7" w:themeFill="accent5" w:themeFillTint="33"/>
      </w:tcPr>
    </w:tblStylePr>
  </w:style>
  <w:style w:type="table" w:styleId="ColorfulList-Accent6">
    <w:name w:val="Colorful List Accent 6"/>
    <w:basedOn w:val="TableNormal"/>
    <w:uiPriority w:val="72"/>
    <w:semiHidden/>
    <w:unhideWhenUsed/>
    <w:rsid w:val="00844C99"/>
    <w:pPr>
      <w:spacing w:after="0" w:line="240" w:lineRule="auto"/>
    </w:pPr>
    <w:rPr>
      <w:color w:val="000000" w:themeColor="text1"/>
    </w:rPr>
    <w:tblPr>
      <w:tblStyleRowBandSize w:val="1"/>
      <w:tblStyleColBandSize w:val="1"/>
    </w:tblPr>
    <w:tcPr>
      <w:shd w:val="clear" w:color="auto" w:fill="FFFFED" w:themeFill="accent6" w:themeFillTint="19"/>
    </w:tcPr>
    <w:tblStylePr w:type="firstRow">
      <w:rPr>
        <w:b/>
        <w:bCs/>
        <w:color w:val="FFFFFF" w:themeColor="background1"/>
      </w:rPr>
      <w:tblPr/>
      <w:tcPr>
        <w:tcBorders>
          <w:bottom w:val="single" w:sz="12" w:space="0" w:color="FFFFFF" w:themeColor="background1"/>
        </w:tcBorders>
        <w:shd w:val="clear" w:color="auto" w:fill="0C833B" w:themeFill="accent5" w:themeFillShade="CC"/>
      </w:tcPr>
    </w:tblStylePr>
    <w:tblStylePr w:type="lastRow">
      <w:rPr>
        <w:b/>
        <w:bCs/>
        <w:color w:val="0C833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D3" w:themeFill="accent6" w:themeFillTint="3F"/>
      </w:tcPr>
    </w:tblStylePr>
    <w:tblStylePr w:type="band1Horz">
      <w:tblPr/>
      <w:tcPr>
        <w:shd w:val="clear" w:color="auto" w:fill="FFFFDB" w:themeFill="accent6" w:themeFillTint="33"/>
      </w:tcPr>
    </w:tblStylePr>
  </w:style>
  <w:style w:type="table" w:styleId="ColorfulGrid">
    <w:name w:val="Colorful Grid"/>
    <w:basedOn w:val="TableNormal"/>
    <w:uiPriority w:val="73"/>
    <w:semiHidden/>
    <w:unhideWhenUsed/>
    <w:rsid w:val="00844C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44C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AEDFF" w:themeFill="accent1" w:themeFillTint="33"/>
    </w:tcPr>
    <w:tblStylePr w:type="firstRow">
      <w:rPr>
        <w:b/>
        <w:bCs/>
      </w:rPr>
      <w:tblPr/>
      <w:tcPr>
        <w:shd w:val="clear" w:color="auto" w:fill="75DCFF" w:themeFill="accent1" w:themeFillTint="66"/>
      </w:tcPr>
    </w:tblStylePr>
    <w:tblStylePr w:type="lastRow">
      <w:rPr>
        <w:b/>
        <w:bCs/>
        <w:color w:val="000000" w:themeColor="text1"/>
      </w:rPr>
      <w:tblPr/>
      <w:tcPr>
        <w:shd w:val="clear" w:color="auto" w:fill="75DCFF" w:themeFill="accent1" w:themeFillTint="66"/>
      </w:tcPr>
    </w:tblStylePr>
    <w:tblStylePr w:type="firstCol">
      <w:rPr>
        <w:color w:val="FFFFFF" w:themeColor="background1"/>
      </w:rPr>
      <w:tblPr/>
      <w:tcPr>
        <w:shd w:val="clear" w:color="auto" w:fill="005D7C" w:themeFill="accent1" w:themeFillShade="BF"/>
      </w:tcPr>
    </w:tblStylePr>
    <w:tblStylePr w:type="lastCol">
      <w:rPr>
        <w:color w:val="FFFFFF" w:themeColor="background1"/>
      </w:rPr>
      <w:tblPr/>
      <w:tcPr>
        <w:shd w:val="clear" w:color="auto" w:fill="005D7C" w:themeFill="accent1" w:themeFillShade="BF"/>
      </w:tcPr>
    </w:tblStylePr>
    <w:tblStylePr w:type="band1Vert">
      <w:tblPr/>
      <w:tcPr>
        <w:shd w:val="clear" w:color="auto" w:fill="53D4FF" w:themeFill="accent1" w:themeFillTint="7F"/>
      </w:tcPr>
    </w:tblStylePr>
    <w:tblStylePr w:type="band1Horz">
      <w:tblPr/>
      <w:tcPr>
        <w:shd w:val="clear" w:color="auto" w:fill="53D4FF" w:themeFill="accent1" w:themeFillTint="7F"/>
      </w:tcPr>
    </w:tblStylePr>
  </w:style>
  <w:style w:type="table" w:styleId="ColorfulGrid-Accent2">
    <w:name w:val="Colorful Grid Accent 2"/>
    <w:basedOn w:val="TableNormal"/>
    <w:uiPriority w:val="73"/>
    <w:semiHidden/>
    <w:unhideWhenUsed/>
    <w:rsid w:val="00844C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F6" w:themeFill="accent2" w:themeFillTint="33"/>
    </w:tcPr>
    <w:tblStylePr w:type="firstRow">
      <w:rPr>
        <w:b/>
        <w:bCs/>
      </w:rPr>
      <w:tblPr/>
      <w:tcPr>
        <w:shd w:val="clear" w:color="auto" w:fill="B4E5ED" w:themeFill="accent2" w:themeFillTint="66"/>
      </w:tcPr>
    </w:tblStylePr>
    <w:tblStylePr w:type="lastRow">
      <w:rPr>
        <w:b/>
        <w:bCs/>
        <w:color w:val="000000" w:themeColor="text1"/>
      </w:rPr>
      <w:tblPr/>
      <w:tcPr>
        <w:shd w:val="clear" w:color="auto" w:fill="B4E5ED" w:themeFill="accent2" w:themeFillTint="66"/>
      </w:tcPr>
    </w:tblStylePr>
    <w:tblStylePr w:type="firstCol">
      <w:rPr>
        <w:color w:val="FFFFFF" w:themeColor="background1"/>
      </w:rPr>
      <w:tblPr/>
      <w:tcPr>
        <w:shd w:val="clear" w:color="auto" w:fill="2897A9" w:themeFill="accent2" w:themeFillShade="BF"/>
      </w:tcPr>
    </w:tblStylePr>
    <w:tblStylePr w:type="lastCol">
      <w:rPr>
        <w:color w:val="FFFFFF" w:themeColor="background1"/>
      </w:rPr>
      <w:tblPr/>
      <w:tcPr>
        <w:shd w:val="clear" w:color="auto" w:fill="2897A9" w:themeFill="accent2" w:themeFillShade="BF"/>
      </w:tcPr>
    </w:tblStylePr>
    <w:tblStylePr w:type="band1Vert">
      <w:tblPr/>
      <w:tcPr>
        <w:shd w:val="clear" w:color="auto" w:fill="A2DFE9" w:themeFill="accent2" w:themeFillTint="7F"/>
      </w:tcPr>
    </w:tblStylePr>
    <w:tblStylePr w:type="band1Horz">
      <w:tblPr/>
      <w:tcPr>
        <w:shd w:val="clear" w:color="auto" w:fill="A2DFE9" w:themeFill="accent2" w:themeFillTint="7F"/>
      </w:tcPr>
    </w:tblStylePr>
  </w:style>
  <w:style w:type="table" w:styleId="ColorfulGrid-Accent3">
    <w:name w:val="Colorful Grid Accent 3"/>
    <w:basedOn w:val="TableNormal"/>
    <w:uiPriority w:val="73"/>
    <w:semiHidden/>
    <w:unhideWhenUsed/>
    <w:rsid w:val="00844C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D5E9" w:themeFill="accent3" w:themeFillTint="33"/>
    </w:tcPr>
    <w:tblStylePr w:type="firstRow">
      <w:rPr>
        <w:b/>
        <w:bCs/>
      </w:rPr>
      <w:tblPr/>
      <w:tcPr>
        <w:shd w:val="clear" w:color="auto" w:fill="E7ABD4" w:themeFill="accent3" w:themeFillTint="66"/>
      </w:tcPr>
    </w:tblStylePr>
    <w:tblStylePr w:type="lastRow">
      <w:rPr>
        <w:b/>
        <w:bCs/>
        <w:color w:val="000000" w:themeColor="text1"/>
      </w:rPr>
      <w:tblPr/>
      <w:tcPr>
        <w:shd w:val="clear" w:color="auto" w:fill="E7ABD4" w:themeFill="accent3" w:themeFillTint="66"/>
      </w:tcPr>
    </w:tblStylePr>
    <w:tblStylePr w:type="firstCol">
      <w:rPr>
        <w:color w:val="FFFFFF" w:themeColor="background1"/>
      </w:rPr>
      <w:tblPr/>
      <w:tcPr>
        <w:shd w:val="clear" w:color="auto" w:fill="8E276D" w:themeFill="accent3" w:themeFillShade="BF"/>
      </w:tcPr>
    </w:tblStylePr>
    <w:tblStylePr w:type="lastCol">
      <w:rPr>
        <w:color w:val="FFFFFF" w:themeColor="background1"/>
      </w:rPr>
      <w:tblPr/>
      <w:tcPr>
        <w:shd w:val="clear" w:color="auto" w:fill="8E276D" w:themeFill="accent3" w:themeFillShade="BF"/>
      </w:tcPr>
    </w:tblStylePr>
    <w:tblStylePr w:type="band1Vert">
      <w:tblPr/>
      <w:tcPr>
        <w:shd w:val="clear" w:color="auto" w:fill="E297CA" w:themeFill="accent3" w:themeFillTint="7F"/>
      </w:tcPr>
    </w:tblStylePr>
    <w:tblStylePr w:type="band1Horz">
      <w:tblPr/>
      <w:tcPr>
        <w:shd w:val="clear" w:color="auto" w:fill="E297CA" w:themeFill="accent3" w:themeFillTint="7F"/>
      </w:tcPr>
    </w:tblStylePr>
  </w:style>
  <w:style w:type="table" w:styleId="ColorfulGrid-Accent4">
    <w:name w:val="Colorful Grid Accent 4"/>
    <w:basedOn w:val="TableNormal"/>
    <w:uiPriority w:val="73"/>
    <w:semiHidden/>
    <w:unhideWhenUsed/>
    <w:rsid w:val="00844C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DBED" w:themeFill="accent4" w:themeFillTint="33"/>
    </w:tcPr>
    <w:tblStylePr w:type="firstRow">
      <w:rPr>
        <w:b/>
        <w:bCs/>
      </w:rPr>
      <w:tblPr/>
      <w:tcPr>
        <w:shd w:val="clear" w:color="auto" w:fill="C9B8DB" w:themeFill="accent4" w:themeFillTint="66"/>
      </w:tcPr>
    </w:tblStylePr>
    <w:tblStylePr w:type="lastRow">
      <w:rPr>
        <w:b/>
        <w:bCs/>
        <w:color w:val="000000" w:themeColor="text1"/>
      </w:rPr>
      <w:tblPr/>
      <w:tcPr>
        <w:shd w:val="clear" w:color="auto" w:fill="C9B8DB" w:themeFill="accent4" w:themeFillTint="66"/>
      </w:tcPr>
    </w:tblStylePr>
    <w:tblStylePr w:type="firstCol">
      <w:rPr>
        <w:color w:val="FFFFFF" w:themeColor="background1"/>
      </w:rPr>
      <w:tblPr/>
      <w:tcPr>
        <w:shd w:val="clear" w:color="auto" w:fill="5B3E79" w:themeFill="accent4" w:themeFillShade="BF"/>
      </w:tcPr>
    </w:tblStylePr>
    <w:tblStylePr w:type="lastCol">
      <w:rPr>
        <w:color w:val="FFFFFF" w:themeColor="background1"/>
      </w:rPr>
      <w:tblPr/>
      <w:tcPr>
        <w:shd w:val="clear" w:color="auto" w:fill="5B3E79" w:themeFill="accent4" w:themeFillShade="BF"/>
      </w:tcPr>
    </w:tblStylePr>
    <w:tblStylePr w:type="band1Vert">
      <w:tblPr/>
      <w:tcPr>
        <w:shd w:val="clear" w:color="auto" w:fill="BCA7D2" w:themeFill="accent4" w:themeFillTint="7F"/>
      </w:tcPr>
    </w:tblStylePr>
    <w:tblStylePr w:type="band1Horz">
      <w:tblPr/>
      <w:tcPr>
        <w:shd w:val="clear" w:color="auto" w:fill="BCA7D2" w:themeFill="accent4" w:themeFillTint="7F"/>
      </w:tcPr>
    </w:tblStylePr>
  </w:style>
  <w:style w:type="table" w:styleId="ColorfulGrid-Accent5">
    <w:name w:val="Colorful Grid Accent 5"/>
    <w:basedOn w:val="TableNormal"/>
    <w:uiPriority w:val="73"/>
    <w:semiHidden/>
    <w:unhideWhenUsed/>
    <w:rsid w:val="00844C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D7" w:themeFill="accent5" w:themeFillTint="33"/>
    </w:tcPr>
    <w:tblStylePr w:type="firstRow">
      <w:rPr>
        <w:b/>
        <w:bCs/>
      </w:rPr>
      <w:tblPr/>
      <w:tcPr>
        <w:shd w:val="clear" w:color="auto" w:fill="86F3B1" w:themeFill="accent5" w:themeFillTint="66"/>
      </w:tcPr>
    </w:tblStylePr>
    <w:tblStylePr w:type="lastRow">
      <w:rPr>
        <w:b/>
        <w:bCs/>
        <w:color w:val="000000" w:themeColor="text1"/>
      </w:rPr>
      <w:tblPr/>
      <w:tcPr>
        <w:shd w:val="clear" w:color="auto" w:fill="86F3B1" w:themeFill="accent5" w:themeFillTint="66"/>
      </w:tcPr>
    </w:tblStylePr>
    <w:tblStylePr w:type="firstCol">
      <w:rPr>
        <w:color w:val="FFFFFF" w:themeColor="background1"/>
      </w:rPr>
      <w:tblPr/>
      <w:tcPr>
        <w:shd w:val="clear" w:color="auto" w:fill="0C7B37" w:themeFill="accent5" w:themeFillShade="BF"/>
      </w:tcPr>
    </w:tblStylePr>
    <w:tblStylePr w:type="lastCol">
      <w:rPr>
        <w:color w:val="FFFFFF" w:themeColor="background1"/>
      </w:rPr>
      <w:tblPr/>
      <w:tcPr>
        <w:shd w:val="clear" w:color="auto" w:fill="0C7B37" w:themeFill="accent5" w:themeFillShade="BF"/>
      </w:tcPr>
    </w:tblStylePr>
    <w:tblStylePr w:type="band1Vert">
      <w:tblPr/>
      <w:tcPr>
        <w:shd w:val="clear" w:color="auto" w:fill="69F09D" w:themeFill="accent5" w:themeFillTint="7F"/>
      </w:tcPr>
    </w:tblStylePr>
    <w:tblStylePr w:type="band1Horz">
      <w:tblPr/>
      <w:tcPr>
        <w:shd w:val="clear" w:color="auto" w:fill="69F09D" w:themeFill="accent5" w:themeFillTint="7F"/>
      </w:tcPr>
    </w:tblStylePr>
  </w:style>
  <w:style w:type="table" w:styleId="ColorfulGrid-Accent6">
    <w:name w:val="Colorful Grid Accent 6"/>
    <w:basedOn w:val="TableNormal"/>
    <w:uiPriority w:val="73"/>
    <w:semiHidden/>
    <w:unhideWhenUsed/>
    <w:rsid w:val="00844C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FDB" w:themeFill="accent6" w:themeFillTint="33"/>
    </w:tcPr>
    <w:tblStylePr w:type="firstRow">
      <w:rPr>
        <w:b/>
        <w:bCs/>
      </w:rPr>
      <w:tblPr/>
      <w:tcPr>
        <w:shd w:val="clear" w:color="auto" w:fill="FFFFB7" w:themeFill="accent6" w:themeFillTint="66"/>
      </w:tcPr>
    </w:tblStylePr>
    <w:tblStylePr w:type="lastRow">
      <w:rPr>
        <w:b/>
        <w:bCs/>
        <w:color w:val="000000" w:themeColor="text1"/>
      </w:rPr>
      <w:tblPr/>
      <w:tcPr>
        <w:shd w:val="clear" w:color="auto" w:fill="FFFFB7" w:themeFill="accent6" w:themeFillTint="66"/>
      </w:tcPr>
    </w:tblStylePr>
    <w:tblStylePr w:type="firstCol">
      <w:rPr>
        <w:color w:val="FFFFFF" w:themeColor="background1"/>
      </w:rPr>
      <w:tblPr/>
      <w:tcPr>
        <w:shd w:val="clear" w:color="auto" w:fill="F8F800" w:themeFill="accent6" w:themeFillShade="BF"/>
      </w:tcPr>
    </w:tblStylePr>
    <w:tblStylePr w:type="lastCol">
      <w:rPr>
        <w:color w:val="FFFFFF" w:themeColor="background1"/>
      </w:rPr>
      <w:tblPr/>
      <w:tcPr>
        <w:shd w:val="clear" w:color="auto" w:fill="F8F800" w:themeFill="accent6" w:themeFillShade="BF"/>
      </w:tcPr>
    </w:tblStylePr>
    <w:tblStylePr w:type="band1Vert">
      <w:tblPr/>
      <w:tcPr>
        <w:shd w:val="clear" w:color="auto" w:fill="FFFFA6" w:themeFill="accent6" w:themeFillTint="7F"/>
      </w:tcPr>
    </w:tblStylePr>
    <w:tblStylePr w:type="band1Horz">
      <w:tblPr/>
      <w:tcPr>
        <w:shd w:val="clear" w:color="auto" w:fill="FFFFA6"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4302">
      <w:bodyDiv w:val="1"/>
      <w:marLeft w:val="0"/>
      <w:marRight w:val="0"/>
      <w:marTop w:val="0"/>
      <w:marBottom w:val="0"/>
      <w:divBdr>
        <w:top w:val="none" w:sz="0" w:space="0" w:color="auto"/>
        <w:left w:val="none" w:sz="0" w:space="0" w:color="auto"/>
        <w:bottom w:val="none" w:sz="0" w:space="0" w:color="auto"/>
        <w:right w:val="none" w:sz="0" w:space="0" w:color="auto"/>
      </w:divBdr>
      <w:divsChild>
        <w:div w:id="620498838">
          <w:marLeft w:val="0"/>
          <w:marRight w:val="0"/>
          <w:marTop w:val="0"/>
          <w:marBottom w:val="0"/>
          <w:divBdr>
            <w:top w:val="none" w:sz="0" w:space="0" w:color="auto"/>
            <w:left w:val="none" w:sz="0" w:space="0" w:color="auto"/>
            <w:bottom w:val="none" w:sz="0" w:space="0" w:color="auto"/>
            <w:right w:val="none" w:sz="0" w:space="0" w:color="auto"/>
          </w:divBdr>
        </w:div>
      </w:divsChild>
    </w:div>
    <w:div w:id="27217343">
      <w:bodyDiv w:val="1"/>
      <w:marLeft w:val="0"/>
      <w:marRight w:val="0"/>
      <w:marTop w:val="0"/>
      <w:marBottom w:val="0"/>
      <w:divBdr>
        <w:top w:val="none" w:sz="0" w:space="0" w:color="auto"/>
        <w:left w:val="none" w:sz="0" w:space="0" w:color="auto"/>
        <w:bottom w:val="none" w:sz="0" w:space="0" w:color="auto"/>
        <w:right w:val="none" w:sz="0" w:space="0" w:color="auto"/>
      </w:divBdr>
      <w:divsChild>
        <w:div w:id="1949967279">
          <w:marLeft w:val="0"/>
          <w:marRight w:val="0"/>
          <w:marTop w:val="0"/>
          <w:marBottom w:val="0"/>
          <w:divBdr>
            <w:top w:val="none" w:sz="0" w:space="0" w:color="auto"/>
            <w:left w:val="none" w:sz="0" w:space="0" w:color="auto"/>
            <w:bottom w:val="none" w:sz="0" w:space="0" w:color="auto"/>
            <w:right w:val="none" w:sz="0" w:space="0" w:color="auto"/>
          </w:divBdr>
        </w:div>
      </w:divsChild>
    </w:div>
    <w:div w:id="109204468">
      <w:bodyDiv w:val="1"/>
      <w:marLeft w:val="0"/>
      <w:marRight w:val="0"/>
      <w:marTop w:val="0"/>
      <w:marBottom w:val="0"/>
      <w:divBdr>
        <w:top w:val="none" w:sz="0" w:space="0" w:color="auto"/>
        <w:left w:val="none" w:sz="0" w:space="0" w:color="auto"/>
        <w:bottom w:val="none" w:sz="0" w:space="0" w:color="auto"/>
        <w:right w:val="none" w:sz="0" w:space="0" w:color="auto"/>
      </w:divBdr>
    </w:div>
    <w:div w:id="175576992">
      <w:bodyDiv w:val="1"/>
      <w:marLeft w:val="0"/>
      <w:marRight w:val="0"/>
      <w:marTop w:val="0"/>
      <w:marBottom w:val="0"/>
      <w:divBdr>
        <w:top w:val="none" w:sz="0" w:space="0" w:color="auto"/>
        <w:left w:val="none" w:sz="0" w:space="0" w:color="auto"/>
        <w:bottom w:val="none" w:sz="0" w:space="0" w:color="auto"/>
        <w:right w:val="none" w:sz="0" w:space="0" w:color="auto"/>
      </w:divBdr>
      <w:divsChild>
        <w:div w:id="137042012">
          <w:marLeft w:val="360"/>
          <w:marRight w:val="0"/>
          <w:marTop w:val="200"/>
          <w:marBottom w:val="0"/>
          <w:divBdr>
            <w:top w:val="none" w:sz="0" w:space="0" w:color="auto"/>
            <w:left w:val="none" w:sz="0" w:space="0" w:color="auto"/>
            <w:bottom w:val="none" w:sz="0" w:space="0" w:color="auto"/>
            <w:right w:val="none" w:sz="0" w:space="0" w:color="auto"/>
          </w:divBdr>
        </w:div>
        <w:div w:id="340742611">
          <w:marLeft w:val="360"/>
          <w:marRight w:val="0"/>
          <w:marTop w:val="200"/>
          <w:marBottom w:val="0"/>
          <w:divBdr>
            <w:top w:val="none" w:sz="0" w:space="0" w:color="auto"/>
            <w:left w:val="none" w:sz="0" w:space="0" w:color="auto"/>
            <w:bottom w:val="none" w:sz="0" w:space="0" w:color="auto"/>
            <w:right w:val="none" w:sz="0" w:space="0" w:color="auto"/>
          </w:divBdr>
        </w:div>
        <w:div w:id="1304772734">
          <w:marLeft w:val="360"/>
          <w:marRight w:val="0"/>
          <w:marTop w:val="200"/>
          <w:marBottom w:val="0"/>
          <w:divBdr>
            <w:top w:val="none" w:sz="0" w:space="0" w:color="auto"/>
            <w:left w:val="none" w:sz="0" w:space="0" w:color="auto"/>
            <w:bottom w:val="none" w:sz="0" w:space="0" w:color="auto"/>
            <w:right w:val="none" w:sz="0" w:space="0" w:color="auto"/>
          </w:divBdr>
        </w:div>
        <w:div w:id="2137795654">
          <w:marLeft w:val="360"/>
          <w:marRight w:val="0"/>
          <w:marTop w:val="200"/>
          <w:marBottom w:val="0"/>
          <w:divBdr>
            <w:top w:val="none" w:sz="0" w:space="0" w:color="auto"/>
            <w:left w:val="none" w:sz="0" w:space="0" w:color="auto"/>
            <w:bottom w:val="none" w:sz="0" w:space="0" w:color="auto"/>
            <w:right w:val="none" w:sz="0" w:space="0" w:color="auto"/>
          </w:divBdr>
        </w:div>
      </w:divsChild>
    </w:div>
    <w:div w:id="234127174">
      <w:bodyDiv w:val="1"/>
      <w:marLeft w:val="0"/>
      <w:marRight w:val="0"/>
      <w:marTop w:val="0"/>
      <w:marBottom w:val="0"/>
      <w:divBdr>
        <w:top w:val="none" w:sz="0" w:space="0" w:color="auto"/>
        <w:left w:val="none" w:sz="0" w:space="0" w:color="auto"/>
        <w:bottom w:val="none" w:sz="0" w:space="0" w:color="auto"/>
        <w:right w:val="none" w:sz="0" w:space="0" w:color="auto"/>
      </w:divBdr>
      <w:divsChild>
        <w:div w:id="169411514">
          <w:marLeft w:val="0"/>
          <w:marRight w:val="0"/>
          <w:marTop w:val="0"/>
          <w:marBottom w:val="0"/>
          <w:divBdr>
            <w:top w:val="none" w:sz="0" w:space="0" w:color="auto"/>
            <w:left w:val="none" w:sz="0" w:space="0" w:color="auto"/>
            <w:bottom w:val="none" w:sz="0" w:space="0" w:color="auto"/>
            <w:right w:val="none" w:sz="0" w:space="0" w:color="auto"/>
          </w:divBdr>
        </w:div>
      </w:divsChild>
    </w:div>
    <w:div w:id="281158900">
      <w:bodyDiv w:val="1"/>
      <w:marLeft w:val="0"/>
      <w:marRight w:val="0"/>
      <w:marTop w:val="0"/>
      <w:marBottom w:val="0"/>
      <w:divBdr>
        <w:top w:val="none" w:sz="0" w:space="0" w:color="auto"/>
        <w:left w:val="none" w:sz="0" w:space="0" w:color="auto"/>
        <w:bottom w:val="none" w:sz="0" w:space="0" w:color="auto"/>
        <w:right w:val="none" w:sz="0" w:space="0" w:color="auto"/>
      </w:divBdr>
      <w:divsChild>
        <w:div w:id="310406541">
          <w:marLeft w:val="360"/>
          <w:marRight w:val="0"/>
          <w:marTop w:val="200"/>
          <w:marBottom w:val="0"/>
          <w:divBdr>
            <w:top w:val="none" w:sz="0" w:space="0" w:color="auto"/>
            <w:left w:val="none" w:sz="0" w:space="0" w:color="auto"/>
            <w:bottom w:val="none" w:sz="0" w:space="0" w:color="auto"/>
            <w:right w:val="none" w:sz="0" w:space="0" w:color="auto"/>
          </w:divBdr>
        </w:div>
        <w:div w:id="363599010">
          <w:marLeft w:val="360"/>
          <w:marRight w:val="0"/>
          <w:marTop w:val="200"/>
          <w:marBottom w:val="0"/>
          <w:divBdr>
            <w:top w:val="none" w:sz="0" w:space="0" w:color="auto"/>
            <w:left w:val="none" w:sz="0" w:space="0" w:color="auto"/>
            <w:bottom w:val="none" w:sz="0" w:space="0" w:color="auto"/>
            <w:right w:val="none" w:sz="0" w:space="0" w:color="auto"/>
          </w:divBdr>
        </w:div>
        <w:div w:id="673263730">
          <w:marLeft w:val="360"/>
          <w:marRight w:val="0"/>
          <w:marTop w:val="200"/>
          <w:marBottom w:val="0"/>
          <w:divBdr>
            <w:top w:val="none" w:sz="0" w:space="0" w:color="auto"/>
            <w:left w:val="none" w:sz="0" w:space="0" w:color="auto"/>
            <w:bottom w:val="none" w:sz="0" w:space="0" w:color="auto"/>
            <w:right w:val="none" w:sz="0" w:space="0" w:color="auto"/>
          </w:divBdr>
        </w:div>
        <w:div w:id="791561473">
          <w:marLeft w:val="360"/>
          <w:marRight w:val="0"/>
          <w:marTop w:val="200"/>
          <w:marBottom w:val="0"/>
          <w:divBdr>
            <w:top w:val="none" w:sz="0" w:space="0" w:color="auto"/>
            <w:left w:val="none" w:sz="0" w:space="0" w:color="auto"/>
            <w:bottom w:val="none" w:sz="0" w:space="0" w:color="auto"/>
            <w:right w:val="none" w:sz="0" w:space="0" w:color="auto"/>
          </w:divBdr>
        </w:div>
        <w:div w:id="2066444352">
          <w:marLeft w:val="360"/>
          <w:marRight w:val="0"/>
          <w:marTop w:val="200"/>
          <w:marBottom w:val="0"/>
          <w:divBdr>
            <w:top w:val="none" w:sz="0" w:space="0" w:color="auto"/>
            <w:left w:val="none" w:sz="0" w:space="0" w:color="auto"/>
            <w:bottom w:val="none" w:sz="0" w:space="0" w:color="auto"/>
            <w:right w:val="none" w:sz="0" w:space="0" w:color="auto"/>
          </w:divBdr>
        </w:div>
      </w:divsChild>
    </w:div>
    <w:div w:id="347951339">
      <w:bodyDiv w:val="1"/>
      <w:marLeft w:val="0"/>
      <w:marRight w:val="0"/>
      <w:marTop w:val="0"/>
      <w:marBottom w:val="0"/>
      <w:divBdr>
        <w:top w:val="none" w:sz="0" w:space="0" w:color="auto"/>
        <w:left w:val="none" w:sz="0" w:space="0" w:color="auto"/>
        <w:bottom w:val="none" w:sz="0" w:space="0" w:color="auto"/>
        <w:right w:val="none" w:sz="0" w:space="0" w:color="auto"/>
      </w:divBdr>
      <w:divsChild>
        <w:div w:id="442578735">
          <w:marLeft w:val="0"/>
          <w:marRight w:val="0"/>
          <w:marTop w:val="0"/>
          <w:marBottom w:val="0"/>
          <w:divBdr>
            <w:top w:val="none" w:sz="0" w:space="0" w:color="auto"/>
            <w:left w:val="none" w:sz="0" w:space="0" w:color="auto"/>
            <w:bottom w:val="none" w:sz="0" w:space="0" w:color="auto"/>
            <w:right w:val="none" w:sz="0" w:space="0" w:color="auto"/>
          </w:divBdr>
        </w:div>
      </w:divsChild>
    </w:div>
    <w:div w:id="361052162">
      <w:bodyDiv w:val="1"/>
      <w:marLeft w:val="0"/>
      <w:marRight w:val="0"/>
      <w:marTop w:val="0"/>
      <w:marBottom w:val="0"/>
      <w:divBdr>
        <w:top w:val="none" w:sz="0" w:space="0" w:color="auto"/>
        <w:left w:val="none" w:sz="0" w:space="0" w:color="auto"/>
        <w:bottom w:val="none" w:sz="0" w:space="0" w:color="auto"/>
        <w:right w:val="none" w:sz="0" w:space="0" w:color="auto"/>
      </w:divBdr>
      <w:divsChild>
        <w:div w:id="463427801">
          <w:marLeft w:val="0"/>
          <w:marRight w:val="0"/>
          <w:marTop w:val="0"/>
          <w:marBottom w:val="0"/>
          <w:divBdr>
            <w:top w:val="none" w:sz="0" w:space="0" w:color="auto"/>
            <w:left w:val="none" w:sz="0" w:space="0" w:color="auto"/>
            <w:bottom w:val="none" w:sz="0" w:space="0" w:color="auto"/>
            <w:right w:val="none" w:sz="0" w:space="0" w:color="auto"/>
          </w:divBdr>
        </w:div>
      </w:divsChild>
    </w:div>
    <w:div w:id="407381813">
      <w:bodyDiv w:val="1"/>
      <w:marLeft w:val="0"/>
      <w:marRight w:val="0"/>
      <w:marTop w:val="0"/>
      <w:marBottom w:val="0"/>
      <w:divBdr>
        <w:top w:val="none" w:sz="0" w:space="0" w:color="auto"/>
        <w:left w:val="none" w:sz="0" w:space="0" w:color="auto"/>
        <w:bottom w:val="none" w:sz="0" w:space="0" w:color="auto"/>
        <w:right w:val="none" w:sz="0" w:space="0" w:color="auto"/>
      </w:divBdr>
      <w:divsChild>
        <w:div w:id="1475639415">
          <w:marLeft w:val="0"/>
          <w:marRight w:val="0"/>
          <w:marTop w:val="0"/>
          <w:marBottom w:val="0"/>
          <w:divBdr>
            <w:top w:val="none" w:sz="0" w:space="0" w:color="auto"/>
            <w:left w:val="none" w:sz="0" w:space="0" w:color="auto"/>
            <w:bottom w:val="none" w:sz="0" w:space="0" w:color="auto"/>
            <w:right w:val="none" w:sz="0" w:space="0" w:color="auto"/>
          </w:divBdr>
        </w:div>
      </w:divsChild>
    </w:div>
    <w:div w:id="499540926">
      <w:bodyDiv w:val="1"/>
      <w:marLeft w:val="0"/>
      <w:marRight w:val="0"/>
      <w:marTop w:val="0"/>
      <w:marBottom w:val="0"/>
      <w:divBdr>
        <w:top w:val="none" w:sz="0" w:space="0" w:color="auto"/>
        <w:left w:val="none" w:sz="0" w:space="0" w:color="auto"/>
        <w:bottom w:val="none" w:sz="0" w:space="0" w:color="auto"/>
        <w:right w:val="none" w:sz="0" w:space="0" w:color="auto"/>
      </w:divBdr>
      <w:divsChild>
        <w:div w:id="328948883">
          <w:marLeft w:val="0"/>
          <w:marRight w:val="0"/>
          <w:marTop w:val="0"/>
          <w:marBottom w:val="0"/>
          <w:divBdr>
            <w:top w:val="none" w:sz="0" w:space="0" w:color="auto"/>
            <w:left w:val="none" w:sz="0" w:space="0" w:color="auto"/>
            <w:bottom w:val="none" w:sz="0" w:space="0" w:color="auto"/>
            <w:right w:val="none" w:sz="0" w:space="0" w:color="auto"/>
          </w:divBdr>
        </w:div>
      </w:divsChild>
    </w:div>
    <w:div w:id="502478490">
      <w:bodyDiv w:val="1"/>
      <w:marLeft w:val="0"/>
      <w:marRight w:val="0"/>
      <w:marTop w:val="0"/>
      <w:marBottom w:val="0"/>
      <w:divBdr>
        <w:top w:val="none" w:sz="0" w:space="0" w:color="auto"/>
        <w:left w:val="none" w:sz="0" w:space="0" w:color="auto"/>
        <w:bottom w:val="none" w:sz="0" w:space="0" w:color="auto"/>
        <w:right w:val="none" w:sz="0" w:space="0" w:color="auto"/>
      </w:divBdr>
      <w:divsChild>
        <w:div w:id="457800903">
          <w:marLeft w:val="0"/>
          <w:marRight w:val="0"/>
          <w:marTop w:val="0"/>
          <w:marBottom w:val="0"/>
          <w:divBdr>
            <w:top w:val="none" w:sz="0" w:space="0" w:color="auto"/>
            <w:left w:val="none" w:sz="0" w:space="0" w:color="auto"/>
            <w:bottom w:val="none" w:sz="0" w:space="0" w:color="auto"/>
            <w:right w:val="none" w:sz="0" w:space="0" w:color="auto"/>
          </w:divBdr>
        </w:div>
      </w:divsChild>
    </w:div>
    <w:div w:id="518852921">
      <w:bodyDiv w:val="1"/>
      <w:marLeft w:val="0"/>
      <w:marRight w:val="0"/>
      <w:marTop w:val="0"/>
      <w:marBottom w:val="0"/>
      <w:divBdr>
        <w:top w:val="none" w:sz="0" w:space="0" w:color="auto"/>
        <w:left w:val="none" w:sz="0" w:space="0" w:color="auto"/>
        <w:bottom w:val="none" w:sz="0" w:space="0" w:color="auto"/>
        <w:right w:val="none" w:sz="0" w:space="0" w:color="auto"/>
      </w:divBdr>
      <w:divsChild>
        <w:div w:id="1179195491">
          <w:marLeft w:val="0"/>
          <w:marRight w:val="0"/>
          <w:marTop w:val="0"/>
          <w:marBottom w:val="0"/>
          <w:divBdr>
            <w:top w:val="none" w:sz="0" w:space="0" w:color="auto"/>
            <w:left w:val="none" w:sz="0" w:space="0" w:color="auto"/>
            <w:bottom w:val="none" w:sz="0" w:space="0" w:color="auto"/>
            <w:right w:val="none" w:sz="0" w:space="0" w:color="auto"/>
          </w:divBdr>
        </w:div>
      </w:divsChild>
    </w:div>
    <w:div w:id="530651896">
      <w:bodyDiv w:val="1"/>
      <w:marLeft w:val="0"/>
      <w:marRight w:val="0"/>
      <w:marTop w:val="0"/>
      <w:marBottom w:val="0"/>
      <w:divBdr>
        <w:top w:val="none" w:sz="0" w:space="0" w:color="auto"/>
        <w:left w:val="none" w:sz="0" w:space="0" w:color="auto"/>
        <w:bottom w:val="none" w:sz="0" w:space="0" w:color="auto"/>
        <w:right w:val="none" w:sz="0" w:space="0" w:color="auto"/>
      </w:divBdr>
      <w:divsChild>
        <w:div w:id="1186140285">
          <w:marLeft w:val="0"/>
          <w:marRight w:val="0"/>
          <w:marTop w:val="0"/>
          <w:marBottom w:val="0"/>
          <w:divBdr>
            <w:top w:val="none" w:sz="0" w:space="0" w:color="auto"/>
            <w:left w:val="none" w:sz="0" w:space="0" w:color="auto"/>
            <w:bottom w:val="none" w:sz="0" w:space="0" w:color="auto"/>
            <w:right w:val="none" w:sz="0" w:space="0" w:color="auto"/>
          </w:divBdr>
        </w:div>
      </w:divsChild>
    </w:div>
    <w:div w:id="567570861">
      <w:bodyDiv w:val="1"/>
      <w:marLeft w:val="0"/>
      <w:marRight w:val="0"/>
      <w:marTop w:val="0"/>
      <w:marBottom w:val="0"/>
      <w:divBdr>
        <w:top w:val="none" w:sz="0" w:space="0" w:color="auto"/>
        <w:left w:val="none" w:sz="0" w:space="0" w:color="auto"/>
        <w:bottom w:val="none" w:sz="0" w:space="0" w:color="auto"/>
        <w:right w:val="none" w:sz="0" w:space="0" w:color="auto"/>
      </w:divBdr>
      <w:divsChild>
        <w:div w:id="2021081957">
          <w:marLeft w:val="0"/>
          <w:marRight w:val="0"/>
          <w:marTop w:val="0"/>
          <w:marBottom w:val="0"/>
          <w:divBdr>
            <w:top w:val="none" w:sz="0" w:space="0" w:color="auto"/>
            <w:left w:val="none" w:sz="0" w:space="0" w:color="auto"/>
            <w:bottom w:val="none" w:sz="0" w:space="0" w:color="auto"/>
            <w:right w:val="none" w:sz="0" w:space="0" w:color="auto"/>
          </w:divBdr>
        </w:div>
      </w:divsChild>
    </w:div>
    <w:div w:id="686053996">
      <w:bodyDiv w:val="1"/>
      <w:marLeft w:val="0"/>
      <w:marRight w:val="0"/>
      <w:marTop w:val="0"/>
      <w:marBottom w:val="0"/>
      <w:divBdr>
        <w:top w:val="none" w:sz="0" w:space="0" w:color="auto"/>
        <w:left w:val="none" w:sz="0" w:space="0" w:color="auto"/>
        <w:bottom w:val="none" w:sz="0" w:space="0" w:color="auto"/>
        <w:right w:val="none" w:sz="0" w:space="0" w:color="auto"/>
      </w:divBdr>
      <w:divsChild>
        <w:div w:id="698706912">
          <w:marLeft w:val="0"/>
          <w:marRight w:val="0"/>
          <w:marTop w:val="0"/>
          <w:marBottom w:val="0"/>
          <w:divBdr>
            <w:top w:val="none" w:sz="0" w:space="0" w:color="auto"/>
            <w:left w:val="none" w:sz="0" w:space="0" w:color="auto"/>
            <w:bottom w:val="none" w:sz="0" w:space="0" w:color="auto"/>
            <w:right w:val="none" w:sz="0" w:space="0" w:color="auto"/>
          </w:divBdr>
        </w:div>
      </w:divsChild>
    </w:div>
    <w:div w:id="746876002">
      <w:bodyDiv w:val="1"/>
      <w:marLeft w:val="0"/>
      <w:marRight w:val="0"/>
      <w:marTop w:val="0"/>
      <w:marBottom w:val="0"/>
      <w:divBdr>
        <w:top w:val="none" w:sz="0" w:space="0" w:color="auto"/>
        <w:left w:val="none" w:sz="0" w:space="0" w:color="auto"/>
        <w:bottom w:val="none" w:sz="0" w:space="0" w:color="auto"/>
        <w:right w:val="none" w:sz="0" w:space="0" w:color="auto"/>
      </w:divBdr>
      <w:divsChild>
        <w:div w:id="180171814">
          <w:marLeft w:val="0"/>
          <w:marRight w:val="0"/>
          <w:marTop w:val="0"/>
          <w:marBottom w:val="0"/>
          <w:divBdr>
            <w:top w:val="none" w:sz="0" w:space="0" w:color="auto"/>
            <w:left w:val="none" w:sz="0" w:space="0" w:color="auto"/>
            <w:bottom w:val="none" w:sz="0" w:space="0" w:color="auto"/>
            <w:right w:val="none" w:sz="0" w:space="0" w:color="auto"/>
          </w:divBdr>
        </w:div>
      </w:divsChild>
    </w:div>
    <w:div w:id="805850757">
      <w:bodyDiv w:val="1"/>
      <w:marLeft w:val="0"/>
      <w:marRight w:val="0"/>
      <w:marTop w:val="0"/>
      <w:marBottom w:val="0"/>
      <w:divBdr>
        <w:top w:val="none" w:sz="0" w:space="0" w:color="auto"/>
        <w:left w:val="none" w:sz="0" w:space="0" w:color="auto"/>
        <w:bottom w:val="none" w:sz="0" w:space="0" w:color="auto"/>
        <w:right w:val="none" w:sz="0" w:space="0" w:color="auto"/>
      </w:divBdr>
      <w:divsChild>
        <w:div w:id="1637292205">
          <w:marLeft w:val="0"/>
          <w:marRight w:val="0"/>
          <w:marTop w:val="0"/>
          <w:marBottom w:val="0"/>
          <w:divBdr>
            <w:top w:val="none" w:sz="0" w:space="0" w:color="auto"/>
            <w:left w:val="none" w:sz="0" w:space="0" w:color="auto"/>
            <w:bottom w:val="none" w:sz="0" w:space="0" w:color="auto"/>
            <w:right w:val="none" w:sz="0" w:space="0" w:color="auto"/>
          </w:divBdr>
        </w:div>
      </w:divsChild>
    </w:div>
    <w:div w:id="915093926">
      <w:bodyDiv w:val="1"/>
      <w:marLeft w:val="0"/>
      <w:marRight w:val="0"/>
      <w:marTop w:val="0"/>
      <w:marBottom w:val="0"/>
      <w:divBdr>
        <w:top w:val="none" w:sz="0" w:space="0" w:color="auto"/>
        <w:left w:val="none" w:sz="0" w:space="0" w:color="auto"/>
        <w:bottom w:val="none" w:sz="0" w:space="0" w:color="auto"/>
        <w:right w:val="none" w:sz="0" w:space="0" w:color="auto"/>
      </w:divBdr>
    </w:div>
    <w:div w:id="943419046">
      <w:bodyDiv w:val="1"/>
      <w:marLeft w:val="0"/>
      <w:marRight w:val="0"/>
      <w:marTop w:val="0"/>
      <w:marBottom w:val="0"/>
      <w:divBdr>
        <w:top w:val="none" w:sz="0" w:space="0" w:color="auto"/>
        <w:left w:val="none" w:sz="0" w:space="0" w:color="auto"/>
        <w:bottom w:val="none" w:sz="0" w:space="0" w:color="auto"/>
        <w:right w:val="none" w:sz="0" w:space="0" w:color="auto"/>
      </w:divBdr>
      <w:divsChild>
        <w:div w:id="754402490">
          <w:marLeft w:val="0"/>
          <w:marRight w:val="0"/>
          <w:marTop w:val="0"/>
          <w:marBottom w:val="0"/>
          <w:divBdr>
            <w:top w:val="none" w:sz="0" w:space="0" w:color="auto"/>
            <w:left w:val="none" w:sz="0" w:space="0" w:color="auto"/>
            <w:bottom w:val="none" w:sz="0" w:space="0" w:color="auto"/>
            <w:right w:val="none" w:sz="0" w:space="0" w:color="auto"/>
          </w:divBdr>
        </w:div>
      </w:divsChild>
    </w:div>
    <w:div w:id="964391146">
      <w:bodyDiv w:val="1"/>
      <w:marLeft w:val="0"/>
      <w:marRight w:val="0"/>
      <w:marTop w:val="0"/>
      <w:marBottom w:val="0"/>
      <w:divBdr>
        <w:top w:val="none" w:sz="0" w:space="0" w:color="auto"/>
        <w:left w:val="none" w:sz="0" w:space="0" w:color="auto"/>
        <w:bottom w:val="none" w:sz="0" w:space="0" w:color="auto"/>
        <w:right w:val="none" w:sz="0" w:space="0" w:color="auto"/>
      </w:divBdr>
      <w:divsChild>
        <w:div w:id="548878325">
          <w:marLeft w:val="0"/>
          <w:marRight w:val="0"/>
          <w:marTop w:val="0"/>
          <w:marBottom w:val="0"/>
          <w:divBdr>
            <w:top w:val="none" w:sz="0" w:space="0" w:color="auto"/>
            <w:left w:val="none" w:sz="0" w:space="0" w:color="auto"/>
            <w:bottom w:val="none" w:sz="0" w:space="0" w:color="auto"/>
            <w:right w:val="none" w:sz="0" w:space="0" w:color="auto"/>
          </w:divBdr>
        </w:div>
      </w:divsChild>
    </w:div>
    <w:div w:id="969748668">
      <w:bodyDiv w:val="1"/>
      <w:marLeft w:val="0"/>
      <w:marRight w:val="0"/>
      <w:marTop w:val="0"/>
      <w:marBottom w:val="0"/>
      <w:divBdr>
        <w:top w:val="none" w:sz="0" w:space="0" w:color="auto"/>
        <w:left w:val="none" w:sz="0" w:space="0" w:color="auto"/>
        <w:bottom w:val="none" w:sz="0" w:space="0" w:color="auto"/>
        <w:right w:val="none" w:sz="0" w:space="0" w:color="auto"/>
      </w:divBdr>
      <w:divsChild>
        <w:div w:id="892733979">
          <w:marLeft w:val="0"/>
          <w:marRight w:val="0"/>
          <w:marTop w:val="0"/>
          <w:marBottom w:val="0"/>
          <w:divBdr>
            <w:top w:val="none" w:sz="0" w:space="0" w:color="auto"/>
            <w:left w:val="none" w:sz="0" w:space="0" w:color="auto"/>
            <w:bottom w:val="none" w:sz="0" w:space="0" w:color="auto"/>
            <w:right w:val="none" w:sz="0" w:space="0" w:color="auto"/>
          </w:divBdr>
        </w:div>
      </w:divsChild>
    </w:div>
    <w:div w:id="1015351729">
      <w:bodyDiv w:val="1"/>
      <w:marLeft w:val="0"/>
      <w:marRight w:val="0"/>
      <w:marTop w:val="0"/>
      <w:marBottom w:val="0"/>
      <w:divBdr>
        <w:top w:val="none" w:sz="0" w:space="0" w:color="auto"/>
        <w:left w:val="none" w:sz="0" w:space="0" w:color="auto"/>
        <w:bottom w:val="none" w:sz="0" w:space="0" w:color="auto"/>
        <w:right w:val="none" w:sz="0" w:space="0" w:color="auto"/>
      </w:divBdr>
      <w:divsChild>
        <w:div w:id="49155638">
          <w:marLeft w:val="0"/>
          <w:marRight w:val="0"/>
          <w:marTop w:val="0"/>
          <w:marBottom w:val="0"/>
          <w:divBdr>
            <w:top w:val="none" w:sz="0" w:space="0" w:color="auto"/>
            <w:left w:val="none" w:sz="0" w:space="0" w:color="auto"/>
            <w:bottom w:val="none" w:sz="0" w:space="0" w:color="auto"/>
            <w:right w:val="none" w:sz="0" w:space="0" w:color="auto"/>
          </w:divBdr>
        </w:div>
      </w:divsChild>
    </w:div>
    <w:div w:id="1019508279">
      <w:bodyDiv w:val="1"/>
      <w:marLeft w:val="0"/>
      <w:marRight w:val="0"/>
      <w:marTop w:val="0"/>
      <w:marBottom w:val="0"/>
      <w:divBdr>
        <w:top w:val="none" w:sz="0" w:space="0" w:color="auto"/>
        <w:left w:val="none" w:sz="0" w:space="0" w:color="auto"/>
        <w:bottom w:val="none" w:sz="0" w:space="0" w:color="auto"/>
        <w:right w:val="none" w:sz="0" w:space="0" w:color="auto"/>
      </w:divBdr>
      <w:divsChild>
        <w:div w:id="1918439627">
          <w:marLeft w:val="0"/>
          <w:marRight w:val="0"/>
          <w:marTop w:val="0"/>
          <w:marBottom w:val="0"/>
          <w:divBdr>
            <w:top w:val="none" w:sz="0" w:space="0" w:color="auto"/>
            <w:left w:val="none" w:sz="0" w:space="0" w:color="auto"/>
            <w:bottom w:val="none" w:sz="0" w:space="0" w:color="auto"/>
            <w:right w:val="none" w:sz="0" w:space="0" w:color="auto"/>
          </w:divBdr>
        </w:div>
      </w:divsChild>
    </w:div>
    <w:div w:id="1054499861">
      <w:bodyDiv w:val="1"/>
      <w:marLeft w:val="0"/>
      <w:marRight w:val="0"/>
      <w:marTop w:val="0"/>
      <w:marBottom w:val="0"/>
      <w:divBdr>
        <w:top w:val="none" w:sz="0" w:space="0" w:color="auto"/>
        <w:left w:val="none" w:sz="0" w:space="0" w:color="auto"/>
        <w:bottom w:val="none" w:sz="0" w:space="0" w:color="auto"/>
        <w:right w:val="none" w:sz="0" w:space="0" w:color="auto"/>
      </w:divBdr>
      <w:divsChild>
        <w:div w:id="1455755810">
          <w:marLeft w:val="0"/>
          <w:marRight w:val="0"/>
          <w:marTop w:val="0"/>
          <w:marBottom w:val="0"/>
          <w:divBdr>
            <w:top w:val="none" w:sz="0" w:space="0" w:color="auto"/>
            <w:left w:val="none" w:sz="0" w:space="0" w:color="auto"/>
            <w:bottom w:val="none" w:sz="0" w:space="0" w:color="auto"/>
            <w:right w:val="none" w:sz="0" w:space="0" w:color="auto"/>
          </w:divBdr>
        </w:div>
      </w:divsChild>
    </w:div>
    <w:div w:id="1077900481">
      <w:bodyDiv w:val="1"/>
      <w:marLeft w:val="0"/>
      <w:marRight w:val="0"/>
      <w:marTop w:val="0"/>
      <w:marBottom w:val="0"/>
      <w:divBdr>
        <w:top w:val="none" w:sz="0" w:space="0" w:color="auto"/>
        <w:left w:val="none" w:sz="0" w:space="0" w:color="auto"/>
        <w:bottom w:val="none" w:sz="0" w:space="0" w:color="auto"/>
        <w:right w:val="none" w:sz="0" w:space="0" w:color="auto"/>
      </w:divBdr>
      <w:divsChild>
        <w:div w:id="1738893394">
          <w:marLeft w:val="0"/>
          <w:marRight w:val="0"/>
          <w:marTop w:val="0"/>
          <w:marBottom w:val="0"/>
          <w:divBdr>
            <w:top w:val="none" w:sz="0" w:space="0" w:color="auto"/>
            <w:left w:val="none" w:sz="0" w:space="0" w:color="auto"/>
            <w:bottom w:val="none" w:sz="0" w:space="0" w:color="auto"/>
            <w:right w:val="none" w:sz="0" w:space="0" w:color="auto"/>
          </w:divBdr>
        </w:div>
      </w:divsChild>
    </w:div>
    <w:div w:id="1269122998">
      <w:bodyDiv w:val="1"/>
      <w:marLeft w:val="0"/>
      <w:marRight w:val="0"/>
      <w:marTop w:val="0"/>
      <w:marBottom w:val="0"/>
      <w:divBdr>
        <w:top w:val="none" w:sz="0" w:space="0" w:color="auto"/>
        <w:left w:val="none" w:sz="0" w:space="0" w:color="auto"/>
        <w:bottom w:val="none" w:sz="0" w:space="0" w:color="auto"/>
        <w:right w:val="none" w:sz="0" w:space="0" w:color="auto"/>
      </w:divBdr>
      <w:divsChild>
        <w:div w:id="805857509">
          <w:marLeft w:val="0"/>
          <w:marRight w:val="0"/>
          <w:marTop w:val="0"/>
          <w:marBottom w:val="0"/>
          <w:divBdr>
            <w:top w:val="none" w:sz="0" w:space="0" w:color="auto"/>
            <w:left w:val="none" w:sz="0" w:space="0" w:color="auto"/>
            <w:bottom w:val="none" w:sz="0" w:space="0" w:color="auto"/>
            <w:right w:val="none" w:sz="0" w:space="0" w:color="auto"/>
          </w:divBdr>
        </w:div>
      </w:divsChild>
    </w:div>
    <w:div w:id="1273711094">
      <w:bodyDiv w:val="1"/>
      <w:marLeft w:val="0"/>
      <w:marRight w:val="0"/>
      <w:marTop w:val="0"/>
      <w:marBottom w:val="0"/>
      <w:divBdr>
        <w:top w:val="none" w:sz="0" w:space="0" w:color="auto"/>
        <w:left w:val="none" w:sz="0" w:space="0" w:color="auto"/>
        <w:bottom w:val="none" w:sz="0" w:space="0" w:color="auto"/>
        <w:right w:val="none" w:sz="0" w:space="0" w:color="auto"/>
      </w:divBdr>
    </w:div>
    <w:div w:id="1322737853">
      <w:bodyDiv w:val="1"/>
      <w:marLeft w:val="0"/>
      <w:marRight w:val="0"/>
      <w:marTop w:val="0"/>
      <w:marBottom w:val="0"/>
      <w:divBdr>
        <w:top w:val="none" w:sz="0" w:space="0" w:color="auto"/>
        <w:left w:val="none" w:sz="0" w:space="0" w:color="auto"/>
        <w:bottom w:val="none" w:sz="0" w:space="0" w:color="auto"/>
        <w:right w:val="none" w:sz="0" w:space="0" w:color="auto"/>
      </w:divBdr>
      <w:divsChild>
        <w:div w:id="1696224464">
          <w:marLeft w:val="0"/>
          <w:marRight w:val="0"/>
          <w:marTop w:val="0"/>
          <w:marBottom w:val="0"/>
          <w:divBdr>
            <w:top w:val="none" w:sz="0" w:space="0" w:color="auto"/>
            <w:left w:val="none" w:sz="0" w:space="0" w:color="auto"/>
            <w:bottom w:val="none" w:sz="0" w:space="0" w:color="auto"/>
            <w:right w:val="none" w:sz="0" w:space="0" w:color="auto"/>
          </w:divBdr>
        </w:div>
      </w:divsChild>
    </w:div>
    <w:div w:id="1437603281">
      <w:bodyDiv w:val="1"/>
      <w:marLeft w:val="0"/>
      <w:marRight w:val="0"/>
      <w:marTop w:val="0"/>
      <w:marBottom w:val="0"/>
      <w:divBdr>
        <w:top w:val="none" w:sz="0" w:space="0" w:color="auto"/>
        <w:left w:val="none" w:sz="0" w:space="0" w:color="auto"/>
        <w:bottom w:val="none" w:sz="0" w:space="0" w:color="auto"/>
        <w:right w:val="none" w:sz="0" w:space="0" w:color="auto"/>
      </w:divBdr>
      <w:divsChild>
        <w:div w:id="726881942">
          <w:marLeft w:val="0"/>
          <w:marRight w:val="0"/>
          <w:marTop w:val="0"/>
          <w:marBottom w:val="0"/>
          <w:divBdr>
            <w:top w:val="none" w:sz="0" w:space="0" w:color="auto"/>
            <w:left w:val="none" w:sz="0" w:space="0" w:color="auto"/>
            <w:bottom w:val="none" w:sz="0" w:space="0" w:color="auto"/>
            <w:right w:val="none" w:sz="0" w:space="0" w:color="auto"/>
          </w:divBdr>
        </w:div>
      </w:divsChild>
    </w:div>
    <w:div w:id="1459648121">
      <w:bodyDiv w:val="1"/>
      <w:marLeft w:val="0"/>
      <w:marRight w:val="0"/>
      <w:marTop w:val="0"/>
      <w:marBottom w:val="0"/>
      <w:divBdr>
        <w:top w:val="none" w:sz="0" w:space="0" w:color="auto"/>
        <w:left w:val="none" w:sz="0" w:space="0" w:color="auto"/>
        <w:bottom w:val="none" w:sz="0" w:space="0" w:color="auto"/>
        <w:right w:val="none" w:sz="0" w:space="0" w:color="auto"/>
      </w:divBdr>
    </w:div>
    <w:div w:id="1610317092">
      <w:bodyDiv w:val="1"/>
      <w:marLeft w:val="0"/>
      <w:marRight w:val="0"/>
      <w:marTop w:val="0"/>
      <w:marBottom w:val="0"/>
      <w:divBdr>
        <w:top w:val="none" w:sz="0" w:space="0" w:color="auto"/>
        <w:left w:val="none" w:sz="0" w:space="0" w:color="auto"/>
        <w:bottom w:val="none" w:sz="0" w:space="0" w:color="auto"/>
        <w:right w:val="none" w:sz="0" w:space="0" w:color="auto"/>
      </w:divBdr>
      <w:divsChild>
        <w:div w:id="523590435">
          <w:marLeft w:val="0"/>
          <w:marRight w:val="0"/>
          <w:marTop w:val="0"/>
          <w:marBottom w:val="0"/>
          <w:divBdr>
            <w:top w:val="none" w:sz="0" w:space="0" w:color="auto"/>
            <w:left w:val="none" w:sz="0" w:space="0" w:color="auto"/>
            <w:bottom w:val="none" w:sz="0" w:space="0" w:color="auto"/>
            <w:right w:val="none" w:sz="0" w:space="0" w:color="auto"/>
          </w:divBdr>
        </w:div>
      </w:divsChild>
    </w:div>
    <w:div w:id="1647929594">
      <w:bodyDiv w:val="1"/>
      <w:marLeft w:val="0"/>
      <w:marRight w:val="0"/>
      <w:marTop w:val="0"/>
      <w:marBottom w:val="0"/>
      <w:divBdr>
        <w:top w:val="none" w:sz="0" w:space="0" w:color="auto"/>
        <w:left w:val="none" w:sz="0" w:space="0" w:color="auto"/>
        <w:bottom w:val="none" w:sz="0" w:space="0" w:color="auto"/>
        <w:right w:val="none" w:sz="0" w:space="0" w:color="auto"/>
      </w:divBdr>
      <w:divsChild>
        <w:div w:id="1683243642">
          <w:marLeft w:val="0"/>
          <w:marRight w:val="0"/>
          <w:marTop w:val="0"/>
          <w:marBottom w:val="0"/>
          <w:divBdr>
            <w:top w:val="none" w:sz="0" w:space="0" w:color="auto"/>
            <w:left w:val="none" w:sz="0" w:space="0" w:color="auto"/>
            <w:bottom w:val="none" w:sz="0" w:space="0" w:color="auto"/>
            <w:right w:val="none" w:sz="0" w:space="0" w:color="auto"/>
          </w:divBdr>
        </w:div>
      </w:divsChild>
    </w:div>
    <w:div w:id="1670787787">
      <w:bodyDiv w:val="1"/>
      <w:marLeft w:val="0"/>
      <w:marRight w:val="0"/>
      <w:marTop w:val="0"/>
      <w:marBottom w:val="0"/>
      <w:divBdr>
        <w:top w:val="none" w:sz="0" w:space="0" w:color="auto"/>
        <w:left w:val="none" w:sz="0" w:space="0" w:color="auto"/>
        <w:bottom w:val="none" w:sz="0" w:space="0" w:color="auto"/>
        <w:right w:val="none" w:sz="0" w:space="0" w:color="auto"/>
      </w:divBdr>
      <w:divsChild>
        <w:div w:id="1826361791">
          <w:marLeft w:val="0"/>
          <w:marRight w:val="0"/>
          <w:marTop w:val="0"/>
          <w:marBottom w:val="0"/>
          <w:divBdr>
            <w:top w:val="none" w:sz="0" w:space="0" w:color="auto"/>
            <w:left w:val="none" w:sz="0" w:space="0" w:color="auto"/>
            <w:bottom w:val="none" w:sz="0" w:space="0" w:color="auto"/>
            <w:right w:val="none" w:sz="0" w:space="0" w:color="auto"/>
          </w:divBdr>
        </w:div>
      </w:divsChild>
    </w:div>
    <w:div w:id="1675765148">
      <w:bodyDiv w:val="1"/>
      <w:marLeft w:val="0"/>
      <w:marRight w:val="0"/>
      <w:marTop w:val="0"/>
      <w:marBottom w:val="0"/>
      <w:divBdr>
        <w:top w:val="none" w:sz="0" w:space="0" w:color="auto"/>
        <w:left w:val="none" w:sz="0" w:space="0" w:color="auto"/>
        <w:bottom w:val="none" w:sz="0" w:space="0" w:color="auto"/>
        <w:right w:val="none" w:sz="0" w:space="0" w:color="auto"/>
      </w:divBdr>
      <w:divsChild>
        <w:div w:id="163739045">
          <w:marLeft w:val="0"/>
          <w:marRight w:val="0"/>
          <w:marTop w:val="0"/>
          <w:marBottom w:val="0"/>
          <w:divBdr>
            <w:top w:val="none" w:sz="0" w:space="0" w:color="auto"/>
            <w:left w:val="none" w:sz="0" w:space="0" w:color="auto"/>
            <w:bottom w:val="none" w:sz="0" w:space="0" w:color="auto"/>
            <w:right w:val="none" w:sz="0" w:space="0" w:color="auto"/>
          </w:divBdr>
        </w:div>
      </w:divsChild>
    </w:div>
    <w:div w:id="1731462968">
      <w:bodyDiv w:val="1"/>
      <w:marLeft w:val="0"/>
      <w:marRight w:val="0"/>
      <w:marTop w:val="0"/>
      <w:marBottom w:val="0"/>
      <w:divBdr>
        <w:top w:val="none" w:sz="0" w:space="0" w:color="auto"/>
        <w:left w:val="none" w:sz="0" w:space="0" w:color="auto"/>
        <w:bottom w:val="none" w:sz="0" w:space="0" w:color="auto"/>
        <w:right w:val="none" w:sz="0" w:space="0" w:color="auto"/>
      </w:divBdr>
      <w:divsChild>
        <w:div w:id="1163617300">
          <w:marLeft w:val="0"/>
          <w:marRight w:val="0"/>
          <w:marTop w:val="0"/>
          <w:marBottom w:val="0"/>
          <w:divBdr>
            <w:top w:val="none" w:sz="0" w:space="0" w:color="auto"/>
            <w:left w:val="none" w:sz="0" w:space="0" w:color="auto"/>
            <w:bottom w:val="none" w:sz="0" w:space="0" w:color="auto"/>
            <w:right w:val="none" w:sz="0" w:space="0" w:color="auto"/>
          </w:divBdr>
        </w:div>
      </w:divsChild>
    </w:div>
    <w:div w:id="1755736831">
      <w:bodyDiv w:val="1"/>
      <w:marLeft w:val="0"/>
      <w:marRight w:val="0"/>
      <w:marTop w:val="0"/>
      <w:marBottom w:val="0"/>
      <w:divBdr>
        <w:top w:val="none" w:sz="0" w:space="0" w:color="auto"/>
        <w:left w:val="none" w:sz="0" w:space="0" w:color="auto"/>
        <w:bottom w:val="none" w:sz="0" w:space="0" w:color="auto"/>
        <w:right w:val="none" w:sz="0" w:space="0" w:color="auto"/>
      </w:divBdr>
      <w:divsChild>
        <w:div w:id="637225745">
          <w:marLeft w:val="0"/>
          <w:marRight w:val="0"/>
          <w:marTop w:val="0"/>
          <w:marBottom w:val="0"/>
          <w:divBdr>
            <w:top w:val="none" w:sz="0" w:space="0" w:color="auto"/>
            <w:left w:val="none" w:sz="0" w:space="0" w:color="auto"/>
            <w:bottom w:val="none" w:sz="0" w:space="0" w:color="auto"/>
            <w:right w:val="none" w:sz="0" w:space="0" w:color="auto"/>
          </w:divBdr>
        </w:div>
      </w:divsChild>
    </w:div>
    <w:div w:id="1757046798">
      <w:bodyDiv w:val="1"/>
      <w:marLeft w:val="0"/>
      <w:marRight w:val="0"/>
      <w:marTop w:val="0"/>
      <w:marBottom w:val="0"/>
      <w:divBdr>
        <w:top w:val="none" w:sz="0" w:space="0" w:color="auto"/>
        <w:left w:val="none" w:sz="0" w:space="0" w:color="auto"/>
        <w:bottom w:val="none" w:sz="0" w:space="0" w:color="auto"/>
        <w:right w:val="none" w:sz="0" w:space="0" w:color="auto"/>
      </w:divBdr>
      <w:divsChild>
        <w:div w:id="144130252">
          <w:marLeft w:val="0"/>
          <w:marRight w:val="0"/>
          <w:marTop w:val="0"/>
          <w:marBottom w:val="0"/>
          <w:divBdr>
            <w:top w:val="none" w:sz="0" w:space="0" w:color="auto"/>
            <w:left w:val="none" w:sz="0" w:space="0" w:color="auto"/>
            <w:bottom w:val="none" w:sz="0" w:space="0" w:color="auto"/>
            <w:right w:val="none" w:sz="0" w:space="0" w:color="auto"/>
          </w:divBdr>
        </w:div>
      </w:divsChild>
    </w:div>
    <w:div w:id="1770852918">
      <w:bodyDiv w:val="1"/>
      <w:marLeft w:val="0"/>
      <w:marRight w:val="0"/>
      <w:marTop w:val="0"/>
      <w:marBottom w:val="0"/>
      <w:divBdr>
        <w:top w:val="none" w:sz="0" w:space="0" w:color="auto"/>
        <w:left w:val="none" w:sz="0" w:space="0" w:color="auto"/>
        <w:bottom w:val="none" w:sz="0" w:space="0" w:color="auto"/>
        <w:right w:val="none" w:sz="0" w:space="0" w:color="auto"/>
      </w:divBdr>
    </w:div>
    <w:div w:id="1775780497">
      <w:bodyDiv w:val="1"/>
      <w:marLeft w:val="0"/>
      <w:marRight w:val="0"/>
      <w:marTop w:val="0"/>
      <w:marBottom w:val="0"/>
      <w:divBdr>
        <w:top w:val="none" w:sz="0" w:space="0" w:color="auto"/>
        <w:left w:val="none" w:sz="0" w:space="0" w:color="auto"/>
        <w:bottom w:val="none" w:sz="0" w:space="0" w:color="auto"/>
        <w:right w:val="none" w:sz="0" w:space="0" w:color="auto"/>
      </w:divBdr>
      <w:divsChild>
        <w:div w:id="470292488">
          <w:marLeft w:val="0"/>
          <w:marRight w:val="0"/>
          <w:marTop w:val="0"/>
          <w:marBottom w:val="0"/>
          <w:divBdr>
            <w:top w:val="none" w:sz="0" w:space="0" w:color="auto"/>
            <w:left w:val="none" w:sz="0" w:space="0" w:color="auto"/>
            <w:bottom w:val="none" w:sz="0" w:space="0" w:color="auto"/>
            <w:right w:val="none" w:sz="0" w:space="0" w:color="auto"/>
          </w:divBdr>
        </w:div>
      </w:divsChild>
    </w:div>
    <w:div w:id="1788352988">
      <w:bodyDiv w:val="1"/>
      <w:marLeft w:val="0"/>
      <w:marRight w:val="0"/>
      <w:marTop w:val="0"/>
      <w:marBottom w:val="0"/>
      <w:divBdr>
        <w:top w:val="none" w:sz="0" w:space="0" w:color="auto"/>
        <w:left w:val="none" w:sz="0" w:space="0" w:color="auto"/>
        <w:bottom w:val="none" w:sz="0" w:space="0" w:color="auto"/>
        <w:right w:val="none" w:sz="0" w:space="0" w:color="auto"/>
      </w:divBdr>
      <w:divsChild>
        <w:div w:id="1089230840">
          <w:marLeft w:val="0"/>
          <w:marRight w:val="0"/>
          <w:marTop w:val="0"/>
          <w:marBottom w:val="0"/>
          <w:divBdr>
            <w:top w:val="none" w:sz="0" w:space="0" w:color="auto"/>
            <w:left w:val="none" w:sz="0" w:space="0" w:color="auto"/>
            <w:bottom w:val="none" w:sz="0" w:space="0" w:color="auto"/>
            <w:right w:val="none" w:sz="0" w:space="0" w:color="auto"/>
          </w:divBdr>
        </w:div>
      </w:divsChild>
    </w:div>
    <w:div w:id="1800227291">
      <w:bodyDiv w:val="1"/>
      <w:marLeft w:val="0"/>
      <w:marRight w:val="0"/>
      <w:marTop w:val="0"/>
      <w:marBottom w:val="0"/>
      <w:divBdr>
        <w:top w:val="none" w:sz="0" w:space="0" w:color="auto"/>
        <w:left w:val="none" w:sz="0" w:space="0" w:color="auto"/>
        <w:bottom w:val="none" w:sz="0" w:space="0" w:color="auto"/>
        <w:right w:val="none" w:sz="0" w:space="0" w:color="auto"/>
      </w:divBdr>
      <w:divsChild>
        <w:div w:id="1258051873">
          <w:marLeft w:val="0"/>
          <w:marRight w:val="0"/>
          <w:marTop w:val="0"/>
          <w:marBottom w:val="0"/>
          <w:divBdr>
            <w:top w:val="none" w:sz="0" w:space="0" w:color="auto"/>
            <w:left w:val="none" w:sz="0" w:space="0" w:color="auto"/>
            <w:bottom w:val="none" w:sz="0" w:space="0" w:color="auto"/>
            <w:right w:val="none" w:sz="0" w:space="0" w:color="auto"/>
          </w:divBdr>
        </w:div>
      </w:divsChild>
    </w:div>
    <w:div w:id="1861821024">
      <w:bodyDiv w:val="1"/>
      <w:marLeft w:val="0"/>
      <w:marRight w:val="0"/>
      <w:marTop w:val="0"/>
      <w:marBottom w:val="0"/>
      <w:divBdr>
        <w:top w:val="none" w:sz="0" w:space="0" w:color="auto"/>
        <w:left w:val="none" w:sz="0" w:space="0" w:color="auto"/>
        <w:bottom w:val="none" w:sz="0" w:space="0" w:color="auto"/>
        <w:right w:val="none" w:sz="0" w:space="0" w:color="auto"/>
      </w:divBdr>
      <w:divsChild>
        <w:div w:id="899369338">
          <w:marLeft w:val="360"/>
          <w:marRight w:val="0"/>
          <w:marTop w:val="200"/>
          <w:marBottom w:val="0"/>
          <w:divBdr>
            <w:top w:val="none" w:sz="0" w:space="0" w:color="auto"/>
            <w:left w:val="none" w:sz="0" w:space="0" w:color="auto"/>
            <w:bottom w:val="none" w:sz="0" w:space="0" w:color="auto"/>
            <w:right w:val="none" w:sz="0" w:space="0" w:color="auto"/>
          </w:divBdr>
        </w:div>
        <w:div w:id="1003125836">
          <w:marLeft w:val="360"/>
          <w:marRight w:val="0"/>
          <w:marTop w:val="200"/>
          <w:marBottom w:val="0"/>
          <w:divBdr>
            <w:top w:val="none" w:sz="0" w:space="0" w:color="auto"/>
            <w:left w:val="none" w:sz="0" w:space="0" w:color="auto"/>
            <w:bottom w:val="none" w:sz="0" w:space="0" w:color="auto"/>
            <w:right w:val="none" w:sz="0" w:space="0" w:color="auto"/>
          </w:divBdr>
        </w:div>
        <w:div w:id="1257714080">
          <w:marLeft w:val="360"/>
          <w:marRight w:val="0"/>
          <w:marTop w:val="200"/>
          <w:marBottom w:val="0"/>
          <w:divBdr>
            <w:top w:val="none" w:sz="0" w:space="0" w:color="auto"/>
            <w:left w:val="none" w:sz="0" w:space="0" w:color="auto"/>
            <w:bottom w:val="none" w:sz="0" w:space="0" w:color="auto"/>
            <w:right w:val="none" w:sz="0" w:space="0" w:color="auto"/>
          </w:divBdr>
        </w:div>
        <w:div w:id="1599480625">
          <w:marLeft w:val="360"/>
          <w:marRight w:val="0"/>
          <w:marTop w:val="200"/>
          <w:marBottom w:val="0"/>
          <w:divBdr>
            <w:top w:val="none" w:sz="0" w:space="0" w:color="auto"/>
            <w:left w:val="none" w:sz="0" w:space="0" w:color="auto"/>
            <w:bottom w:val="none" w:sz="0" w:space="0" w:color="auto"/>
            <w:right w:val="none" w:sz="0" w:space="0" w:color="auto"/>
          </w:divBdr>
        </w:div>
      </w:divsChild>
    </w:div>
    <w:div w:id="1930120307">
      <w:bodyDiv w:val="1"/>
      <w:marLeft w:val="0"/>
      <w:marRight w:val="0"/>
      <w:marTop w:val="0"/>
      <w:marBottom w:val="0"/>
      <w:divBdr>
        <w:top w:val="none" w:sz="0" w:space="0" w:color="auto"/>
        <w:left w:val="none" w:sz="0" w:space="0" w:color="auto"/>
        <w:bottom w:val="none" w:sz="0" w:space="0" w:color="auto"/>
        <w:right w:val="none" w:sz="0" w:space="0" w:color="auto"/>
      </w:divBdr>
    </w:div>
    <w:div w:id="1954286027">
      <w:bodyDiv w:val="1"/>
      <w:marLeft w:val="0"/>
      <w:marRight w:val="0"/>
      <w:marTop w:val="0"/>
      <w:marBottom w:val="0"/>
      <w:divBdr>
        <w:top w:val="none" w:sz="0" w:space="0" w:color="auto"/>
        <w:left w:val="none" w:sz="0" w:space="0" w:color="auto"/>
        <w:bottom w:val="none" w:sz="0" w:space="0" w:color="auto"/>
        <w:right w:val="none" w:sz="0" w:space="0" w:color="auto"/>
      </w:divBdr>
      <w:divsChild>
        <w:div w:id="761337707">
          <w:marLeft w:val="0"/>
          <w:marRight w:val="0"/>
          <w:marTop w:val="0"/>
          <w:marBottom w:val="0"/>
          <w:divBdr>
            <w:top w:val="none" w:sz="0" w:space="0" w:color="auto"/>
            <w:left w:val="none" w:sz="0" w:space="0" w:color="auto"/>
            <w:bottom w:val="none" w:sz="0" w:space="0" w:color="auto"/>
            <w:right w:val="none" w:sz="0" w:space="0" w:color="auto"/>
          </w:divBdr>
        </w:div>
      </w:divsChild>
    </w:div>
    <w:div w:id="1958557982">
      <w:bodyDiv w:val="1"/>
      <w:marLeft w:val="0"/>
      <w:marRight w:val="0"/>
      <w:marTop w:val="0"/>
      <w:marBottom w:val="0"/>
      <w:divBdr>
        <w:top w:val="none" w:sz="0" w:space="0" w:color="auto"/>
        <w:left w:val="none" w:sz="0" w:space="0" w:color="auto"/>
        <w:bottom w:val="none" w:sz="0" w:space="0" w:color="auto"/>
        <w:right w:val="none" w:sz="0" w:space="0" w:color="auto"/>
      </w:divBdr>
    </w:div>
    <w:div w:id="1989086307">
      <w:bodyDiv w:val="1"/>
      <w:marLeft w:val="0"/>
      <w:marRight w:val="0"/>
      <w:marTop w:val="0"/>
      <w:marBottom w:val="0"/>
      <w:divBdr>
        <w:top w:val="none" w:sz="0" w:space="0" w:color="auto"/>
        <w:left w:val="none" w:sz="0" w:space="0" w:color="auto"/>
        <w:bottom w:val="none" w:sz="0" w:space="0" w:color="auto"/>
        <w:right w:val="none" w:sz="0" w:space="0" w:color="auto"/>
      </w:divBdr>
      <w:divsChild>
        <w:div w:id="1510095729">
          <w:marLeft w:val="0"/>
          <w:marRight w:val="0"/>
          <w:marTop w:val="0"/>
          <w:marBottom w:val="0"/>
          <w:divBdr>
            <w:top w:val="none" w:sz="0" w:space="0" w:color="auto"/>
            <w:left w:val="none" w:sz="0" w:space="0" w:color="auto"/>
            <w:bottom w:val="none" w:sz="0" w:space="0" w:color="auto"/>
            <w:right w:val="none" w:sz="0" w:space="0" w:color="auto"/>
          </w:divBdr>
        </w:div>
      </w:divsChild>
    </w:div>
    <w:div w:id="2088265410">
      <w:bodyDiv w:val="1"/>
      <w:marLeft w:val="0"/>
      <w:marRight w:val="0"/>
      <w:marTop w:val="0"/>
      <w:marBottom w:val="0"/>
      <w:divBdr>
        <w:top w:val="none" w:sz="0" w:space="0" w:color="auto"/>
        <w:left w:val="none" w:sz="0" w:space="0" w:color="auto"/>
        <w:bottom w:val="none" w:sz="0" w:space="0" w:color="auto"/>
        <w:right w:val="none" w:sz="0" w:space="0" w:color="auto"/>
      </w:divBdr>
    </w:div>
    <w:div w:id="2116822415">
      <w:bodyDiv w:val="1"/>
      <w:marLeft w:val="0"/>
      <w:marRight w:val="0"/>
      <w:marTop w:val="0"/>
      <w:marBottom w:val="0"/>
      <w:divBdr>
        <w:top w:val="none" w:sz="0" w:space="0" w:color="auto"/>
        <w:left w:val="none" w:sz="0" w:space="0" w:color="auto"/>
        <w:bottom w:val="none" w:sz="0" w:space="0" w:color="auto"/>
        <w:right w:val="none" w:sz="0" w:space="0" w:color="auto"/>
      </w:divBdr>
      <w:divsChild>
        <w:div w:id="1631012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footer" Target="footer4.xml"/><Relationship Id="rId21" Type="http://schemas.openxmlformats.org/officeDocument/2006/relationships/hyperlink" Target="https://www.dia.govt.nz/Accessibility" TargetMode="External"/><Relationship Id="rId34" Type="http://schemas.openxmlformats.org/officeDocument/2006/relationships/header" Target="header1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whaikaha.govt.nz/about-us/our-work/accessibility-work-programme/revision-of-new-zealand-standard-41212001" TargetMode="External"/><Relationship Id="rId23" Type="http://schemas.openxmlformats.org/officeDocument/2006/relationships/header" Target="header4.xml"/><Relationship Id="rId28" Type="http://schemas.openxmlformats.org/officeDocument/2006/relationships/image" Target="media/image4.jpg"/><Relationship Id="rId36"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rnz.co.nz/news/national/556434/new-guidelines-aim-to-make-outdoors-more-accessible" TargetMode="Externa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header" Target="header12.xml"/><Relationship Id="rId8" Type="http://schemas.openxmlformats.org/officeDocument/2006/relationships/settings" Target="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ranG1\Downloads\SNZ%202023%20Generic%20Report%20A4.dotx" TargetMode="External"/></Relationships>
</file>

<file path=word/theme/theme1.xml><?xml version="1.0" encoding="utf-8"?>
<a:theme xmlns:a="http://schemas.openxmlformats.org/drawingml/2006/main" name="Office Theme">
  <a:themeElements>
    <a:clrScheme name="Standards New Zealand">
      <a:dk1>
        <a:sysClr val="windowText" lastClr="000000"/>
      </a:dk1>
      <a:lt1>
        <a:sysClr val="window" lastClr="FFFFFF"/>
      </a:lt1>
      <a:dk2>
        <a:srgbClr val="151842"/>
      </a:dk2>
      <a:lt2>
        <a:srgbClr val="FFFFFF"/>
      </a:lt2>
      <a:accent1>
        <a:srgbClr val="007DA6"/>
      </a:accent1>
      <a:accent2>
        <a:srgbClr val="45BFD3"/>
      </a:accent2>
      <a:accent3>
        <a:srgbClr val="BE3593"/>
      </a:accent3>
      <a:accent4>
        <a:srgbClr val="7A53A2"/>
      </a:accent4>
      <a:accent5>
        <a:srgbClr val="10A54A"/>
      </a:accent5>
      <a:accent6>
        <a:srgbClr val="FFFF4D"/>
      </a:accent6>
      <a:hlink>
        <a:srgbClr val="FF6900"/>
      </a:hlink>
      <a:folHlink>
        <a:srgbClr val="C8353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i0f84bba906045b4af568ee102a52dcb xmlns="361de0cf-f0ad-427e-92ef-ed0a58ba3287">
      <Terms xmlns="http://schemas.microsoft.com/office/infopath/2007/PartnerControls"/>
    </i0f84bba906045b4af568ee102a52dcb>
    <lcf76f155ced4ddcb4097134ff3c332f xmlns="53119fab-c8ff-4a03-ab54-00a03737b1eb">
      <Terms xmlns="http://schemas.microsoft.com/office/infopath/2007/PartnerControls"/>
    </lcf76f155ced4ddcb4097134ff3c332f>
    <TaxCatchAll xmlns="361de0cf-f0ad-427e-92ef-ed0a58ba3287" xsi:nil="true"/>
    <_dlc_DocId xmlns="361de0cf-f0ad-427e-92ef-ed0a58ba3287">INFO-383298788-5061</_dlc_DocId>
    <_dlc_DocIdUrl xmlns="361de0cf-f0ad-427e-92ef-ed0a58ba3287">
      <Url>https://msdgovtnz.sharepoint.com/sites/whaikaha-WRK-Outreach-and-Innovation/_layouts/15/DocIdRedir.aspx?ID=INFO-383298788-5061</Url>
      <Description>INFO-383298788-5061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3845AA5E63B45AFD79095EE223CAB" ma:contentTypeVersion="17" ma:contentTypeDescription="Create a new document." ma:contentTypeScope="" ma:versionID="586d02b997697d2be4279d3a77744606">
  <xsd:schema xmlns:xsd="http://www.w3.org/2001/XMLSchema" xmlns:xs="http://www.w3.org/2001/XMLSchema" xmlns:p="http://schemas.microsoft.com/office/2006/metadata/properties" xmlns:ns1="http://schemas.microsoft.com/sharepoint/v3" xmlns:ns2="361de0cf-f0ad-427e-92ef-ed0a58ba3287" xmlns:ns3="53119fab-c8ff-4a03-ab54-00a03737b1eb" targetNamespace="http://schemas.microsoft.com/office/2006/metadata/properties" ma:root="true" ma:fieldsID="c777e20ee9c84880fa5b9c0ea0b41870" ns1:_="" ns2:_="" ns3:_="">
    <xsd:import namespace="http://schemas.microsoft.com/sharepoint/v3"/>
    <xsd:import namespace="361de0cf-f0ad-427e-92ef-ed0a58ba3287"/>
    <xsd:import namespace="53119fab-c8ff-4a03-ab54-00a03737b1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de0cf-f0ad-427e-92ef-ed0a58ba32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87e03299-427b-4c8f-a56c-c99bcf6e1eb0}" ma:internalName="TaxCatchAll" ma:showField="CatchAllData" ma:web="361de0cf-f0ad-427e-92ef-ed0a58ba3287">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49208c45-55ac-4c79-8de6-6805b90cd0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119fab-c8ff-4a03-ab54-00a03737b1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A4A61-4C46-433F-BEC6-C38F61B536AB}">
  <ds:schemaRefs>
    <ds:schemaRef ds:uri="http://schemas.microsoft.com/sharepoint/events"/>
  </ds:schemaRefs>
</ds:datastoreItem>
</file>

<file path=customXml/itemProps2.xml><?xml version="1.0" encoding="utf-8"?>
<ds:datastoreItem xmlns:ds="http://schemas.openxmlformats.org/officeDocument/2006/customXml" ds:itemID="{A7854257-4C08-446E-BD2F-81D2029A3AB6}">
  <ds:schemaRefs>
    <ds:schemaRef ds:uri="http://schemas.microsoft.com/sharepoint/v3/contenttype/forms"/>
  </ds:schemaRefs>
</ds:datastoreItem>
</file>

<file path=customXml/itemProps3.xml><?xml version="1.0" encoding="utf-8"?>
<ds:datastoreItem xmlns:ds="http://schemas.openxmlformats.org/officeDocument/2006/customXml" ds:itemID="{F3A4375B-5FED-43F3-942D-43AF9A2A85FB}">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elements/1.1/"/>
    <ds:schemaRef ds:uri="http://purl.org/dc/dcmitype/"/>
    <ds:schemaRef ds:uri="http://www.w3.org/XML/1998/namespace"/>
    <ds:schemaRef ds:uri="http://schemas.openxmlformats.org/package/2006/metadata/core-properties"/>
    <ds:schemaRef ds:uri="http://schemas.microsoft.com/sharepoint/v3"/>
    <ds:schemaRef ds:uri="53119fab-c8ff-4a03-ab54-00a03737b1eb"/>
    <ds:schemaRef ds:uri="361de0cf-f0ad-427e-92ef-ed0a58ba3287"/>
  </ds:schemaRefs>
</ds:datastoreItem>
</file>

<file path=customXml/itemProps4.xml><?xml version="1.0" encoding="utf-8"?>
<ds:datastoreItem xmlns:ds="http://schemas.openxmlformats.org/officeDocument/2006/customXml" ds:itemID="{A8593626-F857-48D2-9F74-58A7A03CD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1de0cf-f0ad-427e-92ef-ed0a58ba3287"/>
    <ds:schemaRef ds:uri="53119fab-c8ff-4a03-ab54-00a03737b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D9A0B3-500F-4C86-AB3F-2AF7BD730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SNZ 2023 Generic Report A4.dotx</Template>
  <TotalTime>2319</TotalTime>
  <Pages>50</Pages>
  <Words>14348</Words>
  <Characters>81501</Characters>
  <Application>Microsoft Office Word</Application>
  <DocSecurity>0</DocSecurity>
  <Lines>3704</Lines>
  <Paragraphs>2129</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&amp; Employment</Company>
  <LinksUpToDate>false</LinksUpToDate>
  <CharactersWithSpaces>93720</CharactersWithSpaces>
  <SharedDoc>false</SharedDoc>
  <HLinks>
    <vt:vector size="114" baseType="variant">
      <vt:variant>
        <vt:i4>2097264</vt:i4>
      </vt:variant>
      <vt:variant>
        <vt:i4>108</vt:i4>
      </vt:variant>
      <vt:variant>
        <vt:i4>0</vt:i4>
      </vt:variant>
      <vt:variant>
        <vt:i4>5</vt:i4>
      </vt:variant>
      <vt:variant>
        <vt:lpwstr>https://www.rnz.co.nz/news/national/556434/new-guidelines-aim-to-make-outdoors-more-accessible</vt:lpwstr>
      </vt:variant>
      <vt:variant>
        <vt:lpwstr/>
      </vt:variant>
      <vt:variant>
        <vt:i4>5898264</vt:i4>
      </vt:variant>
      <vt:variant>
        <vt:i4>105</vt:i4>
      </vt:variant>
      <vt:variant>
        <vt:i4>0</vt:i4>
      </vt:variant>
      <vt:variant>
        <vt:i4>5</vt:i4>
      </vt:variant>
      <vt:variant>
        <vt:lpwstr>https://www.dia.govt.nz/Accessibility</vt:lpwstr>
      </vt:variant>
      <vt:variant>
        <vt:lpwstr/>
      </vt:variant>
      <vt:variant>
        <vt:i4>6226001</vt:i4>
      </vt:variant>
      <vt:variant>
        <vt:i4>99</vt:i4>
      </vt:variant>
      <vt:variant>
        <vt:i4>0</vt:i4>
      </vt:variant>
      <vt:variant>
        <vt:i4>5</vt:i4>
      </vt:variant>
      <vt:variant>
        <vt:lpwstr>https://www.whaikaha.govt.nz/about-us/our-work/accessibility-work-programme/revision-of-new-zealand-standard-41212001</vt:lpwstr>
      </vt:variant>
      <vt:variant>
        <vt:lpwstr/>
      </vt:variant>
      <vt:variant>
        <vt:i4>1048634</vt:i4>
      </vt:variant>
      <vt:variant>
        <vt:i4>92</vt:i4>
      </vt:variant>
      <vt:variant>
        <vt:i4>0</vt:i4>
      </vt:variant>
      <vt:variant>
        <vt:i4>5</vt:i4>
      </vt:variant>
      <vt:variant>
        <vt:lpwstr/>
      </vt:variant>
      <vt:variant>
        <vt:lpwstr>_Toc225344926</vt:lpwstr>
      </vt:variant>
      <vt:variant>
        <vt:i4>1048634</vt:i4>
      </vt:variant>
      <vt:variant>
        <vt:i4>86</vt:i4>
      </vt:variant>
      <vt:variant>
        <vt:i4>0</vt:i4>
      </vt:variant>
      <vt:variant>
        <vt:i4>5</vt:i4>
      </vt:variant>
      <vt:variant>
        <vt:lpwstr/>
      </vt:variant>
      <vt:variant>
        <vt:lpwstr>_Toc225344925</vt:lpwstr>
      </vt:variant>
      <vt:variant>
        <vt:i4>1048634</vt:i4>
      </vt:variant>
      <vt:variant>
        <vt:i4>80</vt:i4>
      </vt:variant>
      <vt:variant>
        <vt:i4>0</vt:i4>
      </vt:variant>
      <vt:variant>
        <vt:i4>5</vt:i4>
      </vt:variant>
      <vt:variant>
        <vt:lpwstr/>
      </vt:variant>
      <vt:variant>
        <vt:lpwstr>_Toc225344924</vt:lpwstr>
      </vt:variant>
      <vt:variant>
        <vt:i4>1048634</vt:i4>
      </vt:variant>
      <vt:variant>
        <vt:i4>74</vt:i4>
      </vt:variant>
      <vt:variant>
        <vt:i4>0</vt:i4>
      </vt:variant>
      <vt:variant>
        <vt:i4>5</vt:i4>
      </vt:variant>
      <vt:variant>
        <vt:lpwstr/>
      </vt:variant>
      <vt:variant>
        <vt:lpwstr>_Toc225344923</vt:lpwstr>
      </vt:variant>
      <vt:variant>
        <vt:i4>1048634</vt:i4>
      </vt:variant>
      <vt:variant>
        <vt:i4>68</vt:i4>
      </vt:variant>
      <vt:variant>
        <vt:i4>0</vt:i4>
      </vt:variant>
      <vt:variant>
        <vt:i4>5</vt:i4>
      </vt:variant>
      <vt:variant>
        <vt:lpwstr/>
      </vt:variant>
      <vt:variant>
        <vt:lpwstr>_Toc225344922</vt:lpwstr>
      </vt:variant>
      <vt:variant>
        <vt:i4>1048634</vt:i4>
      </vt:variant>
      <vt:variant>
        <vt:i4>62</vt:i4>
      </vt:variant>
      <vt:variant>
        <vt:i4>0</vt:i4>
      </vt:variant>
      <vt:variant>
        <vt:i4>5</vt:i4>
      </vt:variant>
      <vt:variant>
        <vt:lpwstr/>
      </vt:variant>
      <vt:variant>
        <vt:lpwstr>_Toc225344921</vt:lpwstr>
      </vt:variant>
      <vt:variant>
        <vt:i4>1048634</vt:i4>
      </vt:variant>
      <vt:variant>
        <vt:i4>56</vt:i4>
      </vt:variant>
      <vt:variant>
        <vt:i4>0</vt:i4>
      </vt:variant>
      <vt:variant>
        <vt:i4>5</vt:i4>
      </vt:variant>
      <vt:variant>
        <vt:lpwstr/>
      </vt:variant>
      <vt:variant>
        <vt:lpwstr>_Toc225344920</vt:lpwstr>
      </vt:variant>
      <vt:variant>
        <vt:i4>1245242</vt:i4>
      </vt:variant>
      <vt:variant>
        <vt:i4>50</vt:i4>
      </vt:variant>
      <vt:variant>
        <vt:i4>0</vt:i4>
      </vt:variant>
      <vt:variant>
        <vt:i4>5</vt:i4>
      </vt:variant>
      <vt:variant>
        <vt:lpwstr/>
      </vt:variant>
      <vt:variant>
        <vt:lpwstr>_Toc225344919</vt:lpwstr>
      </vt:variant>
      <vt:variant>
        <vt:i4>1245242</vt:i4>
      </vt:variant>
      <vt:variant>
        <vt:i4>44</vt:i4>
      </vt:variant>
      <vt:variant>
        <vt:i4>0</vt:i4>
      </vt:variant>
      <vt:variant>
        <vt:i4>5</vt:i4>
      </vt:variant>
      <vt:variant>
        <vt:lpwstr/>
      </vt:variant>
      <vt:variant>
        <vt:lpwstr>_Toc225344918</vt:lpwstr>
      </vt:variant>
      <vt:variant>
        <vt:i4>1245242</vt:i4>
      </vt:variant>
      <vt:variant>
        <vt:i4>38</vt:i4>
      </vt:variant>
      <vt:variant>
        <vt:i4>0</vt:i4>
      </vt:variant>
      <vt:variant>
        <vt:i4>5</vt:i4>
      </vt:variant>
      <vt:variant>
        <vt:lpwstr/>
      </vt:variant>
      <vt:variant>
        <vt:lpwstr>_Toc225344917</vt:lpwstr>
      </vt:variant>
      <vt:variant>
        <vt:i4>1245242</vt:i4>
      </vt:variant>
      <vt:variant>
        <vt:i4>32</vt:i4>
      </vt:variant>
      <vt:variant>
        <vt:i4>0</vt:i4>
      </vt:variant>
      <vt:variant>
        <vt:i4>5</vt:i4>
      </vt:variant>
      <vt:variant>
        <vt:lpwstr/>
      </vt:variant>
      <vt:variant>
        <vt:lpwstr>_Toc225344916</vt:lpwstr>
      </vt:variant>
      <vt:variant>
        <vt:i4>1245242</vt:i4>
      </vt:variant>
      <vt:variant>
        <vt:i4>26</vt:i4>
      </vt:variant>
      <vt:variant>
        <vt:i4>0</vt:i4>
      </vt:variant>
      <vt:variant>
        <vt:i4>5</vt:i4>
      </vt:variant>
      <vt:variant>
        <vt:lpwstr/>
      </vt:variant>
      <vt:variant>
        <vt:lpwstr>_Toc225344915</vt:lpwstr>
      </vt:variant>
      <vt:variant>
        <vt:i4>1245242</vt:i4>
      </vt:variant>
      <vt:variant>
        <vt:i4>20</vt:i4>
      </vt:variant>
      <vt:variant>
        <vt:i4>0</vt:i4>
      </vt:variant>
      <vt:variant>
        <vt:i4>5</vt:i4>
      </vt:variant>
      <vt:variant>
        <vt:lpwstr/>
      </vt:variant>
      <vt:variant>
        <vt:lpwstr>_Toc225344914</vt:lpwstr>
      </vt:variant>
      <vt:variant>
        <vt:i4>1245242</vt:i4>
      </vt:variant>
      <vt:variant>
        <vt:i4>14</vt:i4>
      </vt:variant>
      <vt:variant>
        <vt:i4>0</vt:i4>
      </vt:variant>
      <vt:variant>
        <vt:i4>5</vt:i4>
      </vt:variant>
      <vt:variant>
        <vt:lpwstr/>
      </vt:variant>
      <vt:variant>
        <vt:lpwstr>_Toc225344913</vt:lpwstr>
      </vt:variant>
      <vt:variant>
        <vt:i4>1245242</vt:i4>
      </vt:variant>
      <vt:variant>
        <vt:i4>8</vt:i4>
      </vt:variant>
      <vt:variant>
        <vt:i4>0</vt:i4>
      </vt:variant>
      <vt:variant>
        <vt:i4>5</vt:i4>
      </vt:variant>
      <vt:variant>
        <vt:lpwstr/>
      </vt:variant>
      <vt:variant>
        <vt:lpwstr>_Toc225344912</vt:lpwstr>
      </vt:variant>
      <vt:variant>
        <vt:i4>1245242</vt:i4>
      </vt:variant>
      <vt:variant>
        <vt:i4>2</vt:i4>
      </vt:variant>
      <vt:variant>
        <vt:i4>0</vt:i4>
      </vt:variant>
      <vt:variant>
        <vt:i4>5</vt:i4>
      </vt:variant>
      <vt:variant>
        <vt:lpwstr/>
      </vt:variant>
      <vt:variant>
        <vt:lpwstr>_Toc225344911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Gleb Speranski</dc:creator>
  <cp:keywords/>
  <dc:description/>
  <cp:lastModifiedBy>Gleb Speranski</cp:lastModifiedBy>
  <cp:revision>5</cp:revision>
  <cp:lastPrinted>2026-04-15T03:27:00Z</cp:lastPrinted>
  <dcterms:created xsi:type="dcterms:W3CDTF">2026-04-14T04:51:00Z</dcterms:created>
  <dcterms:modified xsi:type="dcterms:W3CDTF">2026-04-19T19:43:00Z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2025-03-07T02:09:10Z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fd192284-5961-462b-9661-8224eafafcb8</vt:lpwstr>
  </property>
  <property fmtid="{D5CDD505-2E9C-101B-9397-08002B2CF9AE}" pid="8" name="MSIP_Label_738466f7-346c-47bb-a4d2-4a6558d61975_ContentBits">
    <vt:lpwstr>0</vt:lpwstr>
  </property>
  <property fmtid="{D5CDD505-2E9C-101B-9397-08002B2CF9AE}" pid="9" name="ContentTypeId">
    <vt:lpwstr>0x0101000E43845AA5E63B45AFD79095EE223CAB</vt:lpwstr>
  </property>
  <property fmtid="{D5CDD505-2E9C-101B-9397-08002B2CF9AE}" pid="10" name="_dlc_DocIdItemGuid">
    <vt:lpwstr>9ae9cad4-7206-4e86-b9f3-ebda4d1a5cdb</vt:lpwstr>
  </property>
  <property fmtid="{D5CDD505-2E9C-101B-9397-08002B2CF9AE}" pid="11" name="MediaServiceImageTags">
    <vt:lpwstr/>
  </property>
  <property fmtid="{D5CDD505-2E9C-101B-9397-08002B2CF9AE}" pid="12" name="RevIMBCS">
    <vt:lpwstr/>
  </property>
  <property fmtid="{D5CDD505-2E9C-101B-9397-08002B2CF9AE}" pid="13" name="ClassificationContentMarkingHeaderShapeIds">
    <vt:lpwstr>4296a381,50f37516,3cff5803,33b284da,5319d63,22ae39f9,595974d4,34973507,27e48759,1b411133,27b179a0,5c0e05f2</vt:lpwstr>
  </property>
  <property fmtid="{D5CDD505-2E9C-101B-9397-08002B2CF9AE}" pid="14" name="ClassificationContentMarkingHeaderFontProps">
    <vt:lpwstr>#000000,10,Aptos</vt:lpwstr>
  </property>
  <property fmtid="{D5CDD505-2E9C-101B-9397-08002B2CF9AE}" pid="15" name="ClassificationContentMarkingHeaderText">
    <vt:lpwstr>IN-CONFIDENCE</vt:lpwstr>
  </property>
  <property fmtid="{D5CDD505-2E9C-101B-9397-08002B2CF9AE}" pid="16" name="MSIP_Label_f43e46a9-9901-46e9-bfae-bb6189d4cb66_Enabled">
    <vt:lpwstr>true</vt:lpwstr>
  </property>
  <property fmtid="{D5CDD505-2E9C-101B-9397-08002B2CF9AE}" pid="17" name="MSIP_Label_f43e46a9-9901-46e9-bfae-bb6189d4cb66_SetDate">
    <vt:lpwstr>2026-03-29T01:04:19Z</vt:lpwstr>
  </property>
  <property fmtid="{D5CDD505-2E9C-101B-9397-08002B2CF9AE}" pid="18" name="MSIP_Label_f43e46a9-9901-46e9-bfae-bb6189d4cb66_Method">
    <vt:lpwstr>Standard</vt:lpwstr>
  </property>
  <property fmtid="{D5CDD505-2E9C-101B-9397-08002B2CF9AE}" pid="19" name="MSIP_Label_f43e46a9-9901-46e9-bfae-bb6189d4cb66_Name">
    <vt:lpwstr>In-confidence</vt:lpwstr>
  </property>
  <property fmtid="{D5CDD505-2E9C-101B-9397-08002B2CF9AE}" pid="20" name="MSIP_Label_f43e46a9-9901-46e9-bfae-bb6189d4cb66_SiteId">
    <vt:lpwstr>e40c4f52-99bd-4d4f-bf7e-d001a2ca6556</vt:lpwstr>
  </property>
  <property fmtid="{D5CDD505-2E9C-101B-9397-08002B2CF9AE}" pid="21" name="MSIP_Label_f43e46a9-9901-46e9-bfae-bb6189d4cb66_ActionId">
    <vt:lpwstr>026f8437-62df-4cd9-9968-e9753c6b2cf4</vt:lpwstr>
  </property>
  <property fmtid="{D5CDD505-2E9C-101B-9397-08002B2CF9AE}" pid="22" name="MSIP_Label_f43e46a9-9901-46e9-bfae-bb6189d4cb66_ContentBits">
    <vt:lpwstr>1</vt:lpwstr>
  </property>
  <property fmtid="{D5CDD505-2E9C-101B-9397-08002B2CF9AE}" pid="23" name="MSIP_Label_f43e46a9-9901-46e9-bfae-bb6189d4cb66_Tag">
    <vt:lpwstr>10, 3, 0, 2</vt:lpwstr>
  </property>
  <property fmtid="{D5CDD505-2E9C-101B-9397-08002B2CF9AE}" pid="24" name="docLang">
    <vt:lpwstr>en</vt:lpwstr>
  </property>
</Properties>
</file>